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35"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894715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860425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4"/>
          <w:szCs w:val="14"/>
          <w:color w:val="auto"/>
        </w:rPr>
        <w:t>UNITED STATES</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Washington, D.C. 20549</w:t>
      </w:r>
    </w:p>
    <w:p>
      <w:pPr>
        <w:spacing w:after="0" w:line="82" w:lineRule="exact"/>
        <w:rPr>
          <w:sz w:val="24"/>
          <w:szCs w:val="24"/>
          <w:color w:val="auto"/>
        </w:rPr>
      </w:pPr>
    </w:p>
    <w:p>
      <w:pPr>
        <w:ind w:left="5260"/>
        <w:spacing w:after="0"/>
        <w:rPr>
          <w:sz w:val="20"/>
          <w:szCs w:val="20"/>
          <w:color w:val="auto"/>
        </w:rPr>
      </w:pPr>
      <w:r>
        <w:rPr>
          <w:rFonts w:ascii="Arial" w:cs="Arial" w:eastAsia="Arial" w:hAnsi="Arial"/>
          <w:sz w:val="14"/>
          <w:szCs w:val="14"/>
          <w:b w:val="1"/>
          <w:bCs w:val="1"/>
          <w:color w:val="auto"/>
        </w:rPr>
        <w:t>Form 10-K</w:t>
      </w:r>
    </w:p>
    <w:p>
      <w:pPr>
        <w:spacing w:after="0" w:line="109" w:lineRule="exact"/>
        <w:rPr>
          <w:sz w:val="24"/>
          <w:szCs w:val="24"/>
          <w:color w:val="auto"/>
        </w:rPr>
      </w:pPr>
    </w:p>
    <w:p>
      <w:pPr>
        <w:ind w:left="3620"/>
        <w:spacing w:after="0"/>
        <w:rPr>
          <w:sz w:val="20"/>
          <w:szCs w:val="20"/>
          <w:color w:val="auto"/>
        </w:rPr>
      </w:pPr>
      <w:r>
        <w:rPr>
          <w:rFonts w:ascii="Wingdings" w:cs="Wingdings" w:eastAsia="Wingdings" w:hAnsi="Wingdings"/>
          <w:sz w:val="14"/>
          <w:szCs w:val="14"/>
          <w:b w:val="1"/>
          <w:bCs w:val="1"/>
          <w:color w:val="auto"/>
        </w:rPr>
        <w:t xml:space="preserve">x </w:t>
      </w:r>
      <w:r>
        <w:rPr>
          <w:rFonts w:ascii="Arial" w:cs="Arial" w:eastAsia="Arial" w:hAnsi="Arial"/>
          <w:sz w:val="14"/>
          <w:szCs w:val="14"/>
          <w:color w:val="auto"/>
        </w:rPr>
        <w:t>ANNUAL REPORT PURSUANT TO SECTION 13 OR 15(d)</w:t>
      </w:r>
    </w:p>
    <w:p>
      <w:pPr>
        <w:spacing w:after="0" w:line="15" w:lineRule="exact"/>
        <w:rPr>
          <w:sz w:val="24"/>
          <w:szCs w:val="24"/>
          <w:color w:val="auto"/>
        </w:rPr>
      </w:pPr>
    </w:p>
    <w:p>
      <w:pPr>
        <w:ind w:left="4020"/>
        <w:spacing w:after="0"/>
        <w:rPr>
          <w:sz w:val="20"/>
          <w:szCs w:val="20"/>
          <w:color w:val="auto"/>
        </w:rPr>
      </w:pPr>
      <w:r>
        <w:rPr>
          <w:rFonts w:ascii="Arial" w:cs="Arial" w:eastAsia="Arial" w:hAnsi="Arial"/>
          <w:sz w:val="14"/>
          <w:szCs w:val="14"/>
          <w:color w:val="auto"/>
        </w:rPr>
        <w:t>OF THE SECURITIES EXCHANGE ACT OF 1934</w:t>
      </w:r>
    </w:p>
    <w:p>
      <w:pPr>
        <w:ind w:left="4180"/>
        <w:spacing w:after="0" w:line="222" w:lineRule="auto"/>
        <w:rPr>
          <w:sz w:val="20"/>
          <w:szCs w:val="20"/>
          <w:color w:val="auto"/>
        </w:rPr>
      </w:pPr>
      <w:r>
        <w:rPr>
          <w:rFonts w:ascii="Arial" w:cs="Arial" w:eastAsia="Arial" w:hAnsi="Arial"/>
          <w:sz w:val="14"/>
          <w:szCs w:val="14"/>
          <w:color w:val="auto"/>
        </w:rPr>
        <w:t>For the fiscal year ended December 31, 2024</w:t>
      </w:r>
    </w:p>
    <w:p>
      <w:pPr>
        <w:jc w:val="center"/>
        <w:spacing w:after="0" w:line="237" w:lineRule="auto"/>
        <w:rPr>
          <w:sz w:val="20"/>
          <w:szCs w:val="20"/>
          <w:color w:val="auto"/>
        </w:rPr>
      </w:pPr>
      <w:r>
        <w:rPr>
          <w:rFonts w:ascii="Arial" w:cs="Arial" w:eastAsia="Arial" w:hAnsi="Arial"/>
          <w:sz w:val="14"/>
          <w:szCs w:val="14"/>
          <w:color w:val="auto"/>
        </w:rPr>
        <w:t>OR</w:t>
      </w:r>
    </w:p>
    <w:p>
      <w:pPr>
        <w:ind w:left="3660" w:hanging="167"/>
        <w:spacing w:after="0"/>
        <w:tabs>
          <w:tab w:leader="none" w:pos="366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TRANSITION REPORT PURSUANT TO SECTION 13 OR 15(d)</w:t>
      </w:r>
    </w:p>
    <w:p>
      <w:pPr>
        <w:spacing w:after="0" w:line="4" w:lineRule="exact"/>
        <w:rPr>
          <w:sz w:val="24"/>
          <w:szCs w:val="24"/>
          <w:color w:val="auto"/>
        </w:rPr>
      </w:pPr>
    </w:p>
    <w:p>
      <w:pPr>
        <w:ind w:left="4020"/>
        <w:spacing w:after="0"/>
        <w:rPr>
          <w:sz w:val="20"/>
          <w:szCs w:val="20"/>
          <w:color w:val="auto"/>
        </w:rPr>
      </w:pPr>
      <w:r>
        <w:rPr>
          <w:rFonts w:ascii="Arial" w:cs="Arial" w:eastAsia="Arial" w:hAnsi="Arial"/>
          <w:sz w:val="14"/>
          <w:szCs w:val="14"/>
          <w:color w:val="auto"/>
        </w:rPr>
        <w:t>OF THE SECURITIES EXCHANGE ACT OF 1934</w:t>
      </w:r>
    </w:p>
    <w:p>
      <w:pPr>
        <w:ind w:left="4540"/>
        <w:spacing w:after="0" w:line="222" w:lineRule="auto"/>
        <w:tabs>
          <w:tab w:leader="none" w:pos="6480" w:val="left"/>
        </w:tabs>
        <w:rPr>
          <w:sz w:val="20"/>
          <w:szCs w:val="20"/>
          <w:color w:val="auto"/>
        </w:rPr>
      </w:pPr>
      <w:r>
        <w:rPr>
          <w:rFonts w:ascii="Arial" w:cs="Arial" w:eastAsia="Arial" w:hAnsi="Arial"/>
          <w:sz w:val="14"/>
          <w:szCs w:val="14"/>
          <w:color w:val="auto"/>
        </w:rPr>
        <w:t>For the transition period from</w:t>
        <w:tab/>
        <w:t>to</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Commission file number 1-8974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74930</wp:posOffset>
            </wp:positionV>
            <wp:extent cx="1757045" cy="3257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57045" cy="3257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7" w:lineRule="exact"/>
        <w:rPr>
          <w:sz w:val="24"/>
          <w:szCs w:val="24"/>
          <w:color w:val="auto"/>
        </w:rPr>
      </w:pPr>
    </w:p>
    <w:p>
      <w:pPr>
        <w:jc w:val="center"/>
        <w:ind w:right="-19"/>
        <w:spacing w:after="0"/>
        <w:rPr>
          <w:sz w:val="20"/>
          <w:szCs w:val="20"/>
          <w:color w:val="auto"/>
        </w:rPr>
      </w:pPr>
      <w:r>
        <w:rPr>
          <w:rFonts w:ascii="Arial" w:cs="Arial" w:eastAsia="Arial" w:hAnsi="Arial"/>
          <w:sz w:val="38"/>
          <w:szCs w:val="38"/>
          <w:b w:val="1"/>
          <w:bCs w:val="1"/>
          <w:color w:val="auto"/>
        </w:rPr>
        <w:t>Honeywell International Inc.</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340" w:type="dxa"/>
            <w:vAlign w:val="bottom"/>
          </w:tcPr>
          <w:p>
            <w:pPr>
              <w:spacing w:after="0"/>
              <w:rPr>
                <w:sz w:val="16"/>
                <w:szCs w:val="16"/>
                <w:color w:val="auto"/>
              </w:rPr>
            </w:pPr>
          </w:p>
        </w:tc>
        <w:tc>
          <w:tcPr>
            <w:tcW w:w="6980" w:type="dxa"/>
            <w:vAlign w:val="bottom"/>
            <w:gridSpan w:val="7"/>
          </w:tcPr>
          <w:p>
            <w:pPr>
              <w:ind w:left="3640"/>
              <w:spacing w:after="0"/>
              <w:rPr>
                <w:sz w:val="20"/>
                <w:szCs w:val="20"/>
                <w:color w:val="auto"/>
              </w:rPr>
            </w:pPr>
            <w:r>
              <w:rPr>
                <w:rFonts w:ascii="Arial" w:cs="Arial" w:eastAsia="Arial" w:hAnsi="Arial"/>
                <w:sz w:val="14"/>
                <w:szCs w:val="14"/>
                <w:color w:val="auto"/>
              </w:rPr>
              <w:t>(Exact name of registrant as specified in its charter)</w:t>
            </w:r>
          </w:p>
        </w:tc>
        <w:tc>
          <w:tcPr>
            <w:tcW w:w="360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220"/>
        </w:trPr>
        <w:tc>
          <w:tcPr>
            <w:tcW w:w="340" w:type="dxa"/>
            <w:vAlign w:val="bottom"/>
          </w:tcPr>
          <w:p>
            <w:pPr>
              <w:spacing w:after="0"/>
              <w:rPr>
                <w:sz w:val="19"/>
                <w:szCs w:val="19"/>
                <w:color w:val="auto"/>
              </w:rPr>
            </w:pPr>
          </w:p>
        </w:tc>
        <w:tc>
          <w:tcPr>
            <w:tcW w:w="4560" w:type="dxa"/>
            <w:vAlign w:val="bottom"/>
            <w:tcBorders>
              <w:bottom w:val="single" w:sz="8" w:color="auto"/>
            </w:tcBorders>
            <w:gridSpan w:val="2"/>
          </w:tcPr>
          <w:p>
            <w:pPr>
              <w:jc w:val="center"/>
              <w:ind w:left="708"/>
              <w:spacing w:after="0"/>
              <w:rPr>
                <w:sz w:val="20"/>
                <w:szCs w:val="20"/>
                <w:color w:val="auto"/>
              </w:rPr>
            </w:pPr>
            <w:r>
              <w:rPr>
                <w:rFonts w:ascii="Arial" w:cs="Arial" w:eastAsia="Arial" w:hAnsi="Arial"/>
                <w:sz w:val="14"/>
                <w:szCs w:val="14"/>
                <w:color w:val="auto"/>
              </w:rPr>
              <w:t>Delaware</w:t>
            </w:r>
          </w:p>
        </w:tc>
        <w:tc>
          <w:tcPr>
            <w:tcW w:w="8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3600" w:type="dxa"/>
            <w:vAlign w:val="bottom"/>
            <w:tcBorders>
              <w:bottom w:val="single" w:sz="8" w:color="auto"/>
            </w:tcBorders>
          </w:tcPr>
          <w:p>
            <w:pPr>
              <w:jc w:val="right"/>
              <w:ind w:right="2108"/>
              <w:spacing w:after="0"/>
              <w:rPr>
                <w:sz w:val="20"/>
                <w:szCs w:val="20"/>
                <w:color w:val="auto"/>
              </w:rPr>
            </w:pPr>
            <w:r>
              <w:rPr>
                <w:rFonts w:ascii="Arial" w:cs="Arial" w:eastAsia="Arial" w:hAnsi="Arial"/>
                <w:sz w:val="14"/>
                <w:szCs w:val="14"/>
                <w:color w:val="auto"/>
              </w:rPr>
              <w:t>22-2640650</w:t>
            </w:r>
          </w:p>
        </w:tc>
        <w:tc>
          <w:tcPr>
            <w:tcW w:w="300" w:type="dxa"/>
            <w:vAlign w:val="bottom"/>
          </w:tcPr>
          <w:p>
            <w:pPr>
              <w:spacing w:after="0"/>
              <w:rPr>
                <w:sz w:val="19"/>
                <w:szCs w:val="19"/>
                <w:color w:val="auto"/>
              </w:rPr>
            </w:pPr>
          </w:p>
        </w:tc>
      </w:tr>
      <w:tr>
        <w:trPr>
          <w:trHeight w:val="150"/>
        </w:trPr>
        <w:tc>
          <w:tcPr>
            <w:tcW w:w="340" w:type="dxa"/>
            <w:vAlign w:val="bottom"/>
          </w:tcPr>
          <w:p>
            <w:pPr>
              <w:spacing w:after="0"/>
              <w:rPr>
                <w:sz w:val="13"/>
                <w:szCs w:val="13"/>
                <w:color w:val="auto"/>
              </w:rPr>
            </w:pPr>
          </w:p>
        </w:tc>
        <w:tc>
          <w:tcPr>
            <w:tcW w:w="4560" w:type="dxa"/>
            <w:vAlign w:val="bottom"/>
            <w:gridSpan w:val="2"/>
          </w:tcPr>
          <w:p>
            <w:pPr>
              <w:jc w:val="center"/>
              <w:ind w:left="728"/>
              <w:spacing w:after="0" w:line="151" w:lineRule="exact"/>
              <w:rPr>
                <w:sz w:val="20"/>
                <w:szCs w:val="20"/>
                <w:color w:val="auto"/>
              </w:rPr>
            </w:pPr>
            <w:r>
              <w:rPr>
                <w:rFonts w:ascii="Arial" w:cs="Arial" w:eastAsia="Arial" w:hAnsi="Arial"/>
                <w:sz w:val="14"/>
                <w:szCs w:val="14"/>
                <w:color w:val="auto"/>
              </w:rPr>
              <w:t>(State or other jurisdiction of</w:t>
            </w: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600" w:type="dxa"/>
            <w:vAlign w:val="bottom"/>
          </w:tcPr>
          <w:p>
            <w:pPr>
              <w:ind w:left="520"/>
              <w:spacing w:after="0" w:line="151" w:lineRule="exact"/>
              <w:rPr>
                <w:sz w:val="20"/>
                <w:szCs w:val="20"/>
                <w:color w:val="auto"/>
              </w:rPr>
            </w:pPr>
            <w:r>
              <w:rPr>
                <w:rFonts w:ascii="Arial" w:cs="Arial" w:eastAsia="Arial" w:hAnsi="Arial"/>
                <w:sz w:val="14"/>
                <w:szCs w:val="14"/>
                <w:color w:val="auto"/>
              </w:rPr>
              <w:t>(I.R.S. Employer</w:t>
            </w:r>
          </w:p>
        </w:tc>
        <w:tc>
          <w:tcPr>
            <w:tcW w:w="300" w:type="dxa"/>
            <w:vAlign w:val="bottom"/>
          </w:tcPr>
          <w:p>
            <w:pPr>
              <w:spacing w:after="0"/>
              <w:rPr>
                <w:sz w:val="13"/>
                <w:szCs w:val="13"/>
                <w:color w:val="auto"/>
              </w:rPr>
            </w:pPr>
          </w:p>
        </w:tc>
      </w:tr>
      <w:tr>
        <w:trPr>
          <w:trHeight w:val="190"/>
        </w:trPr>
        <w:tc>
          <w:tcPr>
            <w:tcW w:w="340" w:type="dxa"/>
            <w:vAlign w:val="bottom"/>
          </w:tcPr>
          <w:p>
            <w:pPr>
              <w:spacing w:after="0"/>
              <w:rPr>
                <w:sz w:val="16"/>
                <w:szCs w:val="16"/>
                <w:color w:val="auto"/>
              </w:rPr>
            </w:pPr>
          </w:p>
        </w:tc>
        <w:tc>
          <w:tcPr>
            <w:tcW w:w="4560" w:type="dxa"/>
            <w:vAlign w:val="bottom"/>
            <w:gridSpan w:val="2"/>
          </w:tcPr>
          <w:p>
            <w:pPr>
              <w:jc w:val="center"/>
              <w:ind w:left="708"/>
              <w:spacing w:after="0"/>
              <w:rPr>
                <w:sz w:val="20"/>
                <w:szCs w:val="20"/>
                <w:color w:val="auto"/>
              </w:rPr>
            </w:pPr>
            <w:r>
              <w:rPr>
                <w:rFonts w:ascii="Arial" w:cs="Arial" w:eastAsia="Arial" w:hAnsi="Arial"/>
                <w:sz w:val="14"/>
                <w:szCs w:val="14"/>
                <w:color w:val="auto"/>
              </w:rPr>
              <w:t>incorporation or organization)</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600" w:type="dxa"/>
            <w:vAlign w:val="bottom"/>
          </w:tcPr>
          <w:p>
            <w:pPr>
              <w:ind w:left="480"/>
              <w:spacing w:after="0"/>
              <w:rPr>
                <w:sz w:val="20"/>
                <w:szCs w:val="20"/>
                <w:color w:val="auto"/>
              </w:rPr>
            </w:pPr>
            <w:r>
              <w:rPr>
                <w:rFonts w:ascii="Arial" w:cs="Arial" w:eastAsia="Arial" w:hAnsi="Arial"/>
                <w:sz w:val="14"/>
                <w:szCs w:val="14"/>
                <w:color w:val="auto"/>
              </w:rPr>
              <w:t>Identification No.)</w:t>
            </w:r>
          </w:p>
        </w:tc>
        <w:tc>
          <w:tcPr>
            <w:tcW w:w="300" w:type="dxa"/>
            <w:vAlign w:val="bottom"/>
          </w:tcPr>
          <w:p>
            <w:pPr>
              <w:spacing w:after="0"/>
              <w:rPr>
                <w:sz w:val="16"/>
                <w:szCs w:val="16"/>
                <w:color w:val="auto"/>
              </w:rPr>
            </w:pPr>
          </w:p>
        </w:tc>
      </w:tr>
      <w:tr>
        <w:trPr>
          <w:trHeight w:val="243"/>
        </w:trPr>
        <w:tc>
          <w:tcPr>
            <w:tcW w:w="340" w:type="dxa"/>
            <w:vAlign w:val="bottom"/>
          </w:tcPr>
          <w:p>
            <w:pPr>
              <w:spacing w:after="0"/>
              <w:rPr>
                <w:sz w:val="21"/>
                <w:szCs w:val="21"/>
                <w:color w:val="auto"/>
              </w:rPr>
            </w:pPr>
          </w:p>
        </w:tc>
        <w:tc>
          <w:tcPr>
            <w:tcW w:w="4560" w:type="dxa"/>
            <w:vAlign w:val="bottom"/>
            <w:gridSpan w:val="2"/>
          </w:tcPr>
          <w:p>
            <w:pPr>
              <w:jc w:val="center"/>
              <w:ind w:left="708"/>
              <w:spacing w:after="0"/>
              <w:rPr>
                <w:sz w:val="20"/>
                <w:szCs w:val="20"/>
                <w:color w:val="auto"/>
              </w:rPr>
            </w:pPr>
            <w:r>
              <w:rPr>
                <w:rFonts w:ascii="Arial" w:cs="Arial" w:eastAsia="Arial" w:hAnsi="Arial"/>
                <w:sz w:val="14"/>
                <w:szCs w:val="14"/>
                <w:color w:val="auto"/>
              </w:rPr>
              <w:t>855 South Mint Street</w:t>
            </w: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300" w:type="dxa"/>
            <w:vAlign w:val="bottom"/>
          </w:tcPr>
          <w:p>
            <w:pPr>
              <w:spacing w:after="0"/>
              <w:rPr>
                <w:sz w:val="21"/>
                <w:szCs w:val="21"/>
                <w:color w:val="auto"/>
              </w:rPr>
            </w:pPr>
          </w:p>
        </w:tc>
      </w:tr>
      <w:tr>
        <w:trPr>
          <w:trHeight w:val="207"/>
        </w:trPr>
        <w:tc>
          <w:tcPr>
            <w:tcW w:w="340" w:type="dxa"/>
            <w:vAlign w:val="bottom"/>
          </w:tcPr>
          <w:p>
            <w:pPr>
              <w:spacing w:after="0"/>
              <w:rPr>
                <w:sz w:val="17"/>
                <w:szCs w:val="17"/>
                <w:color w:val="auto"/>
              </w:rPr>
            </w:pPr>
          </w:p>
        </w:tc>
        <w:tc>
          <w:tcPr>
            <w:tcW w:w="4560" w:type="dxa"/>
            <w:vAlign w:val="bottom"/>
            <w:tcBorders>
              <w:bottom w:val="single" w:sz="8" w:color="auto"/>
            </w:tcBorders>
            <w:gridSpan w:val="2"/>
          </w:tcPr>
          <w:p>
            <w:pPr>
              <w:jc w:val="center"/>
              <w:ind w:left="748"/>
              <w:spacing w:after="0"/>
              <w:rPr>
                <w:sz w:val="20"/>
                <w:szCs w:val="20"/>
                <w:color w:val="auto"/>
              </w:rPr>
            </w:pPr>
            <w:r>
              <w:rPr>
                <w:rFonts w:ascii="Arial" w:cs="Arial" w:eastAsia="Arial" w:hAnsi="Arial"/>
                <w:sz w:val="14"/>
                <w:szCs w:val="14"/>
                <w:color w:val="auto"/>
              </w:rPr>
              <w:t>Charlotte, North Carolina</w:t>
            </w:r>
          </w:p>
        </w:tc>
        <w:tc>
          <w:tcPr>
            <w:tcW w:w="8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3600" w:type="dxa"/>
            <w:vAlign w:val="bottom"/>
            <w:tcBorders>
              <w:bottom w:val="single" w:sz="8" w:color="auto"/>
            </w:tcBorders>
          </w:tcPr>
          <w:p>
            <w:pPr>
              <w:jc w:val="right"/>
              <w:ind w:right="2288"/>
              <w:spacing w:after="0"/>
              <w:rPr>
                <w:sz w:val="20"/>
                <w:szCs w:val="20"/>
                <w:color w:val="auto"/>
              </w:rPr>
            </w:pPr>
            <w:r>
              <w:rPr>
                <w:rFonts w:ascii="Arial" w:cs="Arial" w:eastAsia="Arial" w:hAnsi="Arial"/>
                <w:sz w:val="14"/>
                <w:szCs w:val="14"/>
                <w:color w:val="auto"/>
              </w:rPr>
              <w:t>28202</w:t>
            </w:r>
          </w:p>
        </w:tc>
        <w:tc>
          <w:tcPr>
            <w:tcW w:w="300" w:type="dxa"/>
            <w:vAlign w:val="bottom"/>
          </w:tcPr>
          <w:p>
            <w:pPr>
              <w:spacing w:after="0"/>
              <w:rPr>
                <w:sz w:val="17"/>
                <w:szCs w:val="17"/>
                <w:color w:val="auto"/>
              </w:rPr>
            </w:pPr>
          </w:p>
        </w:tc>
      </w:tr>
      <w:tr>
        <w:trPr>
          <w:trHeight w:val="192"/>
        </w:trPr>
        <w:tc>
          <w:tcPr>
            <w:tcW w:w="340" w:type="dxa"/>
            <w:vAlign w:val="bottom"/>
          </w:tcPr>
          <w:p>
            <w:pPr>
              <w:spacing w:after="0"/>
              <w:rPr>
                <w:sz w:val="16"/>
                <w:szCs w:val="16"/>
                <w:color w:val="auto"/>
              </w:rPr>
            </w:pPr>
          </w:p>
        </w:tc>
        <w:tc>
          <w:tcPr>
            <w:tcW w:w="4560" w:type="dxa"/>
            <w:vAlign w:val="bottom"/>
            <w:gridSpan w:val="2"/>
          </w:tcPr>
          <w:p>
            <w:pPr>
              <w:jc w:val="center"/>
              <w:ind w:left="708"/>
              <w:spacing w:after="0"/>
              <w:rPr>
                <w:sz w:val="20"/>
                <w:szCs w:val="20"/>
                <w:color w:val="auto"/>
              </w:rPr>
            </w:pPr>
            <w:r>
              <w:rPr>
                <w:rFonts w:ascii="Arial" w:cs="Arial" w:eastAsia="Arial" w:hAnsi="Arial"/>
                <w:sz w:val="14"/>
                <w:szCs w:val="14"/>
                <w:color w:val="auto"/>
              </w:rPr>
              <w:t>(Address of principal executive offices)</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600" w:type="dxa"/>
            <w:vAlign w:val="bottom"/>
          </w:tcPr>
          <w:p>
            <w:pPr>
              <w:ind w:left="700"/>
              <w:spacing w:after="0"/>
              <w:rPr>
                <w:sz w:val="20"/>
                <w:szCs w:val="20"/>
                <w:color w:val="auto"/>
              </w:rPr>
            </w:pPr>
            <w:r>
              <w:rPr>
                <w:rFonts w:ascii="Arial" w:cs="Arial" w:eastAsia="Arial" w:hAnsi="Arial"/>
                <w:sz w:val="14"/>
                <w:szCs w:val="14"/>
                <w:color w:val="auto"/>
              </w:rPr>
              <w:t>(Zip Code)</w:t>
            </w:r>
          </w:p>
        </w:tc>
        <w:tc>
          <w:tcPr>
            <w:tcW w:w="300" w:type="dxa"/>
            <w:vAlign w:val="bottom"/>
          </w:tcPr>
          <w:p>
            <w:pPr>
              <w:spacing w:after="0"/>
              <w:rPr>
                <w:sz w:val="16"/>
                <w:szCs w:val="16"/>
                <w:color w:val="auto"/>
              </w:rPr>
            </w:pPr>
          </w:p>
        </w:tc>
      </w:tr>
      <w:tr>
        <w:trPr>
          <w:trHeight w:val="338"/>
        </w:trPr>
        <w:tc>
          <w:tcPr>
            <w:tcW w:w="4900" w:type="dxa"/>
            <w:vAlign w:val="bottom"/>
            <w:gridSpan w:val="3"/>
          </w:tcPr>
          <w:p>
            <w:pPr>
              <w:spacing w:after="0"/>
              <w:rPr>
                <w:sz w:val="20"/>
                <w:szCs w:val="20"/>
                <w:color w:val="auto"/>
              </w:rPr>
            </w:pPr>
            <w:r>
              <w:rPr>
                <w:rFonts w:ascii="Arial" w:cs="Arial" w:eastAsia="Arial" w:hAnsi="Arial"/>
                <w:sz w:val="14"/>
                <w:szCs w:val="14"/>
                <w:color w:val="auto"/>
              </w:rPr>
              <w:t>Registrant’s telephone number, including area code (704) 627-6200</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30"/>
        </w:trPr>
        <w:tc>
          <w:tcPr>
            <w:tcW w:w="4900" w:type="dxa"/>
            <w:vAlign w:val="bottom"/>
            <w:gridSpan w:val="3"/>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88"/>
        </w:trPr>
        <w:tc>
          <w:tcPr>
            <w:tcW w:w="34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jc w:val="center"/>
              <w:ind w:right="248"/>
              <w:spacing w:after="0"/>
              <w:rPr>
                <w:sz w:val="20"/>
                <w:szCs w:val="20"/>
                <w:color w:val="auto"/>
              </w:rPr>
            </w:pPr>
            <w:r>
              <w:rPr>
                <w:rFonts w:ascii="Arial" w:cs="Arial" w:eastAsia="Arial" w:hAnsi="Arial"/>
                <w:sz w:val="14"/>
                <w:szCs w:val="14"/>
                <w:color w:val="auto"/>
              </w:rPr>
              <w:t>Title of Each Class</w:t>
            </w:r>
          </w:p>
        </w:tc>
        <w:tc>
          <w:tcPr>
            <w:tcW w:w="120" w:type="dxa"/>
            <w:vAlign w:val="bottom"/>
          </w:tcPr>
          <w:p>
            <w:pPr>
              <w:spacing w:after="0"/>
              <w:rPr>
                <w:sz w:val="24"/>
                <w:szCs w:val="24"/>
                <w:color w:val="auto"/>
              </w:rPr>
            </w:pPr>
          </w:p>
        </w:tc>
        <w:tc>
          <w:tcPr>
            <w:tcW w:w="14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rPr>
              <w:t>Trading Symbol(s)</w:t>
            </w:r>
          </w:p>
        </w:tc>
        <w:tc>
          <w:tcPr>
            <w:tcW w:w="10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Name of each exchange on which registered</w:t>
            </w:r>
          </w:p>
        </w:tc>
        <w:tc>
          <w:tcPr>
            <w:tcW w:w="300" w:type="dxa"/>
            <w:vAlign w:val="bottom"/>
            <w:tcBorders>
              <w:bottom w:val="single" w:sz="8" w:color="auto"/>
            </w:tcBorders>
          </w:tcPr>
          <w:p>
            <w:pPr>
              <w:spacing w:after="0"/>
              <w:rPr>
                <w:sz w:val="24"/>
                <w:szCs w:val="24"/>
                <w:color w:val="auto"/>
              </w:rPr>
            </w:pPr>
          </w:p>
        </w:tc>
      </w:tr>
      <w:tr>
        <w:trPr>
          <w:trHeight w:val="192"/>
        </w:trPr>
        <w:tc>
          <w:tcPr>
            <w:tcW w:w="340" w:type="dxa"/>
            <w:vAlign w:val="bottom"/>
          </w:tcPr>
          <w:p>
            <w:pPr>
              <w:spacing w:after="0"/>
              <w:rPr>
                <w:sz w:val="16"/>
                <w:szCs w:val="16"/>
                <w:color w:val="auto"/>
              </w:rPr>
            </w:pPr>
          </w:p>
        </w:tc>
        <w:tc>
          <w:tcPr>
            <w:tcW w:w="4560" w:type="dxa"/>
            <w:vAlign w:val="bottom"/>
            <w:gridSpan w:val="2"/>
          </w:tcPr>
          <w:p>
            <w:pPr>
              <w:jc w:val="center"/>
              <w:ind w:right="460"/>
              <w:spacing w:after="0"/>
              <w:rPr>
                <w:sz w:val="20"/>
                <w:szCs w:val="20"/>
                <w:color w:val="auto"/>
              </w:rPr>
            </w:pPr>
            <w:r>
              <w:rPr>
                <w:rFonts w:ascii="Arial" w:cs="Arial" w:eastAsia="Arial" w:hAnsi="Arial"/>
                <w:sz w:val="14"/>
                <w:szCs w:val="14"/>
                <w:color w:val="auto"/>
              </w:rPr>
              <w:t>Common Stock, par value $1 per share</w:t>
            </w:r>
          </w:p>
        </w:tc>
        <w:tc>
          <w:tcPr>
            <w:tcW w:w="2420" w:type="dxa"/>
            <w:vAlign w:val="bottom"/>
            <w:gridSpan w:val="5"/>
          </w:tcPr>
          <w:p>
            <w:pPr>
              <w:jc w:val="center"/>
              <w:ind w:right="1020"/>
              <w:spacing w:after="0"/>
              <w:rPr>
                <w:sz w:val="20"/>
                <w:szCs w:val="20"/>
                <w:color w:val="auto"/>
              </w:rPr>
            </w:pPr>
            <w:r>
              <w:rPr>
                <w:rFonts w:ascii="Arial" w:cs="Arial" w:eastAsia="Arial" w:hAnsi="Arial"/>
                <w:sz w:val="14"/>
                <w:szCs w:val="14"/>
                <w:color w:val="auto"/>
              </w:rPr>
              <w:t>HON</w:t>
            </w:r>
          </w:p>
        </w:tc>
        <w:tc>
          <w:tcPr>
            <w:tcW w:w="3600" w:type="dxa"/>
            <w:vAlign w:val="bottom"/>
          </w:tcPr>
          <w:p>
            <w:pPr>
              <w:ind w:left="500"/>
              <w:spacing w:after="0"/>
              <w:rPr>
                <w:sz w:val="20"/>
                <w:szCs w:val="20"/>
                <w:color w:val="auto"/>
              </w:rPr>
            </w:pPr>
            <w:r>
              <w:rPr>
                <w:rFonts w:ascii="Arial" w:cs="Arial" w:eastAsia="Arial" w:hAnsi="Arial"/>
                <w:sz w:val="14"/>
                <w:szCs w:val="14"/>
                <w:color w:val="auto"/>
              </w:rPr>
              <w:t>The Nasdaq Stock Market LLC</w:t>
            </w:r>
          </w:p>
        </w:tc>
        <w:tc>
          <w:tcPr>
            <w:tcW w:w="300" w:type="dxa"/>
            <w:vAlign w:val="bottom"/>
          </w:tcPr>
          <w:p>
            <w:pPr>
              <w:spacing w:after="0"/>
              <w:rPr>
                <w:sz w:val="16"/>
                <w:szCs w:val="16"/>
                <w:color w:val="auto"/>
              </w:rPr>
            </w:pPr>
          </w:p>
        </w:tc>
      </w:tr>
      <w:tr>
        <w:trPr>
          <w:trHeight w:val="203"/>
        </w:trPr>
        <w:tc>
          <w:tcPr>
            <w:tcW w:w="340" w:type="dxa"/>
            <w:vAlign w:val="bottom"/>
          </w:tcPr>
          <w:p>
            <w:pPr>
              <w:spacing w:after="0"/>
              <w:rPr>
                <w:sz w:val="17"/>
                <w:szCs w:val="17"/>
                <w:color w:val="auto"/>
              </w:rPr>
            </w:pPr>
          </w:p>
        </w:tc>
        <w:tc>
          <w:tcPr>
            <w:tcW w:w="4560" w:type="dxa"/>
            <w:vAlign w:val="bottom"/>
            <w:gridSpan w:val="2"/>
          </w:tcPr>
          <w:p>
            <w:pPr>
              <w:jc w:val="center"/>
              <w:ind w:right="440"/>
              <w:spacing w:after="0"/>
              <w:rPr>
                <w:sz w:val="20"/>
                <w:szCs w:val="20"/>
                <w:color w:val="auto"/>
              </w:rPr>
            </w:pPr>
            <w:r>
              <w:rPr>
                <w:rFonts w:ascii="Arial" w:cs="Arial" w:eastAsia="Arial" w:hAnsi="Arial"/>
                <w:sz w:val="14"/>
                <w:szCs w:val="14"/>
                <w:color w:val="auto"/>
              </w:rPr>
              <w:t>3.500% Senior Notes due 2027</w:t>
            </w:r>
          </w:p>
        </w:tc>
        <w:tc>
          <w:tcPr>
            <w:tcW w:w="2420" w:type="dxa"/>
            <w:vAlign w:val="bottom"/>
            <w:gridSpan w:val="5"/>
          </w:tcPr>
          <w:p>
            <w:pPr>
              <w:jc w:val="center"/>
              <w:ind w:right="1020"/>
              <w:spacing w:after="0"/>
              <w:rPr>
                <w:sz w:val="20"/>
                <w:szCs w:val="20"/>
                <w:color w:val="auto"/>
              </w:rPr>
            </w:pPr>
            <w:r>
              <w:rPr>
                <w:rFonts w:ascii="Arial" w:cs="Arial" w:eastAsia="Arial" w:hAnsi="Arial"/>
                <w:sz w:val="14"/>
                <w:szCs w:val="14"/>
                <w:color w:val="auto"/>
              </w:rPr>
              <w:t>HON 27</w:t>
            </w:r>
          </w:p>
        </w:tc>
        <w:tc>
          <w:tcPr>
            <w:tcW w:w="3600" w:type="dxa"/>
            <w:vAlign w:val="bottom"/>
          </w:tcPr>
          <w:p>
            <w:pPr>
              <w:ind w:left="500"/>
              <w:spacing w:after="0"/>
              <w:rPr>
                <w:sz w:val="20"/>
                <w:szCs w:val="20"/>
                <w:color w:val="auto"/>
              </w:rPr>
            </w:pPr>
            <w:r>
              <w:rPr>
                <w:rFonts w:ascii="Arial" w:cs="Arial" w:eastAsia="Arial" w:hAnsi="Arial"/>
                <w:sz w:val="14"/>
                <w:szCs w:val="14"/>
                <w:color w:val="auto"/>
              </w:rPr>
              <w:t>The Nasdaq Stock Market LLC</w:t>
            </w:r>
          </w:p>
        </w:tc>
        <w:tc>
          <w:tcPr>
            <w:tcW w:w="30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4560" w:type="dxa"/>
            <w:vAlign w:val="bottom"/>
            <w:gridSpan w:val="2"/>
          </w:tcPr>
          <w:p>
            <w:pPr>
              <w:jc w:val="center"/>
              <w:ind w:right="440"/>
              <w:spacing w:after="0"/>
              <w:rPr>
                <w:sz w:val="20"/>
                <w:szCs w:val="20"/>
                <w:color w:val="auto"/>
              </w:rPr>
            </w:pPr>
            <w:r>
              <w:rPr>
                <w:rFonts w:ascii="Arial" w:cs="Arial" w:eastAsia="Arial" w:hAnsi="Arial"/>
                <w:sz w:val="14"/>
                <w:szCs w:val="14"/>
                <w:color w:val="auto"/>
              </w:rPr>
              <w:t>2.250% Senior Notes due 2028</w:t>
            </w:r>
          </w:p>
        </w:tc>
        <w:tc>
          <w:tcPr>
            <w:tcW w:w="2420" w:type="dxa"/>
            <w:vAlign w:val="bottom"/>
            <w:gridSpan w:val="5"/>
          </w:tcPr>
          <w:p>
            <w:pPr>
              <w:jc w:val="center"/>
              <w:ind w:right="1040"/>
              <w:spacing w:after="0"/>
              <w:rPr>
                <w:sz w:val="20"/>
                <w:szCs w:val="20"/>
                <w:color w:val="auto"/>
              </w:rPr>
            </w:pPr>
            <w:r>
              <w:rPr>
                <w:rFonts w:ascii="Arial" w:cs="Arial" w:eastAsia="Arial" w:hAnsi="Arial"/>
                <w:sz w:val="14"/>
                <w:szCs w:val="14"/>
                <w:color w:val="auto"/>
              </w:rPr>
              <w:t>HON 28A</w:t>
            </w:r>
          </w:p>
        </w:tc>
        <w:tc>
          <w:tcPr>
            <w:tcW w:w="3600" w:type="dxa"/>
            <w:vAlign w:val="bottom"/>
          </w:tcPr>
          <w:p>
            <w:pPr>
              <w:ind w:left="500"/>
              <w:spacing w:after="0"/>
              <w:rPr>
                <w:sz w:val="20"/>
                <w:szCs w:val="20"/>
                <w:color w:val="auto"/>
              </w:rPr>
            </w:pPr>
            <w:r>
              <w:rPr>
                <w:rFonts w:ascii="Arial" w:cs="Arial" w:eastAsia="Arial" w:hAnsi="Arial"/>
                <w:sz w:val="14"/>
                <w:szCs w:val="14"/>
                <w:color w:val="auto"/>
              </w:rPr>
              <w:t>The Nasdaq Stock Market LLC</w:t>
            </w:r>
          </w:p>
        </w:tc>
        <w:tc>
          <w:tcPr>
            <w:tcW w:w="30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4560" w:type="dxa"/>
            <w:vAlign w:val="bottom"/>
            <w:gridSpan w:val="2"/>
          </w:tcPr>
          <w:p>
            <w:pPr>
              <w:jc w:val="center"/>
              <w:ind w:right="440"/>
              <w:spacing w:after="0"/>
              <w:rPr>
                <w:sz w:val="20"/>
                <w:szCs w:val="20"/>
                <w:color w:val="auto"/>
              </w:rPr>
            </w:pPr>
            <w:r>
              <w:rPr>
                <w:rFonts w:ascii="Arial" w:cs="Arial" w:eastAsia="Arial" w:hAnsi="Arial"/>
                <w:sz w:val="14"/>
                <w:szCs w:val="14"/>
                <w:color w:val="auto"/>
              </w:rPr>
              <w:t>3.375% Senior Notes due 2030</w:t>
            </w:r>
          </w:p>
        </w:tc>
        <w:tc>
          <w:tcPr>
            <w:tcW w:w="2420" w:type="dxa"/>
            <w:vAlign w:val="bottom"/>
            <w:gridSpan w:val="5"/>
          </w:tcPr>
          <w:p>
            <w:pPr>
              <w:jc w:val="center"/>
              <w:ind w:right="1020"/>
              <w:spacing w:after="0"/>
              <w:rPr>
                <w:sz w:val="20"/>
                <w:szCs w:val="20"/>
                <w:color w:val="auto"/>
              </w:rPr>
            </w:pPr>
            <w:r>
              <w:rPr>
                <w:rFonts w:ascii="Arial" w:cs="Arial" w:eastAsia="Arial" w:hAnsi="Arial"/>
                <w:sz w:val="14"/>
                <w:szCs w:val="14"/>
                <w:color w:val="auto"/>
              </w:rPr>
              <w:t>HON 30</w:t>
            </w:r>
          </w:p>
        </w:tc>
        <w:tc>
          <w:tcPr>
            <w:tcW w:w="3600" w:type="dxa"/>
            <w:vAlign w:val="bottom"/>
          </w:tcPr>
          <w:p>
            <w:pPr>
              <w:ind w:left="500"/>
              <w:spacing w:after="0"/>
              <w:rPr>
                <w:sz w:val="20"/>
                <w:szCs w:val="20"/>
                <w:color w:val="auto"/>
              </w:rPr>
            </w:pPr>
            <w:r>
              <w:rPr>
                <w:rFonts w:ascii="Arial" w:cs="Arial" w:eastAsia="Arial" w:hAnsi="Arial"/>
                <w:sz w:val="14"/>
                <w:szCs w:val="14"/>
                <w:color w:val="auto"/>
              </w:rPr>
              <w:t>The Nasdaq Stock Market LLC</w:t>
            </w:r>
          </w:p>
        </w:tc>
        <w:tc>
          <w:tcPr>
            <w:tcW w:w="30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4560" w:type="dxa"/>
            <w:vAlign w:val="bottom"/>
            <w:gridSpan w:val="2"/>
          </w:tcPr>
          <w:p>
            <w:pPr>
              <w:jc w:val="center"/>
              <w:ind w:right="440"/>
              <w:spacing w:after="0"/>
              <w:rPr>
                <w:sz w:val="20"/>
                <w:szCs w:val="20"/>
                <w:color w:val="auto"/>
              </w:rPr>
            </w:pPr>
            <w:r>
              <w:rPr>
                <w:rFonts w:ascii="Arial" w:cs="Arial" w:eastAsia="Arial" w:hAnsi="Arial"/>
                <w:sz w:val="14"/>
                <w:szCs w:val="14"/>
                <w:color w:val="auto"/>
              </w:rPr>
              <w:t>0.750% Senior Notes due 2032</w:t>
            </w:r>
          </w:p>
        </w:tc>
        <w:tc>
          <w:tcPr>
            <w:tcW w:w="2420" w:type="dxa"/>
            <w:vAlign w:val="bottom"/>
            <w:gridSpan w:val="5"/>
          </w:tcPr>
          <w:p>
            <w:pPr>
              <w:jc w:val="center"/>
              <w:ind w:right="1020"/>
              <w:spacing w:after="0"/>
              <w:rPr>
                <w:sz w:val="20"/>
                <w:szCs w:val="20"/>
                <w:color w:val="auto"/>
              </w:rPr>
            </w:pPr>
            <w:r>
              <w:rPr>
                <w:rFonts w:ascii="Arial" w:cs="Arial" w:eastAsia="Arial" w:hAnsi="Arial"/>
                <w:sz w:val="14"/>
                <w:szCs w:val="14"/>
                <w:color w:val="auto"/>
              </w:rPr>
              <w:t>HON 32</w:t>
            </w:r>
          </w:p>
        </w:tc>
        <w:tc>
          <w:tcPr>
            <w:tcW w:w="3600" w:type="dxa"/>
            <w:vAlign w:val="bottom"/>
          </w:tcPr>
          <w:p>
            <w:pPr>
              <w:ind w:left="500"/>
              <w:spacing w:after="0"/>
              <w:rPr>
                <w:sz w:val="20"/>
                <w:szCs w:val="20"/>
                <w:color w:val="auto"/>
              </w:rPr>
            </w:pPr>
            <w:r>
              <w:rPr>
                <w:rFonts w:ascii="Arial" w:cs="Arial" w:eastAsia="Arial" w:hAnsi="Arial"/>
                <w:sz w:val="14"/>
                <w:szCs w:val="14"/>
                <w:color w:val="auto"/>
              </w:rPr>
              <w:t>The Nasdaq Stock Market LLC</w:t>
            </w:r>
          </w:p>
        </w:tc>
        <w:tc>
          <w:tcPr>
            <w:tcW w:w="30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4560" w:type="dxa"/>
            <w:vAlign w:val="bottom"/>
            <w:gridSpan w:val="2"/>
          </w:tcPr>
          <w:p>
            <w:pPr>
              <w:jc w:val="center"/>
              <w:ind w:right="440"/>
              <w:spacing w:after="0"/>
              <w:rPr>
                <w:sz w:val="20"/>
                <w:szCs w:val="20"/>
                <w:color w:val="auto"/>
              </w:rPr>
            </w:pPr>
            <w:r>
              <w:rPr>
                <w:rFonts w:ascii="Arial" w:cs="Arial" w:eastAsia="Arial" w:hAnsi="Arial"/>
                <w:sz w:val="14"/>
                <w:szCs w:val="14"/>
                <w:color w:val="auto"/>
              </w:rPr>
              <w:t>3.750% Senior Notes due 2032</w:t>
            </w:r>
          </w:p>
        </w:tc>
        <w:tc>
          <w:tcPr>
            <w:tcW w:w="2420" w:type="dxa"/>
            <w:vAlign w:val="bottom"/>
            <w:gridSpan w:val="5"/>
          </w:tcPr>
          <w:p>
            <w:pPr>
              <w:jc w:val="center"/>
              <w:ind w:right="1040"/>
              <w:spacing w:after="0"/>
              <w:rPr>
                <w:sz w:val="20"/>
                <w:szCs w:val="20"/>
                <w:color w:val="auto"/>
              </w:rPr>
            </w:pPr>
            <w:r>
              <w:rPr>
                <w:rFonts w:ascii="Arial" w:cs="Arial" w:eastAsia="Arial" w:hAnsi="Arial"/>
                <w:sz w:val="14"/>
                <w:szCs w:val="14"/>
                <w:color w:val="auto"/>
              </w:rPr>
              <w:t>HON 32A</w:t>
            </w:r>
          </w:p>
        </w:tc>
        <w:tc>
          <w:tcPr>
            <w:tcW w:w="3600" w:type="dxa"/>
            <w:vAlign w:val="bottom"/>
          </w:tcPr>
          <w:p>
            <w:pPr>
              <w:ind w:left="500"/>
              <w:spacing w:after="0"/>
              <w:rPr>
                <w:sz w:val="20"/>
                <w:szCs w:val="20"/>
                <w:color w:val="auto"/>
              </w:rPr>
            </w:pPr>
            <w:r>
              <w:rPr>
                <w:rFonts w:ascii="Arial" w:cs="Arial" w:eastAsia="Arial" w:hAnsi="Arial"/>
                <w:sz w:val="14"/>
                <w:szCs w:val="14"/>
                <w:color w:val="auto"/>
              </w:rPr>
              <w:t>The Nasdaq Stock Market LLC</w:t>
            </w:r>
          </w:p>
        </w:tc>
        <w:tc>
          <w:tcPr>
            <w:tcW w:w="30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4560" w:type="dxa"/>
            <w:vAlign w:val="bottom"/>
            <w:gridSpan w:val="2"/>
          </w:tcPr>
          <w:p>
            <w:pPr>
              <w:jc w:val="center"/>
              <w:ind w:right="440"/>
              <w:spacing w:after="0"/>
              <w:rPr>
                <w:sz w:val="20"/>
                <w:szCs w:val="20"/>
                <w:color w:val="auto"/>
              </w:rPr>
            </w:pPr>
            <w:r>
              <w:rPr>
                <w:rFonts w:ascii="Arial" w:cs="Arial" w:eastAsia="Arial" w:hAnsi="Arial"/>
                <w:sz w:val="14"/>
                <w:szCs w:val="14"/>
                <w:color w:val="auto"/>
              </w:rPr>
              <w:t>4.125% Senior Notes due 2034</w:t>
            </w:r>
          </w:p>
        </w:tc>
        <w:tc>
          <w:tcPr>
            <w:tcW w:w="2420" w:type="dxa"/>
            <w:vAlign w:val="bottom"/>
            <w:gridSpan w:val="5"/>
          </w:tcPr>
          <w:p>
            <w:pPr>
              <w:jc w:val="center"/>
              <w:ind w:right="1020"/>
              <w:spacing w:after="0"/>
              <w:rPr>
                <w:sz w:val="20"/>
                <w:szCs w:val="20"/>
                <w:color w:val="auto"/>
              </w:rPr>
            </w:pPr>
            <w:r>
              <w:rPr>
                <w:rFonts w:ascii="Arial" w:cs="Arial" w:eastAsia="Arial" w:hAnsi="Arial"/>
                <w:sz w:val="14"/>
                <w:szCs w:val="14"/>
                <w:color w:val="auto"/>
              </w:rPr>
              <w:t>HON 34</w:t>
            </w:r>
          </w:p>
        </w:tc>
        <w:tc>
          <w:tcPr>
            <w:tcW w:w="3600" w:type="dxa"/>
            <w:vAlign w:val="bottom"/>
          </w:tcPr>
          <w:p>
            <w:pPr>
              <w:ind w:left="500"/>
              <w:spacing w:after="0"/>
              <w:rPr>
                <w:sz w:val="20"/>
                <w:szCs w:val="20"/>
                <w:color w:val="auto"/>
              </w:rPr>
            </w:pPr>
            <w:r>
              <w:rPr>
                <w:rFonts w:ascii="Arial" w:cs="Arial" w:eastAsia="Arial" w:hAnsi="Arial"/>
                <w:sz w:val="14"/>
                <w:szCs w:val="14"/>
                <w:color w:val="auto"/>
              </w:rPr>
              <w:t>The Nasdaq Stock Market LLC</w:t>
            </w:r>
          </w:p>
        </w:tc>
        <w:tc>
          <w:tcPr>
            <w:tcW w:w="30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4560" w:type="dxa"/>
            <w:vAlign w:val="bottom"/>
            <w:gridSpan w:val="2"/>
          </w:tcPr>
          <w:p>
            <w:pPr>
              <w:jc w:val="center"/>
              <w:ind w:right="440"/>
              <w:spacing w:after="0"/>
              <w:rPr>
                <w:sz w:val="20"/>
                <w:szCs w:val="20"/>
                <w:color w:val="auto"/>
              </w:rPr>
            </w:pPr>
            <w:r>
              <w:rPr>
                <w:rFonts w:ascii="Arial" w:cs="Arial" w:eastAsia="Arial" w:hAnsi="Arial"/>
                <w:sz w:val="14"/>
                <w:szCs w:val="14"/>
                <w:color w:val="auto"/>
              </w:rPr>
              <w:t>3.750% Senior Notes due 2036</w:t>
            </w:r>
          </w:p>
        </w:tc>
        <w:tc>
          <w:tcPr>
            <w:tcW w:w="2420" w:type="dxa"/>
            <w:vAlign w:val="bottom"/>
            <w:gridSpan w:val="5"/>
          </w:tcPr>
          <w:p>
            <w:pPr>
              <w:jc w:val="center"/>
              <w:ind w:right="1020"/>
              <w:spacing w:after="0"/>
              <w:rPr>
                <w:sz w:val="20"/>
                <w:szCs w:val="20"/>
                <w:color w:val="auto"/>
              </w:rPr>
            </w:pPr>
            <w:r>
              <w:rPr>
                <w:rFonts w:ascii="Arial" w:cs="Arial" w:eastAsia="Arial" w:hAnsi="Arial"/>
                <w:sz w:val="14"/>
                <w:szCs w:val="14"/>
                <w:color w:val="auto"/>
              </w:rPr>
              <w:t>HON 36</w:t>
            </w:r>
          </w:p>
        </w:tc>
        <w:tc>
          <w:tcPr>
            <w:tcW w:w="3600" w:type="dxa"/>
            <w:vAlign w:val="bottom"/>
          </w:tcPr>
          <w:p>
            <w:pPr>
              <w:ind w:left="500"/>
              <w:spacing w:after="0"/>
              <w:rPr>
                <w:sz w:val="20"/>
                <w:szCs w:val="20"/>
                <w:color w:val="auto"/>
              </w:rPr>
            </w:pPr>
            <w:r>
              <w:rPr>
                <w:rFonts w:ascii="Arial" w:cs="Arial" w:eastAsia="Arial" w:hAnsi="Arial"/>
                <w:sz w:val="14"/>
                <w:szCs w:val="14"/>
                <w:color w:val="auto"/>
              </w:rPr>
              <w:t>The Nasdaq Stock Market LLC</w:t>
            </w:r>
          </w:p>
        </w:tc>
        <w:tc>
          <w:tcPr>
            <w:tcW w:w="300" w:type="dxa"/>
            <w:vAlign w:val="bottom"/>
          </w:tcPr>
          <w:p>
            <w:pPr>
              <w:spacing w:after="0"/>
              <w:rPr>
                <w:sz w:val="17"/>
                <w:szCs w:val="17"/>
                <w:color w:val="auto"/>
              </w:rPr>
            </w:pPr>
          </w:p>
        </w:tc>
      </w:tr>
    </w:tbl>
    <w:p>
      <w:pPr>
        <w:spacing w:after="0" w:line="80"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Section 12(g) of the Act: None</w:t>
      </w:r>
    </w:p>
    <w:p>
      <w:pPr>
        <w:spacing w:after="0" w:line="37"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Wingdings" w:cs="Wingdings" w:eastAsia="Wingdings" w:hAnsi="Wingdings"/>
          <w:sz w:val="14"/>
          <w:szCs w:val="14"/>
          <w:b w:val="1"/>
          <w:bCs w:val="1"/>
          <w:color w:val="auto"/>
        </w:rPr>
        <w:t>x</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8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if the Registrant is not required to file reports pursuant to Section 13 or Section 15(d)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Wingdings" w:cs="Wingdings" w:eastAsia="Wingdings" w:hAnsi="Wingdings"/>
          <w:sz w:val="14"/>
          <w:szCs w:val="14"/>
          <w:b w:val="1"/>
          <w:bCs w:val="1"/>
          <w:color w:val="auto"/>
        </w:rPr>
        <w:t>x</w:t>
      </w:r>
    </w:p>
    <w:p>
      <w:pPr>
        <w:spacing w:after="0" w:line="88" w:lineRule="exact"/>
        <w:rPr>
          <w:sz w:val="24"/>
          <w:szCs w:val="24"/>
          <w:color w:val="auto"/>
        </w:rPr>
      </w:pPr>
    </w:p>
    <w:p>
      <w:pPr>
        <w:jc w:val="both"/>
        <w:ind w:right="20"/>
        <w:spacing w:after="0" w:line="186"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4"/>
          <w:szCs w:val="14"/>
          <w:b w:val="1"/>
          <w:bCs w:val="1"/>
          <w:color w:val="auto"/>
        </w:rPr>
        <w:t>x</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p>
    <w:p>
      <w:pPr>
        <w:jc w:val="both"/>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4"/>
          <w:szCs w:val="14"/>
          <w:b w:val="1"/>
          <w:bCs w:val="1"/>
          <w:color w:val="auto"/>
        </w:rPr>
        <w:t>x</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3" w:lineRule="exact"/>
        <w:rPr>
          <w:sz w:val="24"/>
          <w:szCs w:val="24"/>
          <w:color w:val="auto"/>
        </w:rPr>
      </w:pPr>
    </w:p>
    <w:p>
      <w:pPr>
        <w:jc w:val="both"/>
        <w:ind w:right="20"/>
        <w:spacing w:after="0" w:line="252"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 w:lineRule="exact"/>
        <w:rPr>
          <w:sz w:val="24"/>
          <w:szCs w:val="24"/>
          <w:color w:val="auto"/>
        </w:rPr>
      </w:pPr>
    </w:p>
    <w:p>
      <w:pPr>
        <w:ind w:left="20"/>
        <w:spacing w:after="0" w:line="161" w:lineRule="exact"/>
        <w:tabs>
          <w:tab w:leader="none" w:pos="1900" w:val="left"/>
          <w:tab w:leader="none" w:pos="2240" w:val="left"/>
          <w:tab w:leader="none" w:pos="4000" w:val="left"/>
          <w:tab w:leader="none" w:pos="6100" w:val="left"/>
          <w:tab w:leader="none" w:pos="8340" w:val="left"/>
          <w:tab w:leader="none" w:pos="8680" w:val="left"/>
          <w:tab w:leader="none" w:pos="1090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Wingdings" w:cs="Wingdings" w:eastAsia="Wingdings" w:hAnsi="Wingdings"/>
          <w:sz w:val="14"/>
          <w:szCs w:val="14"/>
          <w:b w:val="1"/>
          <w:bCs w:val="1"/>
          <w:color w:val="auto"/>
        </w:rPr>
        <w:t>x</w:t>
      </w:r>
      <w:r>
        <w:rPr>
          <w:sz w:val="20"/>
          <w:szCs w:val="20"/>
          <w:color w:val="auto"/>
        </w:rPr>
        <w:tab/>
      </w: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Smaller reporting company</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Emerging growth company</w:t>
      </w:r>
      <w:r>
        <w:rPr>
          <w:sz w:val="20"/>
          <w:szCs w:val="20"/>
          <w:color w:val="auto"/>
        </w:rPr>
        <w:tab/>
      </w:r>
      <w:r>
        <w:rPr>
          <w:rFonts w:ascii="MS PGothic" w:cs="MS PGothic" w:eastAsia="MS PGothic" w:hAnsi="MS PGothic"/>
          <w:sz w:val="12"/>
          <w:szCs w:val="12"/>
          <w:color w:val="auto"/>
        </w:rPr>
        <w:t>☐</w:t>
      </w:r>
    </w:p>
    <w:p>
      <w:pPr>
        <w:spacing w:after="0" w:line="135" w:lineRule="exact"/>
        <w:rPr>
          <w:sz w:val="24"/>
          <w:szCs w:val="24"/>
          <w:color w:val="auto"/>
        </w:rPr>
      </w:pPr>
    </w:p>
    <w:p>
      <w:pPr>
        <w:jc w:val="both"/>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p>
    <w:p>
      <w:pPr>
        <w:jc w:val="both"/>
        <w:spacing w:after="0" w:line="285" w:lineRule="auto"/>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 w:cs="Wingdings" w:eastAsia="Wingdings" w:hAnsi="Wingdings"/>
          <w:sz w:val="14"/>
          <w:szCs w:val="14"/>
          <w:b w:val="1"/>
          <w:bCs w:val="1"/>
          <w:color w:val="auto"/>
        </w:rPr>
        <w:t>x</w:t>
      </w:r>
    </w:p>
    <w:p>
      <w:pPr>
        <w:spacing w:after="0" w:line="9" w:lineRule="exact"/>
        <w:rPr>
          <w:sz w:val="24"/>
          <w:szCs w:val="24"/>
          <w:color w:val="auto"/>
        </w:rPr>
      </w:pPr>
    </w:p>
    <w:p>
      <w:pPr>
        <w:ind w:right="560"/>
        <w:spacing w:after="0" w:line="186" w:lineRule="exact"/>
        <w:rPr>
          <w:sz w:val="20"/>
          <w:szCs w:val="20"/>
          <w:color w:val="auto"/>
        </w:rPr>
      </w:pPr>
      <w:r>
        <w:rPr>
          <w:rFonts w:ascii="Arial" w:cs="Arial" w:eastAsia="Arial" w:hAnsi="Arial"/>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20" w:lineRule="exact"/>
        <w:rPr>
          <w:sz w:val="24"/>
          <w:szCs w:val="24"/>
          <w:color w:val="auto"/>
        </w:rPr>
      </w:pPr>
    </w:p>
    <w:p>
      <w:pPr>
        <w:ind w:right="460"/>
        <w:spacing w:after="0" w:line="186" w:lineRule="exact"/>
        <w:rPr>
          <w:sz w:val="20"/>
          <w:szCs w:val="20"/>
          <w:color w:val="auto"/>
        </w:rPr>
      </w:pPr>
      <w:r>
        <w:rPr>
          <w:rFonts w:ascii="Arial" w:cs="Arial" w:eastAsia="Arial" w:hAnsi="Arial"/>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4"/>
          <w:szCs w:val="14"/>
          <w:color w:val="auto"/>
        </w:rPr>
        <w:t>☐</w:t>
      </w:r>
    </w:p>
    <w:p>
      <w:pPr>
        <w:spacing w:after="0" w:line="2"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Wingdings" w:cs="Wingdings" w:eastAsia="Wingdings" w:hAnsi="Wingdings"/>
          <w:sz w:val="14"/>
          <w:szCs w:val="14"/>
          <w:b w:val="1"/>
          <w:bCs w:val="1"/>
          <w:color w:val="auto"/>
        </w:rPr>
        <w:t>x</w:t>
      </w:r>
    </w:p>
    <w:p>
      <w:pPr>
        <w:spacing w:after="0" w:line="100" w:lineRule="exact"/>
        <w:rPr>
          <w:sz w:val="24"/>
          <w:szCs w:val="24"/>
          <w:color w:val="auto"/>
        </w:rPr>
      </w:pPr>
    </w:p>
    <w:p>
      <w:pPr>
        <w:spacing w:after="0"/>
        <w:rPr>
          <w:sz w:val="20"/>
          <w:szCs w:val="20"/>
          <w:color w:val="auto"/>
        </w:rPr>
      </w:pPr>
      <w:r>
        <w:rPr>
          <w:rFonts w:ascii="Arial" w:cs="Arial" w:eastAsia="Arial" w:hAnsi="Arial"/>
          <w:sz w:val="14"/>
          <w:szCs w:val="14"/>
          <w:color w:val="auto"/>
        </w:rPr>
        <w:t>The aggregate market value of the common stock held by non-affiliates of the Registrant was approximately $138.7 billion at June 30, 2024.</w:t>
      </w:r>
    </w:p>
    <w:p>
      <w:pPr>
        <w:spacing w:after="0" w:line="69" w:lineRule="exact"/>
        <w:rPr>
          <w:sz w:val="24"/>
          <w:szCs w:val="24"/>
          <w:color w:val="auto"/>
        </w:rPr>
      </w:pPr>
    </w:p>
    <w:p>
      <w:pPr>
        <w:spacing w:after="0"/>
        <w:rPr>
          <w:sz w:val="20"/>
          <w:szCs w:val="20"/>
          <w:color w:val="auto"/>
        </w:rPr>
      </w:pPr>
      <w:r>
        <w:rPr>
          <w:rFonts w:ascii="Arial" w:cs="Arial" w:eastAsia="Arial" w:hAnsi="Arial"/>
          <w:sz w:val="14"/>
          <w:szCs w:val="14"/>
          <w:color w:val="auto"/>
        </w:rPr>
        <w:t>There were 649,918,551 shares of Common Stock outstanding at January 24, 2025.</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14"/>
          <w:szCs w:val="14"/>
          <w:u w:val="single" w:color="auto"/>
          <w:color w:val="auto"/>
        </w:rPr>
        <w:t>Documents Incorporated by Reference</w:t>
      </w:r>
    </w:p>
    <w:p>
      <w:pPr>
        <w:spacing w:after="0" w:line="55" w:lineRule="exact"/>
        <w:rPr>
          <w:sz w:val="24"/>
          <w:szCs w:val="24"/>
          <w:color w:val="auto"/>
        </w:rPr>
      </w:pPr>
    </w:p>
    <w:p>
      <w:pPr>
        <w:jc w:val="center"/>
        <w:spacing w:after="0" w:line="285" w:lineRule="auto"/>
        <w:rPr>
          <w:sz w:val="20"/>
          <w:szCs w:val="20"/>
          <w:color w:val="auto"/>
        </w:rPr>
      </w:pPr>
      <w:r>
        <w:rPr>
          <w:rFonts w:ascii="Arial" w:cs="Arial" w:eastAsia="Arial" w:hAnsi="Arial"/>
          <w:sz w:val="14"/>
          <w:szCs w:val="14"/>
          <w:color w:val="auto"/>
        </w:rPr>
        <w:t>Certain information required by Part III is incorporated by reference from the Registrant's definitive proxy statement for the Annual Meeting of Shareowners, or an amendment to this Form 10-K, which the Registrant intends to file with the Securities and Exchange Commission within 120 days after the end of the fiscal year to which this report relates.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615950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80010</wp:posOffset>
            </wp:positionV>
            <wp:extent cx="69951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45720</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rPr>
          <w:sz w:val="20"/>
          <w:szCs w:val="20"/>
          <w:color w:val="auto"/>
        </w:rPr>
      </w:pPr>
      <w:r>
        <w:rPr>
          <w:rFonts w:ascii="Arial" w:cs="Arial" w:eastAsia="Arial" w:hAnsi="Arial"/>
          <w:sz w:val="36"/>
          <w:szCs w:val="36"/>
          <w:b w:val="1"/>
          <w:bCs w:val="1"/>
          <w:color w:val="auto"/>
        </w:rPr>
        <w:t>TABLE OF CONTENTS</w:t>
      </w:r>
    </w:p>
    <w:p>
      <w:pPr>
        <w:spacing w:after="0" w:line="375" w:lineRule="exact"/>
        <w:rPr>
          <w:sz w:val="20"/>
          <w:szCs w:val="20"/>
          <w:color w:val="auto"/>
        </w:rPr>
      </w:pPr>
    </w:p>
    <w:p>
      <w:pPr>
        <w:spacing w:after="0"/>
        <w:rPr>
          <w:sz w:val="20"/>
          <w:szCs w:val="20"/>
          <w:color w:val="auto"/>
        </w:rPr>
      </w:pPr>
      <w:r>
        <w:rPr>
          <w:rFonts w:ascii="Arial" w:cs="Arial" w:eastAsia="Arial" w:hAnsi="Arial"/>
          <w:sz w:val="29"/>
          <w:szCs w:val="29"/>
          <w:color w:val="D7282F"/>
        </w:rPr>
        <w:t>ORGANIZATION OF OUR ANNUAL REPORT ON FORM 10-K</w:t>
      </w:r>
    </w:p>
    <w:p>
      <w:pPr>
        <w:spacing w:after="0" w:line="23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 xml:space="preserve">The order and presentation of content in our Annual Report on Form 10-K (Form 10-K) differs from the traditional U.S. Securities and Exchange Commission (SEC) Form 10-K format. We believe that our format improves readability and better presents how we organize and manage our business. See </w:t>
      </w:r>
      <w:r>
        <w:rPr>
          <w:rFonts w:ascii="Arial" w:cs="Arial" w:eastAsia="Arial" w:hAnsi="Arial"/>
          <w:sz w:val="16"/>
          <w:szCs w:val="16"/>
          <w:u w:val="single" w:color="auto"/>
          <w:color w:val="0000FF"/>
        </w:rPr>
        <w:t>Form 10-K</w:t>
      </w:r>
      <w:r>
        <w:rPr>
          <w:rFonts w:ascii="Arial" w:cs="Arial" w:eastAsia="Arial" w:hAnsi="Arial"/>
          <w:sz w:val="16"/>
          <w:szCs w:val="16"/>
          <w:color w:val="auto"/>
        </w:rPr>
        <w:t xml:space="preserve"> </w:t>
      </w:r>
      <w:r>
        <w:rPr>
          <w:rFonts w:ascii="Arial" w:cs="Arial" w:eastAsia="Arial" w:hAnsi="Arial"/>
          <w:sz w:val="16"/>
          <w:szCs w:val="16"/>
          <w:u w:val="single" w:color="auto"/>
          <w:color w:val="0000FF"/>
        </w:rPr>
        <w:t>Cross-Reference Index</w:t>
      </w:r>
      <w:r>
        <w:rPr>
          <w:rFonts w:ascii="Arial" w:cs="Arial" w:eastAsia="Arial" w:hAnsi="Arial"/>
          <w:sz w:val="16"/>
          <w:szCs w:val="16"/>
          <w:color w:val="0000FF"/>
        </w:rPr>
        <w:t xml:space="preserve"> </w:t>
      </w:r>
      <w:r>
        <w:rPr>
          <w:rFonts w:ascii="Arial" w:cs="Arial" w:eastAsia="Arial" w:hAnsi="Arial"/>
          <w:sz w:val="16"/>
          <w:szCs w:val="16"/>
          <w:color w:val="000000"/>
        </w:rPr>
        <w:t>for a cross-reference to the traditional SEC Form 10-K format.</w:t>
      </w:r>
    </w:p>
    <w:p>
      <w:pPr>
        <w:spacing w:after="0" w:line="97" w:lineRule="exact"/>
        <w:rPr>
          <w:sz w:val="20"/>
          <w:szCs w:val="20"/>
          <w:color w:val="auto"/>
        </w:rPr>
      </w:pPr>
    </w:p>
    <w:p>
      <w:pPr>
        <w:ind w:left="800" w:hanging="239"/>
        <w:spacing w:after="0"/>
        <w:tabs>
          <w:tab w:leader="none" w:pos="800" w:val="left"/>
        </w:tabs>
        <w:numPr>
          <w:ilvl w:val="0"/>
          <w:numId w:val="2"/>
        </w:numPr>
        <w:rPr>
          <w:rFonts w:ascii="Arial" w:cs="Arial" w:eastAsia="Arial" w:hAnsi="Arial"/>
          <w:sz w:val="16"/>
          <w:szCs w:val="16"/>
          <w:b w:val="1"/>
          <w:bCs w:val="1"/>
          <w:color w:val="D7282F"/>
        </w:rPr>
      </w:pPr>
      <w:r>
        <w:rPr>
          <w:rFonts w:ascii="Arial" w:cs="Arial" w:eastAsia="Arial" w:hAnsi="Arial"/>
          <w:sz w:val="16"/>
          <w:szCs w:val="16"/>
          <w:color w:val="auto"/>
        </w:rPr>
        <w:t>Cautionary Statement about Forward-Looking Statements</w:t>
      </w:r>
    </w:p>
    <w:p>
      <w:pPr>
        <w:spacing w:after="0" w:line="45" w:lineRule="exact"/>
        <w:rPr>
          <w:rFonts w:ascii="Arial" w:cs="Arial" w:eastAsia="Arial" w:hAnsi="Arial"/>
          <w:sz w:val="16"/>
          <w:szCs w:val="16"/>
          <w:b w:val="1"/>
          <w:bCs w:val="1"/>
          <w:color w:val="D7282F"/>
        </w:rPr>
      </w:pPr>
    </w:p>
    <w:p>
      <w:pPr>
        <w:ind w:left="560"/>
        <w:spacing w:after="0"/>
        <w:rPr>
          <w:rFonts w:ascii="Arial" w:cs="Arial" w:eastAsia="Arial" w:hAnsi="Arial"/>
          <w:sz w:val="16"/>
          <w:szCs w:val="16"/>
          <w:b w:val="1"/>
          <w:bCs w:val="1"/>
          <w:color w:val="D7282F"/>
        </w:rPr>
      </w:pPr>
      <w:r>
        <w:rPr>
          <w:rFonts w:ascii="Arial" w:cs="Arial" w:eastAsia="Arial" w:hAnsi="Arial"/>
          <w:sz w:val="16"/>
          <w:szCs w:val="16"/>
          <w:b w:val="1"/>
          <w:bCs w:val="1"/>
          <w:color w:val="D7282F"/>
        </w:rPr>
        <w:t xml:space="preserve">2  </w:t>
      </w:r>
      <w:r>
        <w:rPr>
          <w:rFonts w:ascii="Arial" w:cs="Arial" w:eastAsia="Arial" w:hAnsi="Arial"/>
          <w:sz w:val="16"/>
          <w:szCs w:val="16"/>
          <w:color w:val="000000"/>
        </w:rPr>
        <w:t>About Honeywell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20955</wp:posOffset>
            </wp:positionV>
            <wp:extent cx="70637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6374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-124460</wp:posOffset>
            </wp:positionV>
            <wp:extent cx="70637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26" w:lineRule="exact"/>
        <w:rPr>
          <w:sz w:val="20"/>
          <w:szCs w:val="20"/>
          <w:color w:val="auto"/>
        </w:rPr>
      </w:pPr>
    </w:p>
    <w:p>
      <w:pPr>
        <w:ind w:left="800" w:hanging="329"/>
        <w:spacing w:after="0"/>
        <w:tabs>
          <w:tab w:leader="none" w:pos="800" w:val="left"/>
        </w:tabs>
        <w:numPr>
          <w:ilvl w:val="0"/>
          <w:numId w:val="3"/>
        </w:numPr>
        <w:rPr>
          <w:rFonts w:ascii="Arial" w:cs="Arial" w:eastAsia="Arial" w:hAnsi="Arial"/>
          <w:sz w:val="16"/>
          <w:szCs w:val="16"/>
          <w:b w:val="1"/>
          <w:bCs w:val="1"/>
          <w:color w:val="D7282F"/>
        </w:rPr>
      </w:pPr>
      <w:r>
        <w:rPr>
          <w:rFonts w:ascii="Arial" w:cs="Arial" w:eastAsia="Arial" w:hAnsi="Arial"/>
          <w:sz w:val="16"/>
          <w:szCs w:val="16"/>
          <w:color w:val="auto"/>
        </w:rPr>
        <w:t>Management’s Discussion and Analysis of Financial Condition and Results of Operations</w:t>
      </w:r>
    </w:p>
    <w:p>
      <w:pPr>
        <w:spacing w:after="0" w:line="45" w:lineRule="exact"/>
        <w:rPr>
          <w:rFonts w:ascii="Arial" w:cs="Arial" w:eastAsia="Arial" w:hAnsi="Arial"/>
          <w:sz w:val="16"/>
          <w:szCs w:val="16"/>
          <w:b w:val="1"/>
          <w:bCs w:val="1"/>
          <w:color w:val="D7282F"/>
        </w:rPr>
      </w:pPr>
    </w:p>
    <w:p>
      <w:pPr>
        <w:ind w:left="800" w:hanging="329"/>
        <w:spacing w:after="0"/>
        <w:tabs>
          <w:tab w:leader="none" w:pos="800" w:val="left"/>
        </w:tabs>
        <w:numPr>
          <w:ilvl w:val="0"/>
          <w:numId w:val="4"/>
        </w:numPr>
        <w:rPr>
          <w:rFonts w:ascii="Arial" w:cs="Arial" w:eastAsia="Arial" w:hAnsi="Arial"/>
          <w:sz w:val="16"/>
          <w:szCs w:val="16"/>
          <w:b w:val="1"/>
          <w:bCs w:val="1"/>
          <w:color w:val="D7282F"/>
        </w:rPr>
      </w:pPr>
      <w:r>
        <w:rPr>
          <w:rFonts w:ascii="Arial" w:cs="Arial" w:eastAsia="Arial" w:hAnsi="Arial"/>
          <w:sz w:val="16"/>
          <w:szCs w:val="16"/>
          <w:color w:val="auto"/>
        </w:rPr>
        <w:t>Review of Business Segments</w:t>
      </w:r>
    </w:p>
    <w:p>
      <w:pPr>
        <w:spacing w:after="0" w:line="45" w:lineRule="exact"/>
        <w:rPr>
          <w:rFonts w:ascii="Arial" w:cs="Arial" w:eastAsia="Arial" w:hAnsi="Arial"/>
          <w:sz w:val="16"/>
          <w:szCs w:val="16"/>
          <w:b w:val="1"/>
          <w:bCs w:val="1"/>
          <w:color w:val="D7282F"/>
        </w:rPr>
      </w:pPr>
    </w:p>
    <w:p>
      <w:pPr>
        <w:ind w:left="800" w:hanging="329"/>
        <w:spacing w:after="0"/>
        <w:tabs>
          <w:tab w:leader="none" w:pos="800" w:val="left"/>
        </w:tabs>
        <w:numPr>
          <w:ilvl w:val="0"/>
          <w:numId w:val="5"/>
        </w:numPr>
        <w:rPr>
          <w:rFonts w:ascii="Arial" w:cs="Arial" w:eastAsia="Arial" w:hAnsi="Arial"/>
          <w:sz w:val="16"/>
          <w:szCs w:val="16"/>
          <w:b w:val="1"/>
          <w:bCs w:val="1"/>
          <w:color w:val="D7282F"/>
        </w:rPr>
      </w:pPr>
      <w:r>
        <w:rPr>
          <w:rFonts w:ascii="Arial" w:cs="Arial" w:eastAsia="Arial" w:hAnsi="Arial"/>
          <w:sz w:val="16"/>
          <w:szCs w:val="16"/>
          <w:color w:val="auto"/>
        </w:rPr>
        <w:t>Risk Factors</w:t>
      </w:r>
    </w:p>
    <w:p>
      <w:pPr>
        <w:spacing w:after="0" w:line="45" w:lineRule="exact"/>
        <w:rPr>
          <w:rFonts w:ascii="Arial" w:cs="Arial" w:eastAsia="Arial" w:hAnsi="Arial"/>
          <w:sz w:val="16"/>
          <w:szCs w:val="16"/>
          <w:b w:val="1"/>
          <w:bCs w:val="1"/>
          <w:color w:val="D7282F"/>
        </w:rPr>
      </w:pPr>
    </w:p>
    <w:p>
      <w:pPr>
        <w:ind w:left="800" w:hanging="329"/>
        <w:spacing w:after="0"/>
        <w:tabs>
          <w:tab w:leader="none" w:pos="800" w:val="left"/>
        </w:tabs>
        <w:numPr>
          <w:ilvl w:val="0"/>
          <w:numId w:val="6"/>
        </w:numPr>
        <w:rPr>
          <w:rFonts w:ascii="Arial" w:cs="Arial" w:eastAsia="Arial" w:hAnsi="Arial"/>
          <w:sz w:val="16"/>
          <w:szCs w:val="16"/>
          <w:b w:val="1"/>
          <w:bCs w:val="1"/>
          <w:color w:val="D7282F"/>
        </w:rPr>
      </w:pPr>
      <w:r>
        <w:rPr>
          <w:rFonts w:ascii="Arial" w:cs="Arial" w:eastAsia="Arial" w:hAnsi="Arial"/>
          <w:sz w:val="16"/>
          <w:szCs w:val="16"/>
          <w:color w:val="auto"/>
        </w:rPr>
        <w:t>Quantitative and Qualitative Disclosures about Market Risks</w:t>
      </w:r>
    </w:p>
    <w:p>
      <w:pPr>
        <w:spacing w:after="0" w:line="45" w:lineRule="exact"/>
        <w:rPr>
          <w:rFonts w:ascii="Arial" w:cs="Arial" w:eastAsia="Arial" w:hAnsi="Arial"/>
          <w:sz w:val="16"/>
          <w:szCs w:val="16"/>
          <w:b w:val="1"/>
          <w:bCs w:val="1"/>
          <w:color w:val="D7282F"/>
        </w:rPr>
      </w:pPr>
    </w:p>
    <w:p>
      <w:pPr>
        <w:ind w:left="800" w:hanging="329"/>
        <w:spacing w:after="0"/>
        <w:tabs>
          <w:tab w:leader="none" w:pos="800" w:val="left"/>
        </w:tabs>
        <w:numPr>
          <w:ilvl w:val="0"/>
          <w:numId w:val="7"/>
        </w:numPr>
        <w:rPr>
          <w:rFonts w:ascii="Arial" w:cs="Arial" w:eastAsia="Arial" w:hAnsi="Arial"/>
          <w:sz w:val="16"/>
          <w:szCs w:val="16"/>
          <w:b w:val="1"/>
          <w:bCs w:val="1"/>
          <w:color w:val="D7282F"/>
        </w:rPr>
      </w:pPr>
      <w:r>
        <w:rPr>
          <w:rFonts w:ascii="Arial" w:cs="Arial" w:eastAsia="Arial" w:hAnsi="Arial"/>
          <w:sz w:val="16"/>
          <w:szCs w:val="16"/>
          <w:color w:val="auto"/>
        </w:rPr>
        <w:t>Liquidity and Capital Resources</w:t>
      </w:r>
    </w:p>
    <w:p>
      <w:pPr>
        <w:spacing w:after="0" w:line="45" w:lineRule="exact"/>
        <w:rPr>
          <w:rFonts w:ascii="Arial" w:cs="Arial" w:eastAsia="Arial" w:hAnsi="Arial"/>
          <w:sz w:val="16"/>
          <w:szCs w:val="16"/>
          <w:b w:val="1"/>
          <w:bCs w:val="1"/>
          <w:color w:val="D7282F"/>
        </w:rPr>
      </w:pPr>
    </w:p>
    <w:p>
      <w:pPr>
        <w:ind w:left="800" w:hanging="329"/>
        <w:spacing w:after="0"/>
        <w:tabs>
          <w:tab w:leader="none" w:pos="800" w:val="left"/>
        </w:tabs>
        <w:numPr>
          <w:ilvl w:val="0"/>
          <w:numId w:val="8"/>
        </w:numPr>
        <w:rPr>
          <w:rFonts w:ascii="Arial" w:cs="Arial" w:eastAsia="Arial" w:hAnsi="Arial"/>
          <w:sz w:val="16"/>
          <w:szCs w:val="16"/>
          <w:b w:val="1"/>
          <w:bCs w:val="1"/>
          <w:color w:val="D7282F"/>
        </w:rPr>
      </w:pPr>
      <w:r>
        <w:rPr>
          <w:rFonts w:ascii="Arial" w:cs="Arial" w:eastAsia="Arial" w:hAnsi="Arial"/>
          <w:sz w:val="16"/>
          <w:szCs w:val="16"/>
          <w:color w:val="auto"/>
        </w:rPr>
        <w:t>Critical Accounting Estimates</w:t>
      </w:r>
    </w:p>
    <w:p>
      <w:pPr>
        <w:spacing w:after="0" w:line="45" w:lineRule="exact"/>
        <w:rPr>
          <w:rFonts w:ascii="Arial" w:cs="Arial" w:eastAsia="Arial" w:hAnsi="Arial"/>
          <w:sz w:val="16"/>
          <w:szCs w:val="16"/>
          <w:b w:val="1"/>
          <w:bCs w:val="1"/>
          <w:color w:val="D7282F"/>
        </w:rPr>
      </w:pPr>
    </w:p>
    <w:p>
      <w:pPr>
        <w:ind w:left="800" w:hanging="329"/>
        <w:spacing w:after="0"/>
        <w:tabs>
          <w:tab w:leader="none" w:pos="800" w:val="left"/>
        </w:tabs>
        <w:numPr>
          <w:ilvl w:val="0"/>
          <w:numId w:val="9"/>
        </w:numPr>
        <w:rPr>
          <w:rFonts w:ascii="Arial" w:cs="Arial" w:eastAsia="Arial" w:hAnsi="Arial"/>
          <w:sz w:val="16"/>
          <w:szCs w:val="16"/>
          <w:b w:val="1"/>
          <w:bCs w:val="1"/>
          <w:color w:val="D7282F"/>
        </w:rPr>
      </w:pPr>
      <w:r>
        <w:rPr>
          <w:rFonts w:ascii="Arial" w:cs="Arial" w:eastAsia="Arial" w:hAnsi="Arial"/>
          <w:sz w:val="16"/>
          <w:szCs w:val="16"/>
          <w:color w:val="auto"/>
        </w:rPr>
        <w:t>Other Matters</w:t>
      </w:r>
    </w:p>
    <w:p>
      <w:pPr>
        <w:spacing w:after="0" w:line="45" w:lineRule="exact"/>
        <w:rPr>
          <w:rFonts w:ascii="Arial" w:cs="Arial" w:eastAsia="Arial" w:hAnsi="Arial"/>
          <w:sz w:val="16"/>
          <w:szCs w:val="16"/>
          <w:b w:val="1"/>
          <w:bCs w:val="1"/>
          <w:color w:val="D7282F"/>
        </w:rPr>
      </w:pPr>
    </w:p>
    <w:p>
      <w:pPr>
        <w:ind w:left="800" w:hanging="329"/>
        <w:spacing w:after="0"/>
        <w:tabs>
          <w:tab w:leader="none" w:pos="800" w:val="left"/>
        </w:tabs>
        <w:numPr>
          <w:ilvl w:val="0"/>
          <w:numId w:val="9"/>
        </w:numPr>
        <w:rPr>
          <w:rFonts w:ascii="Arial" w:cs="Arial" w:eastAsia="Arial" w:hAnsi="Arial"/>
          <w:sz w:val="16"/>
          <w:szCs w:val="16"/>
          <w:b w:val="1"/>
          <w:bCs w:val="1"/>
          <w:color w:val="D7282F"/>
        </w:rPr>
      </w:pPr>
      <w:r>
        <w:rPr>
          <w:rFonts w:ascii="Arial" w:cs="Arial" w:eastAsia="Arial" w:hAnsi="Arial"/>
          <w:sz w:val="16"/>
          <w:szCs w:val="16"/>
          <w:color w:val="auto"/>
        </w:rPr>
        <w:t>Information about Our Executive Officers</w:t>
      </w:r>
    </w:p>
    <w:p>
      <w:pPr>
        <w:spacing w:after="0" w:line="45" w:lineRule="exact"/>
        <w:rPr>
          <w:rFonts w:ascii="Arial" w:cs="Arial" w:eastAsia="Arial" w:hAnsi="Arial"/>
          <w:sz w:val="16"/>
          <w:szCs w:val="16"/>
          <w:b w:val="1"/>
          <w:bCs w:val="1"/>
          <w:color w:val="D7282F"/>
        </w:rPr>
      </w:pPr>
    </w:p>
    <w:p>
      <w:pPr>
        <w:ind w:left="800" w:hanging="329"/>
        <w:spacing w:after="0"/>
        <w:tabs>
          <w:tab w:leader="none" w:pos="800" w:val="left"/>
        </w:tabs>
        <w:numPr>
          <w:ilvl w:val="0"/>
          <w:numId w:val="9"/>
        </w:numPr>
        <w:rPr>
          <w:rFonts w:ascii="Arial" w:cs="Arial" w:eastAsia="Arial" w:hAnsi="Arial"/>
          <w:sz w:val="16"/>
          <w:szCs w:val="16"/>
          <w:b w:val="1"/>
          <w:bCs w:val="1"/>
          <w:color w:val="D7282F"/>
        </w:rPr>
      </w:pPr>
      <w:r>
        <w:rPr>
          <w:rFonts w:ascii="Arial" w:cs="Arial" w:eastAsia="Arial" w:hAnsi="Arial"/>
          <w:sz w:val="16"/>
          <w:szCs w:val="16"/>
          <w:color w:val="auto"/>
        </w:rPr>
        <w:t>Unresolved Staff Comments</w:t>
      </w:r>
    </w:p>
    <w:p>
      <w:pPr>
        <w:spacing w:after="0" w:line="45" w:lineRule="exact"/>
        <w:rPr>
          <w:rFonts w:ascii="Arial" w:cs="Arial" w:eastAsia="Arial" w:hAnsi="Arial"/>
          <w:sz w:val="16"/>
          <w:szCs w:val="16"/>
          <w:b w:val="1"/>
          <w:bCs w:val="1"/>
          <w:color w:val="D7282F"/>
        </w:rPr>
      </w:pPr>
    </w:p>
    <w:p>
      <w:pPr>
        <w:ind w:left="800" w:hanging="329"/>
        <w:spacing w:after="0"/>
        <w:tabs>
          <w:tab w:leader="none" w:pos="800" w:val="left"/>
        </w:tabs>
        <w:numPr>
          <w:ilvl w:val="0"/>
          <w:numId w:val="10"/>
        </w:numPr>
        <w:rPr>
          <w:rFonts w:ascii="Arial" w:cs="Arial" w:eastAsia="Arial" w:hAnsi="Arial"/>
          <w:sz w:val="16"/>
          <w:szCs w:val="16"/>
          <w:b w:val="1"/>
          <w:bCs w:val="1"/>
          <w:color w:val="D7282F"/>
        </w:rPr>
      </w:pPr>
      <w:r>
        <w:rPr>
          <w:rFonts w:ascii="Arial" w:cs="Arial" w:eastAsia="Arial" w:hAnsi="Arial"/>
          <w:sz w:val="16"/>
          <w:szCs w:val="16"/>
          <w:color w:val="auto"/>
        </w:rPr>
        <w:t>Cybersecurity</w:t>
      </w:r>
    </w:p>
    <w:p>
      <w:pPr>
        <w:spacing w:after="0" w:line="45" w:lineRule="exact"/>
        <w:rPr>
          <w:rFonts w:ascii="Arial" w:cs="Arial" w:eastAsia="Arial" w:hAnsi="Arial"/>
          <w:sz w:val="16"/>
          <w:szCs w:val="16"/>
          <w:b w:val="1"/>
          <w:bCs w:val="1"/>
          <w:color w:val="D7282F"/>
        </w:rPr>
      </w:pPr>
    </w:p>
    <w:p>
      <w:pPr>
        <w:ind w:left="800" w:hanging="329"/>
        <w:spacing w:after="0"/>
        <w:tabs>
          <w:tab w:leader="none" w:pos="800" w:val="left"/>
        </w:tabs>
        <w:numPr>
          <w:ilvl w:val="0"/>
          <w:numId w:val="10"/>
        </w:numPr>
        <w:rPr>
          <w:rFonts w:ascii="Arial" w:cs="Arial" w:eastAsia="Arial" w:hAnsi="Arial"/>
          <w:sz w:val="16"/>
          <w:szCs w:val="16"/>
          <w:b w:val="1"/>
          <w:bCs w:val="1"/>
          <w:color w:val="D7282F"/>
        </w:rPr>
      </w:pPr>
      <w:r>
        <w:rPr>
          <w:rFonts w:ascii="Arial" w:cs="Arial" w:eastAsia="Arial" w:hAnsi="Arial"/>
          <w:sz w:val="16"/>
          <w:szCs w:val="16"/>
          <w:color w:val="auto"/>
        </w:rPr>
        <w:t>Properties</w:t>
      </w:r>
    </w:p>
    <w:p>
      <w:pPr>
        <w:spacing w:after="0" w:line="45" w:lineRule="exact"/>
        <w:rPr>
          <w:rFonts w:ascii="Arial" w:cs="Arial" w:eastAsia="Arial" w:hAnsi="Arial"/>
          <w:sz w:val="16"/>
          <w:szCs w:val="16"/>
          <w:b w:val="1"/>
          <w:bCs w:val="1"/>
          <w:color w:val="D7282F"/>
        </w:rPr>
      </w:pPr>
    </w:p>
    <w:p>
      <w:pPr>
        <w:ind w:left="800" w:hanging="329"/>
        <w:spacing w:after="0"/>
        <w:tabs>
          <w:tab w:leader="none" w:pos="800" w:val="left"/>
        </w:tabs>
        <w:numPr>
          <w:ilvl w:val="0"/>
          <w:numId w:val="11"/>
        </w:numPr>
        <w:rPr>
          <w:rFonts w:ascii="Arial" w:cs="Arial" w:eastAsia="Arial" w:hAnsi="Arial"/>
          <w:sz w:val="16"/>
          <w:szCs w:val="16"/>
          <w:b w:val="1"/>
          <w:bCs w:val="1"/>
          <w:color w:val="D7282F"/>
        </w:rPr>
      </w:pPr>
      <w:r>
        <w:rPr>
          <w:rFonts w:ascii="Arial" w:cs="Arial" w:eastAsia="Arial" w:hAnsi="Arial"/>
          <w:sz w:val="16"/>
          <w:szCs w:val="16"/>
          <w:color w:val="auto"/>
        </w:rPr>
        <w:t>Legal Proceedings</w:t>
      </w:r>
    </w:p>
    <w:p>
      <w:pPr>
        <w:spacing w:after="0" w:line="45" w:lineRule="exact"/>
        <w:rPr>
          <w:rFonts w:ascii="Arial" w:cs="Arial" w:eastAsia="Arial" w:hAnsi="Arial"/>
          <w:sz w:val="16"/>
          <w:szCs w:val="16"/>
          <w:b w:val="1"/>
          <w:bCs w:val="1"/>
          <w:color w:val="D7282F"/>
        </w:rPr>
      </w:pPr>
    </w:p>
    <w:p>
      <w:pPr>
        <w:ind w:left="800" w:hanging="329"/>
        <w:spacing w:after="0"/>
        <w:tabs>
          <w:tab w:leader="none" w:pos="800" w:val="left"/>
        </w:tabs>
        <w:numPr>
          <w:ilvl w:val="0"/>
          <w:numId w:val="12"/>
        </w:numPr>
        <w:rPr>
          <w:rFonts w:ascii="Arial" w:cs="Arial" w:eastAsia="Arial" w:hAnsi="Arial"/>
          <w:sz w:val="16"/>
          <w:szCs w:val="16"/>
          <w:b w:val="1"/>
          <w:bCs w:val="1"/>
          <w:color w:val="D7282F"/>
        </w:rPr>
      </w:pPr>
      <w:r>
        <w:rPr>
          <w:rFonts w:ascii="Arial" w:cs="Arial" w:eastAsia="Arial" w:hAnsi="Arial"/>
          <w:sz w:val="16"/>
          <w:szCs w:val="16"/>
          <w:color w:val="auto"/>
        </w:rPr>
        <w:t>Mine Safety Disclosures</w:t>
      </w:r>
    </w:p>
    <w:p>
      <w:pPr>
        <w:spacing w:after="0" w:line="45" w:lineRule="exact"/>
        <w:rPr>
          <w:rFonts w:ascii="Arial" w:cs="Arial" w:eastAsia="Arial" w:hAnsi="Arial"/>
          <w:sz w:val="16"/>
          <w:szCs w:val="16"/>
          <w:b w:val="1"/>
          <w:bCs w:val="1"/>
          <w:color w:val="D7282F"/>
        </w:rPr>
      </w:pPr>
    </w:p>
    <w:p>
      <w:pPr>
        <w:ind w:left="800" w:hanging="329"/>
        <w:spacing w:after="0"/>
        <w:tabs>
          <w:tab w:leader="none" w:pos="800" w:val="left"/>
        </w:tabs>
        <w:numPr>
          <w:ilvl w:val="0"/>
          <w:numId w:val="12"/>
        </w:numPr>
        <w:rPr>
          <w:rFonts w:ascii="Arial" w:cs="Arial" w:eastAsia="Arial" w:hAnsi="Arial"/>
          <w:sz w:val="16"/>
          <w:szCs w:val="16"/>
          <w:b w:val="1"/>
          <w:bCs w:val="1"/>
          <w:color w:val="D7282F"/>
        </w:rPr>
      </w:pPr>
      <w:r>
        <w:rPr>
          <w:rFonts w:ascii="Arial" w:cs="Arial" w:eastAsia="Arial" w:hAnsi="Arial"/>
          <w:sz w:val="16"/>
          <w:szCs w:val="16"/>
          <w:color w:val="auto"/>
        </w:rPr>
        <w:t>Market for Registrant’s Common Equity, Related Stockholder Matters and Issuer Purchases of Equity Securities</w:t>
      </w:r>
    </w:p>
    <w:p>
      <w:pPr>
        <w:spacing w:after="0" w:line="45" w:lineRule="exact"/>
        <w:rPr>
          <w:rFonts w:ascii="Arial" w:cs="Arial" w:eastAsia="Arial" w:hAnsi="Arial"/>
          <w:sz w:val="16"/>
          <w:szCs w:val="16"/>
          <w:b w:val="1"/>
          <w:bCs w:val="1"/>
          <w:color w:val="D7282F"/>
        </w:rPr>
      </w:pPr>
    </w:p>
    <w:p>
      <w:pPr>
        <w:ind w:left="800" w:hanging="329"/>
        <w:spacing w:after="0"/>
        <w:tabs>
          <w:tab w:leader="none" w:pos="800" w:val="left"/>
        </w:tabs>
        <w:numPr>
          <w:ilvl w:val="0"/>
          <w:numId w:val="13"/>
        </w:numPr>
        <w:rPr>
          <w:rFonts w:ascii="Arial" w:cs="Arial" w:eastAsia="Arial" w:hAnsi="Arial"/>
          <w:sz w:val="16"/>
          <w:szCs w:val="16"/>
          <w:b w:val="1"/>
          <w:bCs w:val="1"/>
          <w:color w:val="D7282F"/>
        </w:rPr>
      </w:pPr>
      <w:r>
        <w:rPr>
          <w:rFonts w:ascii="Arial" w:cs="Arial" w:eastAsia="Arial" w:hAnsi="Arial"/>
          <w:sz w:val="16"/>
          <w:szCs w:val="16"/>
          <w:color w:val="auto"/>
        </w:rPr>
        <w:t>Financial Statements and Supplementary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20955</wp:posOffset>
            </wp:positionV>
            <wp:extent cx="70637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6374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-124460</wp:posOffset>
            </wp:positionV>
            <wp:extent cx="70637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6374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-269875</wp:posOffset>
            </wp:positionV>
            <wp:extent cx="70637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6374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-415925</wp:posOffset>
            </wp:positionV>
            <wp:extent cx="706374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6374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-561340</wp:posOffset>
            </wp:positionV>
            <wp:extent cx="706374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6374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-707390</wp:posOffset>
            </wp:positionV>
            <wp:extent cx="70637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6374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-852805</wp:posOffset>
            </wp:positionV>
            <wp:extent cx="706374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6374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-998855</wp:posOffset>
            </wp:positionV>
            <wp:extent cx="70637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6374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-1144270</wp:posOffset>
            </wp:positionV>
            <wp:extent cx="706374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6374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-1290320</wp:posOffset>
            </wp:positionV>
            <wp:extent cx="706374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6374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-1435735</wp:posOffset>
            </wp:positionV>
            <wp:extent cx="706374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6374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-1581785</wp:posOffset>
            </wp:positionV>
            <wp:extent cx="706374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6374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-1727200</wp:posOffset>
            </wp:positionV>
            <wp:extent cx="706374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6374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-1873250</wp:posOffset>
            </wp:positionV>
            <wp:extent cx="706374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6374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-2018665</wp:posOffset>
            </wp:positionV>
            <wp:extent cx="706374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26" w:lineRule="exact"/>
        <w:rPr>
          <w:sz w:val="20"/>
          <w:szCs w:val="20"/>
          <w:color w:val="auto"/>
        </w:rPr>
      </w:pPr>
    </w:p>
    <w:p>
      <w:pPr>
        <w:ind w:left="800" w:hanging="410"/>
        <w:spacing w:after="0"/>
        <w:tabs>
          <w:tab w:leader="none" w:pos="800" w:val="left"/>
        </w:tabs>
        <w:numPr>
          <w:ilvl w:val="0"/>
          <w:numId w:val="14"/>
        </w:numPr>
        <w:rPr>
          <w:rFonts w:ascii="Arial" w:cs="Arial" w:eastAsia="Arial" w:hAnsi="Arial"/>
          <w:sz w:val="16"/>
          <w:szCs w:val="16"/>
          <w:b w:val="1"/>
          <w:bCs w:val="1"/>
          <w:color w:val="D7282F"/>
        </w:rPr>
      </w:pPr>
      <w:r>
        <w:rPr>
          <w:rFonts w:ascii="Arial" w:cs="Arial" w:eastAsia="Arial" w:hAnsi="Arial"/>
          <w:sz w:val="16"/>
          <w:szCs w:val="16"/>
          <w:color w:val="auto"/>
        </w:rPr>
        <w:t>Report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20955</wp:posOffset>
            </wp:positionV>
            <wp:extent cx="706374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26" w:lineRule="exact"/>
        <w:rPr>
          <w:sz w:val="20"/>
          <w:szCs w:val="20"/>
          <w:color w:val="auto"/>
        </w:rPr>
      </w:pPr>
    </w:p>
    <w:p>
      <w:pPr>
        <w:ind w:left="800" w:hanging="410"/>
        <w:spacing w:after="0"/>
        <w:tabs>
          <w:tab w:leader="none" w:pos="800" w:val="left"/>
        </w:tabs>
        <w:numPr>
          <w:ilvl w:val="0"/>
          <w:numId w:val="15"/>
        </w:numPr>
        <w:rPr>
          <w:rFonts w:ascii="Arial" w:cs="Arial" w:eastAsia="Arial" w:hAnsi="Arial"/>
          <w:sz w:val="16"/>
          <w:szCs w:val="16"/>
          <w:b w:val="1"/>
          <w:bCs w:val="1"/>
          <w:color w:val="D7282F"/>
        </w:rPr>
      </w:pPr>
      <w:r>
        <w:rPr>
          <w:rFonts w:ascii="Arial" w:cs="Arial" w:eastAsia="Arial" w:hAnsi="Arial"/>
          <w:sz w:val="16"/>
          <w:szCs w:val="16"/>
          <w:color w:val="auto"/>
        </w:rPr>
        <w:t>Changes in and Disagreements with Accountants on Accounting and Financial Disclosure</w:t>
      </w:r>
    </w:p>
    <w:p>
      <w:pPr>
        <w:spacing w:after="0" w:line="45" w:lineRule="exact"/>
        <w:rPr>
          <w:rFonts w:ascii="Arial" w:cs="Arial" w:eastAsia="Arial" w:hAnsi="Arial"/>
          <w:sz w:val="16"/>
          <w:szCs w:val="16"/>
          <w:b w:val="1"/>
          <w:bCs w:val="1"/>
          <w:color w:val="D7282F"/>
        </w:rPr>
      </w:pPr>
    </w:p>
    <w:p>
      <w:pPr>
        <w:ind w:left="800" w:hanging="410"/>
        <w:spacing w:after="0"/>
        <w:tabs>
          <w:tab w:leader="none" w:pos="800" w:val="left"/>
        </w:tabs>
        <w:numPr>
          <w:ilvl w:val="0"/>
          <w:numId w:val="16"/>
        </w:numPr>
        <w:rPr>
          <w:rFonts w:ascii="Arial" w:cs="Arial" w:eastAsia="Arial" w:hAnsi="Arial"/>
          <w:sz w:val="16"/>
          <w:szCs w:val="16"/>
          <w:b w:val="1"/>
          <w:bCs w:val="1"/>
          <w:color w:val="D7282F"/>
        </w:rPr>
      </w:pPr>
      <w:r>
        <w:rPr>
          <w:rFonts w:ascii="Arial" w:cs="Arial" w:eastAsia="Arial" w:hAnsi="Arial"/>
          <w:sz w:val="16"/>
          <w:szCs w:val="16"/>
          <w:color w:val="auto"/>
        </w:rPr>
        <w:t>Controls and Procedures</w:t>
      </w:r>
    </w:p>
    <w:p>
      <w:pPr>
        <w:spacing w:after="0" w:line="45" w:lineRule="exact"/>
        <w:rPr>
          <w:rFonts w:ascii="Arial" w:cs="Arial" w:eastAsia="Arial" w:hAnsi="Arial"/>
          <w:sz w:val="16"/>
          <w:szCs w:val="16"/>
          <w:b w:val="1"/>
          <w:bCs w:val="1"/>
          <w:color w:val="D7282F"/>
        </w:rPr>
      </w:pPr>
    </w:p>
    <w:p>
      <w:pPr>
        <w:ind w:left="800" w:hanging="410"/>
        <w:spacing w:after="0"/>
        <w:tabs>
          <w:tab w:leader="none" w:pos="800" w:val="left"/>
        </w:tabs>
        <w:numPr>
          <w:ilvl w:val="0"/>
          <w:numId w:val="17"/>
        </w:numPr>
        <w:rPr>
          <w:rFonts w:ascii="Arial" w:cs="Arial" w:eastAsia="Arial" w:hAnsi="Arial"/>
          <w:sz w:val="16"/>
          <w:szCs w:val="16"/>
          <w:b w:val="1"/>
          <w:bCs w:val="1"/>
          <w:color w:val="D7282F"/>
        </w:rPr>
      </w:pPr>
      <w:r>
        <w:rPr>
          <w:rFonts w:ascii="Arial" w:cs="Arial" w:eastAsia="Arial" w:hAnsi="Arial"/>
          <w:sz w:val="16"/>
          <w:szCs w:val="16"/>
          <w:color w:val="auto"/>
        </w:rPr>
        <w:t>Management's Report on Internal Control over Financial Reporting</w:t>
      </w:r>
    </w:p>
    <w:p>
      <w:pPr>
        <w:spacing w:after="0" w:line="45" w:lineRule="exact"/>
        <w:rPr>
          <w:rFonts w:ascii="Arial" w:cs="Arial" w:eastAsia="Arial" w:hAnsi="Arial"/>
          <w:sz w:val="16"/>
          <w:szCs w:val="16"/>
          <w:b w:val="1"/>
          <w:bCs w:val="1"/>
          <w:color w:val="D7282F"/>
        </w:rPr>
      </w:pPr>
    </w:p>
    <w:p>
      <w:pPr>
        <w:ind w:left="800" w:hanging="410"/>
        <w:spacing w:after="0"/>
        <w:tabs>
          <w:tab w:leader="none" w:pos="800" w:val="left"/>
        </w:tabs>
        <w:numPr>
          <w:ilvl w:val="0"/>
          <w:numId w:val="17"/>
        </w:numPr>
        <w:rPr>
          <w:rFonts w:ascii="Arial" w:cs="Arial" w:eastAsia="Arial" w:hAnsi="Arial"/>
          <w:sz w:val="16"/>
          <w:szCs w:val="16"/>
          <w:b w:val="1"/>
          <w:bCs w:val="1"/>
          <w:color w:val="D7282F"/>
        </w:rPr>
      </w:pPr>
      <w:r>
        <w:rPr>
          <w:rFonts w:ascii="Arial" w:cs="Arial" w:eastAsia="Arial" w:hAnsi="Arial"/>
          <w:sz w:val="16"/>
          <w:szCs w:val="16"/>
          <w:color w:val="auto"/>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20955</wp:posOffset>
            </wp:positionV>
            <wp:extent cx="706374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6374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-124460</wp:posOffset>
            </wp:positionV>
            <wp:extent cx="706374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6374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-269875</wp:posOffset>
            </wp:positionV>
            <wp:extent cx="706374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6374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-415925</wp:posOffset>
            </wp:positionV>
            <wp:extent cx="706374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63740" cy="8890"/>
                    </a:xfrm>
                    <a:prstGeom prst="rect">
                      <a:avLst/>
                    </a:prstGeom>
                    <a:noFill/>
                  </pic:spPr>
                </pic:pic>
              </a:graphicData>
            </a:graphic>
          </wp:anchor>
        </w:drawing>
      </w:r>
    </w:p>
    <w:p>
      <w:pPr>
        <w:spacing w:after="0" w:line="26" w:lineRule="exact"/>
        <w:rPr>
          <w:sz w:val="20"/>
          <w:szCs w:val="20"/>
          <w:color w:val="auto"/>
        </w:rPr>
      </w:pPr>
    </w:p>
    <w:p>
      <w:pPr>
        <w:ind w:left="800" w:hanging="410"/>
        <w:spacing w:after="0"/>
        <w:tabs>
          <w:tab w:leader="none" w:pos="800" w:val="left"/>
        </w:tabs>
        <w:numPr>
          <w:ilvl w:val="0"/>
          <w:numId w:val="18"/>
        </w:numPr>
        <w:rPr>
          <w:rFonts w:ascii="Arial" w:cs="Arial" w:eastAsia="Arial" w:hAnsi="Arial"/>
          <w:sz w:val="16"/>
          <w:szCs w:val="16"/>
          <w:b w:val="1"/>
          <w:bCs w:val="1"/>
          <w:color w:val="D7282F"/>
        </w:rPr>
      </w:pPr>
      <w:r>
        <w:rPr>
          <w:rFonts w:ascii="Arial" w:cs="Arial" w:eastAsia="Arial" w:hAnsi="Arial"/>
          <w:sz w:val="16"/>
          <w:szCs w:val="16"/>
          <w:color w:val="auto"/>
        </w:rPr>
        <w:t>Disclosure Regarding Foreign Jurisdictions that Prevent Inspections</w:t>
      </w:r>
    </w:p>
    <w:p>
      <w:pPr>
        <w:spacing w:after="0" w:line="45" w:lineRule="exact"/>
        <w:rPr>
          <w:rFonts w:ascii="Arial" w:cs="Arial" w:eastAsia="Arial" w:hAnsi="Arial"/>
          <w:sz w:val="16"/>
          <w:szCs w:val="16"/>
          <w:b w:val="1"/>
          <w:bCs w:val="1"/>
          <w:color w:val="D7282F"/>
        </w:rPr>
      </w:pPr>
    </w:p>
    <w:p>
      <w:pPr>
        <w:ind w:left="800" w:hanging="410"/>
        <w:spacing w:after="0"/>
        <w:tabs>
          <w:tab w:leader="none" w:pos="800" w:val="left"/>
        </w:tabs>
        <w:numPr>
          <w:ilvl w:val="0"/>
          <w:numId w:val="19"/>
        </w:numPr>
        <w:rPr>
          <w:rFonts w:ascii="Arial" w:cs="Arial" w:eastAsia="Arial" w:hAnsi="Arial"/>
          <w:sz w:val="16"/>
          <w:szCs w:val="16"/>
          <w:b w:val="1"/>
          <w:bCs w:val="1"/>
          <w:color w:val="D7282F"/>
        </w:rPr>
      </w:pPr>
      <w:r>
        <w:rPr>
          <w:rFonts w:ascii="Arial" w:cs="Arial" w:eastAsia="Arial" w:hAnsi="Arial"/>
          <w:sz w:val="16"/>
          <w:szCs w:val="16"/>
          <w:color w:val="auto"/>
        </w:rPr>
        <w:t>Directors, Executive Officers, and Corporate Governance</w:t>
      </w:r>
    </w:p>
    <w:p>
      <w:pPr>
        <w:spacing w:after="0" w:line="45" w:lineRule="exact"/>
        <w:rPr>
          <w:rFonts w:ascii="Arial" w:cs="Arial" w:eastAsia="Arial" w:hAnsi="Arial"/>
          <w:sz w:val="16"/>
          <w:szCs w:val="16"/>
          <w:b w:val="1"/>
          <w:bCs w:val="1"/>
          <w:color w:val="D7282F"/>
        </w:rPr>
      </w:pPr>
    </w:p>
    <w:p>
      <w:pPr>
        <w:ind w:left="800" w:hanging="410"/>
        <w:spacing w:after="0"/>
        <w:tabs>
          <w:tab w:leader="none" w:pos="800" w:val="left"/>
        </w:tabs>
        <w:numPr>
          <w:ilvl w:val="0"/>
          <w:numId w:val="20"/>
        </w:numPr>
        <w:rPr>
          <w:rFonts w:ascii="Arial" w:cs="Arial" w:eastAsia="Arial" w:hAnsi="Arial"/>
          <w:sz w:val="16"/>
          <w:szCs w:val="16"/>
          <w:b w:val="1"/>
          <w:bCs w:val="1"/>
          <w:color w:val="D7282F"/>
        </w:rPr>
      </w:pPr>
      <w:r>
        <w:rPr>
          <w:rFonts w:ascii="Arial" w:cs="Arial" w:eastAsia="Arial" w:hAnsi="Arial"/>
          <w:sz w:val="16"/>
          <w:szCs w:val="16"/>
          <w:color w:val="auto"/>
        </w:rPr>
        <w:t>Executive Compensation</w:t>
      </w:r>
    </w:p>
    <w:p>
      <w:pPr>
        <w:spacing w:after="0" w:line="45" w:lineRule="exact"/>
        <w:rPr>
          <w:rFonts w:ascii="Arial" w:cs="Arial" w:eastAsia="Arial" w:hAnsi="Arial"/>
          <w:sz w:val="16"/>
          <w:szCs w:val="16"/>
          <w:b w:val="1"/>
          <w:bCs w:val="1"/>
          <w:color w:val="D7282F"/>
        </w:rPr>
      </w:pPr>
    </w:p>
    <w:p>
      <w:pPr>
        <w:ind w:left="800" w:hanging="410"/>
        <w:spacing w:after="0"/>
        <w:tabs>
          <w:tab w:leader="none" w:pos="800" w:val="left"/>
        </w:tabs>
        <w:numPr>
          <w:ilvl w:val="0"/>
          <w:numId w:val="20"/>
        </w:numPr>
        <w:rPr>
          <w:rFonts w:ascii="Arial" w:cs="Arial" w:eastAsia="Arial" w:hAnsi="Arial"/>
          <w:sz w:val="16"/>
          <w:szCs w:val="16"/>
          <w:b w:val="1"/>
          <w:bCs w:val="1"/>
          <w:color w:val="D7282F"/>
        </w:rPr>
      </w:pPr>
      <w:r>
        <w:rPr>
          <w:rFonts w:ascii="Arial" w:cs="Arial" w:eastAsia="Arial" w:hAnsi="Arial"/>
          <w:sz w:val="16"/>
          <w:szCs w:val="16"/>
          <w:color w:val="auto"/>
        </w:rPr>
        <w:t>Security Ownership of Certain Beneficial Owners and Management and Related Stockholder Matters</w:t>
      </w:r>
    </w:p>
    <w:p>
      <w:pPr>
        <w:spacing w:after="0" w:line="45" w:lineRule="exact"/>
        <w:rPr>
          <w:rFonts w:ascii="Arial" w:cs="Arial" w:eastAsia="Arial" w:hAnsi="Arial"/>
          <w:sz w:val="16"/>
          <w:szCs w:val="16"/>
          <w:b w:val="1"/>
          <w:bCs w:val="1"/>
          <w:color w:val="D7282F"/>
        </w:rPr>
      </w:pPr>
    </w:p>
    <w:p>
      <w:pPr>
        <w:ind w:left="800" w:hanging="410"/>
        <w:spacing w:after="0"/>
        <w:tabs>
          <w:tab w:leader="none" w:pos="800" w:val="left"/>
        </w:tabs>
        <w:numPr>
          <w:ilvl w:val="0"/>
          <w:numId w:val="20"/>
        </w:numPr>
        <w:rPr>
          <w:rFonts w:ascii="Arial" w:cs="Arial" w:eastAsia="Arial" w:hAnsi="Arial"/>
          <w:sz w:val="16"/>
          <w:szCs w:val="16"/>
          <w:b w:val="1"/>
          <w:bCs w:val="1"/>
          <w:color w:val="D7282F"/>
        </w:rPr>
      </w:pPr>
      <w:r>
        <w:rPr>
          <w:rFonts w:ascii="Arial" w:cs="Arial" w:eastAsia="Arial" w:hAnsi="Arial"/>
          <w:sz w:val="16"/>
          <w:szCs w:val="16"/>
          <w:color w:val="auto"/>
        </w:rPr>
        <w:t>Certain Relationships and Related Transactions, and Director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20955</wp:posOffset>
            </wp:positionV>
            <wp:extent cx="706374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6374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-124460</wp:posOffset>
            </wp:positionV>
            <wp:extent cx="706374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6374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-269875</wp:posOffset>
            </wp:positionV>
            <wp:extent cx="706374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6374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-415925</wp:posOffset>
            </wp:positionV>
            <wp:extent cx="706374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6374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-561340</wp:posOffset>
            </wp:positionV>
            <wp:extent cx="706374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63740" cy="8890"/>
                    </a:xfrm>
                    <a:prstGeom prst="rect">
                      <a:avLst/>
                    </a:prstGeom>
                    <a:noFill/>
                  </pic:spPr>
                </pic:pic>
              </a:graphicData>
            </a:graphic>
          </wp:anchor>
        </w:drawing>
      </w:r>
    </w:p>
    <w:p>
      <w:pPr>
        <w:spacing w:after="0" w:line="26" w:lineRule="exact"/>
        <w:rPr>
          <w:sz w:val="20"/>
          <w:szCs w:val="20"/>
          <w:color w:val="auto"/>
        </w:rPr>
      </w:pPr>
    </w:p>
    <w:p>
      <w:pPr>
        <w:ind w:left="800" w:hanging="410"/>
        <w:spacing w:after="0"/>
        <w:tabs>
          <w:tab w:leader="none" w:pos="800" w:val="left"/>
        </w:tabs>
        <w:numPr>
          <w:ilvl w:val="0"/>
          <w:numId w:val="21"/>
        </w:numPr>
        <w:rPr>
          <w:rFonts w:ascii="Arial" w:cs="Arial" w:eastAsia="Arial" w:hAnsi="Arial"/>
          <w:sz w:val="16"/>
          <w:szCs w:val="16"/>
          <w:b w:val="1"/>
          <w:bCs w:val="1"/>
          <w:color w:val="D7282F"/>
        </w:rPr>
      </w:pPr>
      <w:r>
        <w:rPr>
          <w:rFonts w:ascii="Arial" w:cs="Arial" w:eastAsia="Arial" w:hAnsi="Arial"/>
          <w:sz w:val="16"/>
          <w:szCs w:val="16"/>
          <w:color w:val="auto"/>
        </w:rPr>
        <w:t>Principal Accounting Fees and Services</w:t>
      </w:r>
    </w:p>
    <w:p>
      <w:pPr>
        <w:spacing w:after="0" w:line="45" w:lineRule="exact"/>
        <w:rPr>
          <w:rFonts w:ascii="Arial" w:cs="Arial" w:eastAsia="Arial" w:hAnsi="Arial"/>
          <w:sz w:val="16"/>
          <w:szCs w:val="16"/>
          <w:b w:val="1"/>
          <w:bCs w:val="1"/>
          <w:color w:val="D7282F"/>
        </w:rPr>
      </w:pPr>
    </w:p>
    <w:p>
      <w:pPr>
        <w:ind w:left="800" w:hanging="410"/>
        <w:spacing w:after="0"/>
        <w:tabs>
          <w:tab w:leader="none" w:pos="800" w:val="left"/>
        </w:tabs>
        <w:numPr>
          <w:ilvl w:val="0"/>
          <w:numId w:val="22"/>
        </w:numPr>
        <w:rPr>
          <w:rFonts w:ascii="Arial" w:cs="Arial" w:eastAsia="Arial" w:hAnsi="Arial"/>
          <w:sz w:val="16"/>
          <w:szCs w:val="16"/>
          <w:b w:val="1"/>
          <w:bCs w:val="1"/>
          <w:color w:val="D7282F"/>
        </w:rPr>
      </w:pPr>
      <w:r>
        <w:rPr>
          <w:rFonts w:ascii="Arial" w:cs="Arial" w:eastAsia="Arial" w:hAnsi="Arial"/>
          <w:sz w:val="16"/>
          <w:szCs w:val="16"/>
          <w:color w:val="auto"/>
        </w:rPr>
        <w:t>Exhibits and Financial Statement Schedules</w:t>
      </w:r>
    </w:p>
    <w:p>
      <w:pPr>
        <w:spacing w:after="0" w:line="45" w:lineRule="exact"/>
        <w:rPr>
          <w:rFonts w:ascii="Arial" w:cs="Arial" w:eastAsia="Arial" w:hAnsi="Arial"/>
          <w:sz w:val="16"/>
          <w:szCs w:val="16"/>
          <w:b w:val="1"/>
          <w:bCs w:val="1"/>
          <w:color w:val="D7282F"/>
        </w:rPr>
      </w:pPr>
    </w:p>
    <w:p>
      <w:pPr>
        <w:ind w:left="800" w:hanging="410"/>
        <w:spacing w:after="0"/>
        <w:tabs>
          <w:tab w:leader="none" w:pos="800" w:val="left"/>
        </w:tabs>
        <w:numPr>
          <w:ilvl w:val="0"/>
          <w:numId w:val="23"/>
        </w:numPr>
        <w:rPr>
          <w:rFonts w:ascii="Arial" w:cs="Arial" w:eastAsia="Arial" w:hAnsi="Arial"/>
          <w:sz w:val="16"/>
          <w:szCs w:val="16"/>
          <w:b w:val="1"/>
          <w:bCs w:val="1"/>
          <w:color w:val="D7282F"/>
        </w:rPr>
      </w:pPr>
      <w:r>
        <w:rPr>
          <w:rFonts w:ascii="Arial" w:cs="Arial" w:eastAsia="Arial" w:hAnsi="Arial"/>
          <w:sz w:val="16"/>
          <w:szCs w:val="16"/>
          <w:color w:val="auto"/>
        </w:rPr>
        <w:t>Form 10-K Summary</w:t>
      </w:r>
    </w:p>
    <w:p>
      <w:pPr>
        <w:spacing w:after="0" w:line="45" w:lineRule="exact"/>
        <w:rPr>
          <w:rFonts w:ascii="Arial" w:cs="Arial" w:eastAsia="Arial" w:hAnsi="Arial"/>
          <w:sz w:val="16"/>
          <w:szCs w:val="16"/>
          <w:b w:val="1"/>
          <w:bCs w:val="1"/>
          <w:color w:val="D7282F"/>
        </w:rPr>
      </w:pPr>
    </w:p>
    <w:p>
      <w:pPr>
        <w:ind w:left="800" w:hanging="419"/>
        <w:spacing w:after="0"/>
        <w:tabs>
          <w:tab w:leader="none" w:pos="800" w:val="left"/>
        </w:tabs>
        <w:numPr>
          <w:ilvl w:val="0"/>
          <w:numId w:val="23"/>
        </w:numPr>
        <w:rPr>
          <w:rFonts w:ascii="Arial" w:cs="Arial" w:eastAsia="Arial" w:hAnsi="Arial"/>
          <w:sz w:val="16"/>
          <w:szCs w:val="16"/>
          <w:b w:val="1"/>
          <w:bCs w:val="1"/>
          <w:color w:val="D7282F"/>
        </w:rPr>
      </w:pPr>
      <w:r>
        <w:rPr>
          <w:rFonts w:ascii="Arial" w:cs="Arial" w:eastAsia="Arial" w:hAnsi="Arial"/>
          <w:sz w:val="16"/>
          <w:szCs w:val="16"/>
          <w:color w:val="auto"/>
        </w:rPr>
        <w:t>Exhibit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20955</wp:posOffset>
            </wp:positionV>
            <wp:extent cx="706374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6374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-124460</wp:posOffset>
            </wp:positionV>
            <wp:extent cx="706374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6374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-269875</wp:posOffset>
            </wp:positionV>
            <wp:extent cx="706374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6374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-415925</wp:posOffset>
            </wp:positionV>
            <wp:extent cx="706374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63740" cy="8890"/>
                    </a:xfrm>
                    <a:prstGeom prst="rect">
                      <a:avLst/>
                    </a:prstGeom>
                    <a:noFill/>
                  </pic:spPr>
                </pic:pic>
              </a:graphicData>
            </a:graphic>
          </wp:anchor>
        </w:drawing>
      </w:r>
    </w:p>
    <w:p>
      <w:pPr>
        <w:spacing w:after="0" w:line="26" w:lineRule="exact"/>
        <w:rPr>
          <w:sz w:val="20"/>
          <w:szCs w:val="20"/>
          <w:color w:val="auto"/>
        </w:rPr>
      </w:pPr>
    </w:p>
    <w:p>
      <w:pPr>
        <w:ind w:left="800" w:hanging="419"/>
        <w:spacing w:after="0"/>
        <w:tabs>
          <w:tab w:leader="none" w:pos="800" w:val="left"/>
        </w:tabs>
        <w:numPr>
          <w:ilvl w:val="0"/>
          <w:numId w:val="24"/>
        </w:numPr>
        <w:rPr>
          <w:rFonts w:ascii="Arial" w:cs="Arial" w:eastAsia="Arial" w:hAnsi="Arial"/>
          <w:sz w:val="16"/>
          <w:szCs w:val="16"/>
          <w:b w:val="1"/>
          <w:bCs w:val="1"/>
          <w:color w:val="D7282F"/>
        </w:rPr>
      </w:pPr>
      <w:r>
        <w:rPr>
          <w:rFonts w:ascii="Arial" w:cs="Arial" w:eastAsia="Arial" w:hAnsi="Arial"/>
          <w:sz w:val="16"/>
          <w:szCs w:val="16"/>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20955</wp:posOffset>
            </wp:positionV>
            <wp:extent cx="706374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63740" cy="8890"/>
                    </a:xfrm>
                    <a:prstGeom prst="rect">
                      <a:avLst/>
                    </a:prstGeom>
                    <a:noFill/>
                  </pic:spPr>
                </pic:pic>
              </a:graphicData>
            </a:graphic>
          </wp:anchor>
        </w:drawing>
      </w:r>
    </w:p>
    <w:p>
      <w:pPr>
        <w:spacing w:after="0" w:line="26" w:lineRule="exact"/>
        <w:rPr>
          <w:sz w:val="20"/>
          <w:szCs w:val="20"/>
          <w:color w:val="auto"/>
        </w:rPr>
      </w:pPr>
    </w:p>
    <w:p>
      <w:pPr>
        <w:ind w:left="800" w:hanging="419"/>
        <w:spacing w:after="0"/>
        <w:tabs>
          <w:tab w:leader="none" w:pos="800" w:val="left"/>
        </w:tabs>
        <w:numPr>
          <w:ilvl w:val="0"/>
          <w:numId w:val="25"/>
        </w:numPr>
        <w:rPr>
          <w:rFonts w:ascii="Arial" w:cs="Arial" w:eastAsia="Arial" w:hAnsi="Arial"/>
          <w:sz w:val="16"/>
          <w:szCs w:val="16"/>
          <w:b w:val="1"/>
          <w:bCs w:val="1"/>
          <w:color w:val="D7282F"/>
        </w:rPr>
      </w:pPr>
      <w:r>
        <w:rPr>
          <w:rFonts w:ascii="Arial" w:cs="Arial" w:eastAsia="Arial" w:hAnsi="Arial"/>
          <w:sz w:val="16"/>
          <w:szCs w:val="16"/>
          <w:color w:val="auto"/>
        </w:rPr>
        <w:t>Form 10-K Cross-Reference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556895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20955</wp:posOffset>
            </wp:positionV>
            <wp:extent cx="706374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ectPr>
          <w:pgSz w:w="11900" w:h="16838" w:orient="portrait"/>
          <w:cols w:equalWidth="0" w:num="1">
            <w:col w:w="11240"/>
          </w:cols>
          <w:pgMar w:left="320" w:top="1195" w:right="339" w:bottom="1440" w:gutter="0" w:footer="0" w:header="0"/>
        </w:sectPr>
      </w:pPr>
    </w:p>
    <w:bookmarkStart w:id="2" w:name="page3"/>
    <w:bookmarkEnd w:id="2"/>
    <w:p>
      <w:pPr>
        <w:ind w:left="20"/>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CAUTIONARY STATEMENT ABOUT</w:t>
      </w:r>
    </w:p>
    <w:p>
      <w:pPr>
        <w:spacing w:after="0" w:line="54"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FORWARD-LOOKING STATEMENTS</w:t>
      </w:r>
    </w:p>
    <w:p>
      <w:pPr>
        <w:spacing w:after="0" w:line="357"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 xml:space="preserve">We describe many of the trends and other factors that drive our business and future results in the section titled </w:t>
      </w:r>
      <w:r>
        <w:rPr>
          <w:rFonts w:ascii="Arial" w:cs="Arial" w:eastAsia="Arial" w:hAnsi="Arial"/>
          <w:sz w:val="16"/>
          <w:szCs w:val="16"/>
          <w:u w:val="single" w:color="auto"/>
          <w:color w:val="0000FF"/>
        </w:rPr>
        <w:t>Management’s Discussion and Analysis of</w:t>
      </w:r>
      <w:r>
        <w:rPr>
          <w:rFonts w:ascii="Arial" w:cs="Arial" w:eastAsia="Arial" w:hAnsi="Arial"/>
          <w:sz w:val="16"/>
          <w:szCs w:val="16"/>
          <w:color w:val="auto"/>
        </w:rPr>
        <w:t xml:space="preserve"> </w:t>
      </w:r>
      <w:r>
        <w:rPr>
          <w:rFonts w:ascii="Arial" w:cs="Arial" w:eastAsia="Arial" w:hAnsi="Arial"/>
          <w:sz w:val="16"/>
          <w:szCs w:val="16"/>
          <w:u w:val="single" w:color="auto"/>
          <w:color w:val="0000FF"/>
        </w:rPr>
        <w:t>Financial Condition and Results of Operations</w:t>
      </w:r>
      <w:r>
        <w:rPr>
          <w:rFonts w:ascii="Arial" w:cs="Arial" w:eastAsia="Arial" w:hAnsi="Arial"/>
          <w:sz w:val="16"/>
          <w:szCs w:val="16"/>
          <w:color w:val="0000FF"/>
        </w:rPr>
        <w:t xml:space="preserve"> </w:t>
      </w:r>
      <w:r>
        <w:rPr>
          <w:rFonts w:ascii="Arial" w:cs="Arial" w:eastAsia="Arial" w:hAnsi="Arial"/>
          <w:sz w:val="16"/>
          <w:szCs w:val="16"/>
          <w:color w:val="000000"/>
        </w:rPr>
        <w:t>and in other parts of this report (including under the section titled</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Risk Factors</w:t>
      </w:r>
      <w:r>
        <w:rPr>
          <w:rFonts w:ascii="Arial" w:cs="Arial" w:eastAsia="Arial" w:hAnsi="Arial"/>
          <w:sz w:val="16"/>
          <w:szCs w:val="16"/>
          <w:color w:val="000000"/>
        </w:rPr>
        <w:t>). Such discussions contain</w:t>
      </w:r>
      <w:r>
        <w:rPr>
          <w:rFonts w:ascii="Arial" w:cs="Arial" w:eastAsia="Arial" w:hAnsi="Arial"/>
          <w:sz w:val="16"/>
          <w:szCs w:val="16"/>
          <w:color w:val="0000FF"/>
        </w:rPr>
        <w:t xml:space="preserve"> </w:t>
      </w:r>
      <w:r>
        <w:rPr>
          <w:rFonts w:ascii="Arial" w:cs="Arial" w:eastAsia="Arial" w:hAnsi="Arial"/>
          <w:sz w:val="16"/>
          <w:szCs w:val="16"/>
          <w:color w:val="000000"/>
        </w:rPr>
        <w:t xml:space="preserve">forward-looking statements within the meaning of Section 21E of the Securities Exchange Act of 1934, as amended (the Exchange Act). Forward-looking statements are those that address activities, events, or developments that management intends, expects, projects, believes, or anticipates will or may occur in the future and include statements related to the proposed spin-off of the Company's Advanced Materials business into a stand-alone, publicly traded company and the proposed separation of Automation and Aerospace. They are based on management’s assumptions and assessments in light of past experience and trends, current economic and industry conditions, expected future developments, and other relevant factors, many of which are difficult to predict and outside of our control. They are not guarantees of future performance, and actual results, developments, and business decisions may differ significantly from those envisaged by our forward-looking statements. We do not undertake to update or revise any of our forward-looking statements, except as required by applicable securities law. Our forward-looking statements are also subject to material risks and uncertainties, including ongoing macroeconomic and geopolitical risks, such as lower GDP growth or recession, supply chain disruptions, capital markets volatility, inflation, and certain regional conflicts, that can affect our performance in both the near- and long-term. In addition, no assurance can be given that any plan, initiative, projection, goal, commitment, expectation, or prospect set forth in this Form 10-K can or will be achieved. These forward-looking statements should be considered in light of the information included in this Form 10-K, including, in particular, the factors discussed within the section titled </w:t>
      </w:r>
      <w:r>
        <w:rPr>
          <w:rFonts w:ascii="Arial" w:cs="Arial" w:eastAsia="Arial" w:hAnsi="Arial"/>
          <w:sz w:val="16"/>
          <w:szCs w:val="16"/>
          <w:u w:val="single" w:color="auto"/>
          <w:color w:val="0000FF"/>
        </w:rPr>
        <w:t>Risk Factors</w:t>
      </w:r>
      <w:r>
        <w:rPr>
          <w:rFonts w:ascii="Arial" w:cs="Arial" w:eastAsia="Arial" w:hAnsi="Arial"/>
          <w:sz w:val="16"/>
          <w:szCs w:val="16"/>
          <w:color w:val="000000"/>
        </w:rPr>
        <w:t>. Such factors may be revised or supplemented in subsequent reports on Forms 10-Q and 8-K. Any forward-looking plans described herein are not final and may be modified or abandoned at any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300" w:hanging="292"/>
        <w:spacing w:after="0"/>
        <w:tabs>
          <w:tab w:leader="none" w:pos="300" w:val="left"/>
        </w:tabs>
        <w:numPr>
          <w:ilvl w:val="0"/>
          <w:numId w:val="26"/>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3" w:name="page4"/>
    <w:bookmarkEnd w:id="3"/>
    <w:p>
      <w:pPr>
        <w:ind w:left="20"/>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ABOUT HONEYWELL</w:t>
      </w:r>
    </w:p>
    <w:p>
      <w:pPr>
        <w:spacing w:after="0" w:line="393"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Honeywell International Inc. (Honeywell, we, us, our, or the Company) is an integrated operating company serving a broad range of industries and geographies around the world. Our products and solutions enable a safer, more comfortable, and more productive world, enhancing the quality of life of people around the globe. Our business is aligned with three powerful megatrends – automation, the future of aviation, and energy transition – underpinned by our Honeywell Accelerator operating system and Honeywell Forge Internet of Things (IoT) platform. Our portfolio of solutions is uniquely positioned to blend physical products with software to serve customers worldwide. As a trusted partner, we help organizations solve the world's toughest, most complex challenges, providing actionable solutions and innovations through our Aerospace Technologies, Industrial Automation, Building Automation, and Energy and Sustainability Solutions business segments that help make the world smarter and safer, as well as more secure and sustainable. The Honeywell brand dates back to 1906, and the Company was incorporated in Delaware in 1985.</w:t>
      </w:r>
    </w:p>
    <w:p>
      <w:pPr>
        <w:spacing w:after="0" w:line="8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Our Annual Report on Form 10-K, Quarterly Reports on Form 10-Q, Current Reports on Form 8-K, and any amendments to those reports, are available free of charge on our Investor Relations website (investor.honeywell.com) under the heading Financials (see SEC Filings) immediately after they are filed with, or furnished to, the SEC. Honeywell uses our Investor Relations website, along with press releases on our primary Honeywell website (honeywell.com) under the heading News &amp; Media, as a means of disclosing information which may be of interest or material to our investors and for complying with disclosure obligations under Regulation FD. Accordingly, investors should monitor our Investor Relations website and Honeywell News feed, in addition to following our press releases, SEC filings, public conference calls, webcasts, and social media. Information contained on or accessible through, including any reports available on, our website is not a part of, and is not incorporated by reference into, this Form 10-K or any other report or document we file with the SEC. Any reference to our website in this Form 10-K is intended to be an inactive textual reference only.</w:t>
      </w:r>
    </w:p>
    <w:p>
      <w:pPr>
        <w:spacing w:after="0" w:line="7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In addition, in this Form 10-K, the Company incorporates by reference certain information from its definitive Proxy Statement for the 2025 Annual Meeting of Stockholders (the Proxy Statement), which we expect to file with the SEC not later than 120 days after December 31, 2024, and which will also be available free of charge on our website.</w:t>
      </w:r>
    </w:p>
    <w:p>
      <w:pPr>
        <w:spacing w:after="0" w:line="395" w:lineRule="exact"/>
        <w:rPr>
          <w:sz w:val="20"/>
          <w:szCs w:val="20"/>
          <w:color w:val="auto"/>
        </w:rPr>
      </w:pPr>
    </w:p>
    <w:p>
      <w:pPr>
        <w:ind w:left="300" w:hanging="292"/>
        <w:spacing w:after="0"/>
        <w:tabs>
          <w:tab w:leader="none" w:pos="300" w:val="left"/>
        </w:tabs>
        <w:numPr>
          <w:ilvl w:val="0"/>
          <w:numId w:val="27"/>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4" w:name="page5"/>
    <w:bookmarkEnd w:id="4"/>
    <w:p>
      <w:pPr>
        <w:ind w:left="20"/>
        <w:spacing w:after="0"/>
        <w:tabs>
          <w:tab w:leader="none" w:pos="992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ABOUT HONEYWELL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9"/>
          <w:szCs w:val="29"/>
          <w:color w:val="D7282F"/>
        </w:rPr>
        <w:t>EXECUTIVE SUMMARY</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Leveraging our Honeywell Accelerator operating model, we demonstrated our commitment to portfolio transformation, growth, and operational execution while remaining focused on creating long-term shareowner value. In 2024, we delivered sales growth of 5%, achieving sales of $38.5 billion, with increases in three of our four reportable business segments, led by double-digit growth in our Aerospace Technologies business segment.</w:t>
      </w:r>
    </w:p>
    <w:p>
      <w:pPr>
        <w:spacing w:after="0" w:line="56"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 xml:space="preserve">In 2024, we continued our portfolio realignment to three powerful megatrends (automation, the future of aviation, and the energy transition), and deployed $9 billion of capital across four acquisitions: Carrier Global Corporation's Global Access Solutions business (Access Solutions), CAES Systems Holdings LLC (CAES), Air Products' liquefied natural gas process technology and equipment business (LNG), and Civitanavi Systems S.p.A. We also committed to two strategic divestitures of non-core businesses announced in 2024, including the sale of our personal protection equipment (PPE) business and our intent to spin off our Advanced Materials business into an independent, U.S. publicly traded company. Additionally, we announced in February 2025 our intent to pursue the separation of our Automation and Aerospace Technologies businesses into independent, U.S. publicly traded companies, forming three industry-leading public companies in Automation, Aerospace Technologies, and Advanced Materials. Refer to the section titled </w:t>
      </w:r>
      <w:r>
        <w:rPr>
          <w:rFonts w:ascii="Arial" w:cs="Arial" w:eastAsia="Arial" w:hAnsi="Arial"/>
          <w:sz w:val="16"/>
          <w:szCs w:val="16"/>
          <w:u w:val="single" w:color="auto"/>
          <w:color w:val="0000FF"/>
        </w:rPr>
        <w:t>Management's Discussion and</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Analysis of Financial Condition and Results of Operations</w:t>
      </w:r>
      <w:r>
        <w:rPr>
          <w:rFonts w:ascii="Arial" w:cs="Arial" w:eastAsia="Arial" w:hAnsi="Arial"/>
          <w:sz w:val="16"/>
          <w:szCs w:val="16"/>
          <w:color w:val="0000FF"/>
        </w:rPr>
        <w:t xml:space="preserve"> </w:t>
      </w:r>
      <w:r>
        <w:rPr>
          <w:rFonts w:ascii="Arial" w:cs="Arial" w:eastAsia="Arial" w:hAnsi="Arial"/>
          <w:sz w:val="16"/>
          <w:szCs w:val="16"/>
          <w:color w:val="000000"/>
        </w:rPr>
        <w:t>for further information.</w:t>
      </w:r>
    </w:p>
    <w:p>
      <w:pPr>
        <w:spacing w:after="0" w:line="10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Also in 2024, we announced Honeywell Connected Enterprise (HCE) 3.0, advancing our software strategy by integrating HCE into each strategic business group, while maintaining our robust software development expertise at the center. We expect this strategy to deliver improved outcomes for our customers and drive sustained, accretive software growth across the portfolio. We further progressed Accelerator, deploying best practices by business model consistently across the portfolio and scaling our capabilities across business models to drive growth. We also leveraged Accelerator to support the integration of each of our acquisitions.</w:t>
      </w:r>
    </w:p>
    <w:p>
      <w:pPr>
        <w:spacing w:after="0" w:line="6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During the year, we deployed $14.6 billion to capital expenditures, dividends, share repurchases, and mergers and acquisitions. We opportunistically repurchased shares to maintain our commitment to reduce share count by at least 1% per year and increased our dividend for the fifteenth time in the last fourteen years.</w:t>
      </w:r>
    </w:p>
    <w:p>
      <w:pPr>
        <w:spacing w:after="0" w:line="56"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As we look forward, we intend to continue deploying capital to high-return opportunities. We continue to carry a robust backlog of $35.3 billion as of December 31, 2024, that provides a strong foundation for future and sustained capital deployment to accelerate growth.</w:t>
      </w:r>
    </w:p>
    <w:p>
      <w:pPr>
        <w:spacing w:after="0" w:line="55" w:lineRule="exact"/>
        <w:rPr>
          <w:sz w:val="20"/>
          <w:szCs w:val="20"/>
          <w:color w:val="auto"/>
        </w:rPr>
      </w:pPr>
    </w:p>
    <w:tbl>
      <w:tblPr>
        <w:tblLayout w:type="fixed"/>
        <w:tblInd w:w="10" w:type="dxa"/>
        <w:tblCellMar>
          <w:top w:w="0" w:type="dxa"/>
          <w:left w:w="0" w:type="dxa"/>
          <w:bottom w:w="0" w:type="dxa"/>
          <w:right w:w="0" w:type="dxa"/>
        </w:tblCellMar>
      </w:tblPr>
      <w:tr>
        <w:trPr>
          <w:trHeight w:val="371"/>
        </w:trPr>
        <w:tc>
          <w:tcPr>
            <w:tcW w:w="3760" w:type="dxa"/>
            <w:vAlign w:val="bottom"/>
            <w:tcBorders>
              <w:top w:val="single" w:sz="8" w:color="D7282F"/>
              <w:left w:val="single" w:sz="8" w:color="D7282F"/>
            </w:tcBorders>
          </w:tcPr>
          <w:p>
            <w:pPr>
              <w:spacing w:after="0"/>
              <w:rPr>
                <w:sz w:val="24"/>
                <w:szCs w:val="24"/>
                <w:color w:val="auto"/>
              </w:rPr>
            </w:pPr>
          </w:p>
        </w:tc>
        <w:tc>
          <w:tcPr>
            <w:tcW w:w="20" w:type="dxa"/>
            <w:vAlign w:val="bottom"/>
            <w:tcBorders>
              <w:top w:val="single" w:sz="8" w:color="D7282F"/>
            </w:tcBorders>
          </w:tcPr>
          <w:p>
            <w:pPr>
              <w:spacing w:after="0"/>
              <w:rPr>
                <w:sz w:val="24"/>
                <w:szCs w:val="24"/>
                <w:color w:val="auto"/>
              </w:rPr>
            </w:pPr>
          </w:p>
        </w:tc>
        <w:tc>
          <w:tcPr>
            <w:tcW w:w="3640" w:type="dxa"/>
            <w:vAlign w:val="bottom"/>
            <w:tcBorders>
              <w:top w:val="single" w:sz="8" w:color="D7282F"/>
            </w:tcBorders>
          </w:tcPr>
          <w:p>
            <w:pPr>
              <w:ind w:left="1160"/>
              <w:spacing w:after="0"/>
              <w:rPr>
                <w:sz w:val="20"/>
                <w:szCs w:val="20"/>
                <w:color w:val="auto"/>
              </w:rPr>
            </w:pPr>
            <w:r>
              <w:rPr>
                <w:rFonts w:ascii="Arial" w:cs="Arial" w:eastAsia="Arial" w:hAnsi="Arial"/>
                <w:sz w:val="16"/>
                <w:szCs w:val="16"/>
                <w:b w:val="1"/>
                <w:bCs w:val="1"/>
                <w:color w:val="616161"/>
              </w:rPr>
              <w:t>YEAR IN REVIEW</w:t>
            </w:r>
          </w:p>
        </w:tc>
        <w:tc>
          <w:tcPr>
            <w:tcW w:w="20" w:type="dxa"/>
            <w:vAlign w:val="bottom"/>
            <w:tcBorders>
              <w:top w:val="single" w:sz="8" w:color="D7282F"/>
            </w:tcBorders>
          </w:tcPr>
          <w:p>
            <w:pPr>
              <w:spacing w:after="0"/>
              <w:rPr>
                <w:sz w:val="24"/>
                <w:szCs w:val="24"/>
                <w:color w:val="auto"/>
              </w:rPr>
            </w:pPr>
          </w:p>
        </w:tc>
        <w:tc>
          <w:tcPr>
            <w:tcW w:w="3800" w:type="dxa"/>
            <w:vAlign w:val="bottom"/>
            <w:tcBorders>
              <w:top w:val="single" w:sz="8" w:color="D7282F"/>
              <w:right w:val="single" w:sz="8" w:color="D7282F"/>
            </w:tcBorders>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3760" w:type="dxa"/>
            <w:vAlign w:val="bottom"/>
            <w:tcBorders>
              <w:left w:val="single" w:sz="8" w:color="D7282F"/>
            </w:tcBorders>
            <w:vMerge w:val="restart"/>
          </w:tcPr>
          <w:p>
            <w:pPr>
              <w:ind w:left="360"/>
              <w:spacing w:after="0"/>
              <w:rPr>
                <w:sz w:val="20"/>
                <w:szCs w:val="20"/>
                <w:color w:val="auto"/>
              </w:rPr>
            </w:pPr>
            <w:r>
              <w:rPr>
                <w:rFonts w:ascii="Arial" w:cs="Arial" w:eastAsia="Arial" w:hAnsi="Arial"/>
                <w:sz w:val="16"/>
                <w:szCs w:val="16"/>
                <w:color w:val="auto"/>
              </w:rPr>
              <w:t>Sales up 5%</w:t>
            </w:r>
          </w:p>
        </w:tc>
        <w:tc>
          <w:tcPr>
            <w:tcW w:w="20" w:type="dxa"/>
            <w:vAlign w:val="bottom"/>
          </w:tcPr>
          <w:p>
            <w:pPr>
              <w:spacing w:after="0"/>
              <w:rPr>
                <w:sz w:val="12"/>
                <w:szCs w:val="12"/>
                <w:color w:val="auto"/>
              </w:rPr>
            </w:pPr>
          </w:p>
        </w:tc>
        <w:tc>
          <w:tcPr>
            <w:tcW w:w="3640" w:type="dxa"/>
            <w:vAlign w:val="bottom"/>
            <w:vMerge w:val="restart"/>
          </w:tcPr>
          <w:p>
            <w:pPr>
              <w:ind w:left="220"/>
              <w:spacing w:after="0"/>
              <w:rPr>
                <w:sz w:val="20"/>
                <w:szCs w:val="20"/>
                <w:color w:val="auto"/>
              </w:rPr>
            </w:pPr>
            <w:r>
              <w:rPr>
                <w:rFonts w:ascii="Arial" w:cs="Arial" w:eastAsia="Arial" w:hAnsi="Arial"/>
                <w:sz w:val="16"/>
                <w:szCs w:val="16"/>
                <w:color w:val="auto"/>
              </w:rPr>
              <w:t>Robust backlog of</w:t>
            </w:r>
          </w:p>
        </w:tc>
        <w:tc>
          <w:tcPr>
            <w:tcW w:w="20" w:type="dxa"/>
            <w:vAlign w:val="bottom"/>
          </w:tcPr>
          <w:p>
            <w:pPr>
              <w:spacing w:after="0"/>
              <w:rPr>
                <w:sz w:val="12"/>
                <w:szCs w:val="12"/>
                <w:color w:val="auto"/>
              </w:rPr>
            </w:pPr>
          </w:p>
        </w:tc>
        <w:tc>
          <w:tcPr>
            <w:tcW w:w="3800" w:type="dxa"/>
            <w:vAlign w:val="bottom"/>
            <w:tcBorders>
              <w:right w:val="single" w:sz="8" w:color="D7282F"/>
            </w:tcBorders>
            <w:vMerge w:val="restart"/>
          </w:tcPr>
          <w:p>
            <w:pPr>
              <w:ind w:left="220"/>
              <w:spacing w:after="0"/>
              <w:rPr>
                <w:sz w:val="20"/>
                <w:szCs w:val="20"/>
                <w:color w:val="auto"/>
              </w:rPr>
            </w:pPr>
            <w:r>
              <w:rPr>
                <w:rFonts w:ascii="Arial" w:cs="Arial" w:eastAsia="Arial" w:hAnsi="Arial"/>
                <w:sz w:val="16"/>
                <w:szCs w:val="16"/>
                <w:color w:val="auto"/>
              </w:rPr>
              <w:t>Operating cash flows of</w:t>
            </w:r>
          </w:p>
        </w:tc>
        <w:tc>
          <w:tcPr>
            <w:tcW w:w="0" w:type="dxa"/>
            <w:vAlign w:val="bottom"/>
          </w:tcPr>
          <w:p>
            <w:pPr>
              <w:spacing w:after="0"/>
              <w:rPr>
                <w:sz w:val="1"/>
                <w:szCs w:val="1"/>
                <w:color w:val="auto"/>
              </w:rPr>
            </w:pPr>
          </w:p>
        </w:tc>
      </w:tr>
      <w:tr>
        <w:trPr>
          <w:trHeight w:val="875"/>
        </w:trPr>
        <w:tc>
          <w:tcPr>
            <w:tcW w:w="3760" w:type="dxa"/>
            <w:vAlign w:val="bottom"/>
            <w:tcBorders>
              <w:left w:val="single" w:sz="8" w:color="D7282F"/>
            </w:tcBorders>
            <w:vMerge w:val="continue"/>
          </w:tcPr>
          <w:p>
            <w:pPr>
              <w:spacing w:after="0"/>
              <w:rPr>
                <w:sz w:val="24"/>
                <w:szCs w:val="24"/>
                <w:color w:val="auto"/>
              </w:rPr>
            </w:pPr>
          </w:p>
        </w:tc>
        <w:tc>
          <w:tcPr>
            <w:tcW w:w="20" w:type="dxa"/>
            <w:vAlign w:val="bottom"/>
            <w:shd w:val="clear" w:color="auto" w:fill="D7282F"/>
          </w:tcPr>
          <w:p>
            <w:pPr>
              <w:spacing w:after="0"/>
              <w:rPr>
                <w:sz w:val="24"/>
                <w:szCs w:val="24"/>
                <w:color w:val="auto"/>
              </w:rPr>
            </w:pPr>
          </w:p>
        </w:tc>
        <w:tc>
          <w:tcPr>
            <w:tcW w:w="3640" w:type="dxa"/>
            <w:vAlign w:val="bottom"/>
            <w:vMerge w:val="continue"/>
          </w:tcPr>
          <w:p>
            <w:pPr>
              <w:spacing w:after="0"/>
              <w:rPr>
                <w:sz w:val="24"/>
                <w:szCs w:val="24"/>
                <w:color w:val="auto"/>
              </w:rPr>
            </w:pPr>
          </w:p>
        </w:tc>
        <w:tc>
          <w:tcPr>
            <w:tcW w:w="20" w:type="dxa"/>
            <w:vAlign w:val="bottom"/>
            <w:shd w:val="clear" w:color="auto" w:fill="D7282F"/>
          </w:tcPr>
          <w:p>
            <w:pPr>
              <w:spacing w:after="0"/>
              <w:rPr>
                <w:sz w:val="24"/>
                <w:szCs w:val="24"/>
                <w:color w:val="auto"/>
              </w:rPr>
            </w:pPr>
          </w:p>
        </w:tc>
        <w:tc>
          <w:tcPr>
            <w:tcW w:w="3800" w:type="dxa"/>
            <w:vAlign w:val="bottom"/>
            <w:tcBorders>
              <w:right w:val="single" w:sz="8" w:color="D7282F"/>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74"/>
        </w:trPr>
        <w:tc>
          <w:tcPr>
            <w:tcW w:w="3760" w:type="dxa"/>
            <w:vAlign w:val="bottom"/>
            <w:tcBorders>
              <w:left w:val="single" w:sz="8" w:color="D7282F"/>
            </w:tcBorders>
          </w:tcPr>
          <w:p>
            <w:pPr>
              <w:ind w:left="360"/>
              <w:spacing w:after="0"/>
              <w:rPr>
                <w:sz w:val="20"/>
                <w:szCs w:val="20"/>
                <w:color w:val="auto"/>
              </w:rPr>
            </w:pPr>
            <w:r>
              <w:rPr>
                <w:rFonts w:ascii="Arial" w:cs="Arial" w:eastAsia="Arial" w:hAnsi="Arial"/>
                <w:sz w:val="36"/>
                <w:szCs w:val="36"/>
                <w:b w:val="1"/>
                <w:bCs w:val="1"/>
                <w:color w:val="D7282F"/>
              </w:rPr>
              <w:t>$38.5 BILLION</w:t>
            </w:r>
          </w:p>
        </w:tc>
        <w:tc>
          <w:tcPr>
            <w:tcW w:w="20" w:type="dxa"/>
            <w:vAlign w:val="bottom"/>
            <w:shd w:val="clear" w:color="auto" w:fill="D7282F"/>
          </w:tcPr>
          <w:p>
            <w:pPr>
              <w:spacing w:after="0"/>
              <w:rPr>
                <w:sz w:val="24"/>
                <w:szCs w:val="24"/>
                <w:color w:val="auto"/>
              </w:rPr>
            </w:pPr>
          </w:p>
        </w:tc>
        <w:tc>
          <w:tcPr>
            <w:tcW w:w="3640" w:type="dxa"/>
            <w:vAlign w:val="bottom"/>
          </w:tcPr>
          <w:p>
            <w:pPr>
              <w:ind w:left="220"/>
              <w:spacing w:after="0"/>
              <w:rPr>
                <w:sz w:val="20"/>
                <w:szCs w:val="20"/>
                <w:color w:val="auto"/>
              </w:rPr>
            </w:pPr>
            <w:r>
              <w:rPr>
                <w:rFonts w:ascii="Arial" w:cs="Arial" w:eastAsia="Arial" w:hAnsi="Arial"/>
                <w:sz w:val="36"/>
                <w:szCs w:val="36"/>
                <w:b w:val="1"/>
                <w:bCs w:val="1"/>
                <w:color w:val="D7282F"/>
              </w:rPr>
              <w:t>$35.3 BILLION</w:t>
            </w:r>
          </w:p>
        </w:tc>
        <w:tc>
          <w:tcPr>
            <w:tcW w:w="20" w:type="dxa"/>
            <w:vAlign w:val="bottom"/>
            <w:shd w:val="clear" w:color="auto" w:fill="D7282F"/>
          </w:tcPr>
          <w:p>
            <w:pPr>
              <w:spacing w:after="0"/>
              <w:rPr>
                <w:sz w:val="24"/>
                <w:szCs w:val="24"/>
                <w:color w:val="auto"/>
              </w:rPr>
            </w:pPr>
          </w:p>
        </w:tc>
        <w:tc>
          <w:tcPr>
            <w:tcW w:w="3800" w:type="dxa"/>
            <w:vAlign w:val="bottom"/>
            <w:tcBorders>
              <w:right w:val="single" w:sz="8" w:color="D7282F"/>
            </w:tcBorders>
          </w:tcPr>
          <w:p>
            <w:pPr>
              <w:ind w:left="220"/>
              <w:spacing w:after="0"/>
              <w:rPr>
                <w:sz w:val="20"/>
                <w:szCs w:val="20"/>
                <w:color w:val="auto"/>
              </w:rPr>
            </w:pPr>
            <w:r>
              <w:rPr>
                <w:rFonts w:ascii="Arial" w:cs="Arial" w:eastAsia="Arial" w:hAnsi="Arial"/>
                <w:sz w:val="36"/>
                <w:szCs w:val="36"/>
                <w:b w:val="1"/>
                <w:bCs w:val="1"/>
                <w:color w:val="D7282F"/>
              </w:rPr>
              <w:t>$6.1 BILLION</w:t>
            </w:r>
          </w:p>
        </w:tc>
        <w:tc>
          <w:tcPr>
            <w:tcW w:w="0" w:type="dxa"/>
            <w:vAlign w:val="bottom"/>
          </w:tcPr>
          <w:p>
            <w:pPr>
              <w:spacing w:after="0"/>
              <w:rPr>
                <w:sz w:val="1"/>
                <w:szCs w:val="1"/>
                <w:color w:val="auto"/>
              </w:rPr>
            </w:pPr>
          </w:p>
        </w:tc>
      </w:tr>
      <w:tr>
        <w:trPr>
          <w:trHeight w:val="163"/>
        </w:trPr>
        <w:tc>
          <w:tcPr>
            <w:tcW w:w="3760" w:type="dxa"/>
            <w:vAlign w:val="bottom"/>
            <w:tcBorders>
              <w:left w:val="single" w:sz="8" w:color="D7282F"/>
            </w:tcBorders>
          </w:tcPr>
          <w:p>
            <w:pPr>
              <w:ind w:left="360"/>
              <w:spacing w:after="0" w:line="163" w:lineRule="exact"/>
              <w:rPr>
                <w:sz w:val="20"/>
                <w:szCs w:val="20"/>
                <w:color w:val="auto"/>
              </w:rPr>
            </w:pPr>
            <w:r>
              <w:rPr>
                <w:rFonts w:ascii="Arial" w:cs="Arial" w:eastAsia="Arial" w:hAnsi="Arial"/>
                <w:sz w:val="16"/>
                <w:szCs w:val="16"/>
                <w:color w:val="auto"/>
              </w:rPr>
              <w:t>as we remain focused on leveraging and</w:t>
            </w:r>
          </w:p>
        </w:tc>
        <w:tc>
          <w:tcPr>
            <w:tcW w:w="20" w:type="dxa"/>
            <w:vAlign w:val="bottom"/>
            <w:shd w:val="clear" w:color="auto" w:fill="D7282F"/>
          </w:tcPr>
          <w:p>
            <w:pPr>
              <w:spacing w:after="0"/>
              <w:rPr>
                <w:sz w:val="14"/>
                <w:szCs w:val="14"/>
                <w:color w:val="auto"/>
              </w:rPr>
            </w:pPr>
          </w:p>
        </w:tc>
        <w:tc>
          <w:tcPr>
            <w:tcW w:w="3640" w:type="dxa"/>
            <w:vAlign w:val="bottom"/>
          </w:tcPr>
          <w:p>
            <w:pPr>
              <w:ind w:left="220"/>
              <w:spacing w:after="0" w:line="163" w:lineRule="exact"/>
              <w:rPr>
                <w:sz w:val="20"/>
                <w:szCs w:val="20"/>
                <w:color w:val="auto"/>
              </w:rPr>
            </w:pPr>
            <w:r>
              <w:rPr>
                <w:rFonts w:ascii="Arial" w:cs="Arial" w:eastAsia="Arial" w:hAnsi="Arial"/>
                <w:sz w:val="16"/>
                <w:szCs w:val="16"/>
                <w:color w:val="auto"/>
              </w:rPr>
              <w:t>as of year-end, demonstrating continued</w:t>
            </w:r>
          </w:p>
        </w:tc>
        <w:tc>
          <w:tcPr>
            <w:tcW w:w="20" w:type="dxa"/>
            <w:vAlign w:val="bottom"/>
            <w:shd w:val="clear" w:color="auto" w:fill="D7282F"/>
          </w:tcPr>
          <w:p>
            <w:pPr>
              <w:spacing w:after="0"/>
              <w:rPr>
                <w:sz w:val="14"/>
                <w:szCs w:val="14"/>
                <w:color w:val="auto"/>
              </w:rPr>
            </w:pPr>
          </w:p>
        </w:tc>
        <w:tc>
          <w:tcPr>
            <w:tcW w:w="3800" w:type="dxa"/>
            <w:vAlign w:val="bottom"/>
            <w:tcBorders>
              <w:right w:val="single" w:sz="8" w:color="D7282F"/>
            </w:tcBorders>
          </w:tcPr>
          <w:p>
            <w:pPr>
              <w:ind w:left="220"/>
              <w:spacing w:after="0" w:line="163" w:lineRule="exact"/>
              <w:rPr>
                <w:sz w:val="20"/>
                <w:szCs w:val="20"/>
                <w:color w:val="auto"/>
              </w:rPr>
            </w:pPr>
            <w:r>
              <w:rPr>
                <w:rFonts w:ascii="Arial" w:cs="Arial" w:eastAsia="Arial" w:hAnsi="Arial"/>
                <w:sz w:val="16"/>
                <w:szCs w:val="16"/>
                <w:color w:val="auto"/>
              </w:rPr>
              <w:t>as we remain focused on increasing</w:t>
            </w:r>
          </w:p>
        </w:tc>
        <w:tc>
          <w:tcPr>
            <w:tcW w:w="0" w:type="dxa"/>
            <w:vAlign w:val="bottom"/>
          </w:tcPr>
          <w:p>
            <w:pPr>
              <w:spacing w:after="0"/>
              <w:rPr>
                <w:sz w:val="1"/>
                <w:szCs w:val="1"/>
                <w:color w:val="auto"/>
              </w:rPr>
            </w:pPr>
          </w:p>
        </w:tc>
      </w:tr>
      <w:tr>
        <w:trPr>
          <w:trHeight w:val="162"/>
        </w:trPr>
        <w:tc>
          <w:tcPr>
            <w:tcW w:w="3760" w:type="dxa"/>
            <w:vAlign w:val="bottom"/>
            <w:tcBorders>
              <w:left w:val="single" w:sz="8" w:color="D7282F"/>
            </w:tcBorders>
          </w:tcPr>
          <w:p>
            <w:pPr>
              <w:ind w:left="360"/>
              <w:spacing w:after="0" w:line="162" w:lineRule="exact"/>
              <w:rPr>
                <w:sz w:val="20"/>
                <w:szCs w:val="20"/>
                <w:color w:val="auto"/>
              </w:rPr>
            </w:pPr>
            <w:r>
              <w:rPr>
                <w:rFonts w:ascii="Arial" w:cs="Arial" w:eastAsia="Arial" w:hAnsi="Arial"/>
                <w:sz w:val="16"/>
                <w:szCs w:val="16"/>
                <w:color w:val="auto"/>
              </w:rPr>
              <w:t>evolving our Honeywell Accelerator</w:t>
            </w:r>
          </w:p>
        </w:tc>
        <w:tc>
          <w:tcPr>
            <w:tcW w:w="20" w:type="dxa"/>
            <w:vAlign w:val="bottom"/>
            <w:shd w:val="clear" w:color="auto" w:fill="D7282F"/>
          </w:tcPr>
          <w:p>
            <w:pPr>
              <w:spacing w:after="0"/>
              <w:rPr>
                <w:sz w:val="14"/>
                <w:szCs w:val="14"/>
                <w:color w:val="auto"/>
              </w:rPr>
            </w:pPr>
          </w:p>
        </w:tc>
        <w:tc>
          <w:tcPr>
            <w:tcW w:w="3640" w:type="dxa"/>
            <w:vAlign w:val="bottom"/>
          </w:tcPr>
          <w:p>
            <w:pPr>
              <w:ind w:left="220"/>
              <w:spacing w:after="0" w:line="162" w:lineRule="exact"/>
              <w:rPr>
                <w:sz w:val="20"/>
                <w:szCs w:val="20"/>
                <w:color w:val="auto"/>
              </w:rPr>
            </w:pPr>
            <w:r>
              <w:rPr>
                <w:rFonts w:ascii="Arial" w:cs="Arial" w:eastAsia="Arial" w:hAnsi="Arial"/>
                <w:sz w:val="16"/>
                <w:szCs w:val="16"/>
                <w:color w:val="auto"/>
              </w:rPr>
              <w:t>strong demand in our end markets and</w:t>
            </w:r>
          </w:p>
        </w:tc>
        <w:tc>
          <w:tcPr>
            <w:tcW w:w="20" w:type="dxa"/>
            <w:vAlign w:val="bottom"/>
            <w:shd w:val="clear" w:color="auto" w:fill="D7282F"/>
          </w:tcPr>
          <w:p>
            <w:pPr>
              <w:spacing w:after="0"/>
              <w:rPr>
                <w:sz w:val="14"/>
                <w:szCs w:val="14"/>
                <w:color w:val="auto"/>
              </w:rPr>
            </w:pPr>
          </w:p>
        </w:tc>
        <w:tc>
          <w:tcPr>
            <w:tcW w:w="3800" w:type="dxa"/>
            <w:vAlign w:val="bottom"/>
            <w:tcBorders>
              <w:right w:val="single" w:sz="8" w:color="D7282F"/>
            </w:tcBorders>
          </w:tcPr>
          <w:p>
            <w:pPr>
              <w:ind w:left="220"/>
              <w:spacing w:after="0" w:line="162" w:lineRule="exact"/>
              <w:rPr>
                <w:sz w:val="20"/>
                <w:szCs w:val="20"/>
                <w:color w:val="auto"/>
              </w:rPr>
            </w:pPr>
            <w:r>
              <w:rPr>
                <w:rFonts w:ascii="Arial" w:cs="Arial" w:eastAsia="Arial" w:hAnsi="Arial"/>
                <w:sz w:val="16"/>
                <w:szCs w:val="16"/>
                <w:color w:val="auto"/>
              </w:rPr>
              <w:t>operating cash flows through revenue</w:t>
            </w:r>
          </w:p>
        </w:tc>
        <w:tc>
          <w:tcPr>
            <w:tcW w:w="0" w:type="dxa"/>
            <w:vAlign w:val="bottom"/>
          </w:tcPr>
          <w:p>
            <w:pPr>
              <w:spacing w:after="0"/>
              <w:rPr>
                <w:sz w:val="1"/>
                <w:szCs w:val="1"/>
                <w:color w:val="auto"/>
              </w:rPr>
            </w:pPr>
          </w:p>
        </w:tc>
      </w:tr>
      <w:tr>
        <w:trPr>
          <w:trHeight w:val="162"/>
        </w:trPr>
        <w:tc>
          <w:tcPr>
            <w:tcW w:w="3760" w:type="dxa"/>
            <w:vAlign w:val="bottom"/>
            <w:tcBorders>
              <w:left w:val="single" w:sz="8" w:color="D7282F"/>
            </w:tcBorders>
          </w:tcPr>
          <w:p>
            <w:pPr>
              <w:ind w:left="360"/>
              <w:spacing w:after="0" w:line="162" w:lineRule="exact"/>
              <w:rPr>
                <w:sz w:val="20"/>
                <w:szCs w:val="20"/>
                <w:color w:val="auto"/>
              </w:rPr>
            </w:pPr>
            <w:r>
              <w:rPr>
                <w:rFonts w:ascii="Arial" w:cs="Arial" w:eastAsia="Arial" w:hAnsi="Arial"/>
                <w:sz w:val="16"/>
                <w:szCs w:val="16"/>
                <w:color w:val="auto"/>
              </w:rPr>
              <w:t>operating model to deliver growth</w:t>
            </w:r>
          </w:p>
        </w:tc>
        <w:tc>
          <w:tcPr>
            <w:tcW w:w="20" w:type="dxa"/>
            <w:vAlign w:val="bottom"/>
            <w:shd w:val="clear" w:color="auto" w:fill="D7282F"/>
          </w:tcPr>
          <w:p>
            <w:pPr>
              <w:spacing w:after="0"/>
              <w:rPr>
                <w:sz w:val="14"/>
                <w:szCs w:val="14"/>
                <w:color w:val="auto"/>
              </w:rPr>
            </w:pPr>
          </w:p>
        </w:tc>
        <w:tc>
          <w:tcPr>
            <w:tcW w:w="3640" w:type="dxa"/>
            <w:vAlign w:val="bottom"/>
          </w:tcPr>
          <w:p>
            <w:pPr>
              <w:ind w:left="220"/>
              <w:spacing w:after="0" w:line="162" w:lineRule="exact"/>
              <w:rPr>
                <w:sz w:val="20"/>
                <w:szCs w:val="20"/>
                <w:color w:val="auto"/>
              </w:rPr>
            </w:pPr>
            <w:r>
              <w:rPr>
                <w:rFonts w:ascii="Arial" w:cs="Arial" w:eastAsia="Arial" w:hAnsi="Arial"/>
                <w:sz w:val="16"/>
                <w:szCs w:val="16"/>
                <w:color w:val="auto"/>
              </w:rPr>
              <w:t>positioning us well to convert for future</w:t>
            </w:r>
          </w:p>
        </w:tc>
        <w:tc>
          <w:tcPr>
            <w:tcW w:w="20" w:type="dxa"/>
            <w:vAlign w:val="bottom"/>
            <w:shd w:val="clear" w:color="auto" w:fill="D7282F"/>
          </w:tcPr>
          <w:p>
            <w:pPr>
              <w:spacing w:after="0"/>
              <w:rPr>
                <w:sz w:val="14"/>
                <w:szCs w:val="14"/>
                <w:color w:val="auto"/>
              </w:rPr>
            </w:pPr>
          </w:p>
        </w:tc>
        <w:tc>
          <w:tcPr>
            <w:tcW w:w="3800" w:type="dxa"/>
            <w:vAlign w:val="bottom"/>
            <w:tcBorders>
              <w:right w:val="single" w:sz="8" w:color="D7282F"/>
            </w:tcBorders>
          </w:tcPr>
          <w:p>
            <w:pPr>
              <w:ind w:left="220"/>
              <w:spacing w:after="0" w:line="162" w:lineRule="exact"/>
              <w:rPr>
                <w:sz w:val="20"/>
                <w:szCs w:val="20"/>
                <w:color w:val="auto"/>
              </w:rPr>
            </w:pPr>
            <w:r>
              <w:rPr>
                <w:rFonts w:ascii="Arial" w:cs="Arial" w:eastAsia="Arial" w:hAnsi="Arial"/>
                <w:sz w:val="16"/>
                <w:szCs w:val="16"/>
                <w:color w:val="auto"/>
              </w:rPr>
              <w:t>growth, margin expansion, and improved</w:t>
            </w:r>
          </w:p>
        </w:tc>
        <w:tc>
          <w:tcPr>
            <w:tcW w:w="0" w:type="dxa"/>
            <w:vAlign w:val="bottom"/>
          </w:tcPr>
          <w:p>
            <w:pPr>
              <w:spacing w:after="0"/>
              <w:rPr>
                <w:sz w:val="1"/>
                <w:szCs w:val="1"/>
                <w:color w:val="auto"/>
              </w:rPr>
            </w:pPr>
          </w:p>
        </w:tc>
      </w:tr>
      <w:tr>
        <w:trPr>
          <w:trHeight w:val="216"/>
        </w:trPr>
        <w:tc>
          <w:tcPr>
            <w:tcW w:w="3760" w:type="dxa"/>
            <w:vAlign w:val="bottom"/>
            <w:tcBorders>
              <w:left w:val="single" w:sz="8" w:color="D7282F"/>
            </w:tcBorders>
          </w:tcPr>
          <w:p>
            <w:pPr>
              <w:spacing w:after="0"/>
              <w:rPr>
                <w:sz w:val="18"/>
                <w:szCs w:val="18"/>
                <w:color w:val="auto"/>
              </w:rPr>
            </w:pPr>
          </w:p>
        </w:tc>
        <w:tc>
          <w:tcPr>
            <w:tcW w:w="20" w:type="dxa"/>
            <w:vAlign w:val="bottom"/>
            <w:shd w:val="clear" w:color="auto" w:fill="D7282F"/>
          </w:tcPr>
          <w:p>
            <w:pPr>
              <w:spacing w:after="0"/>
              <w:rPr>
                <w:sz w:val="18"/>
                <w:szCs w:val="18"/>
                <w:color w:val="auto"/>
              </w:rPr>
            </w:pPr>
          </w:p>
        </w:tc>
        <w:tc>
          <w:tcPr>
            <w:tcW w:w="3640" w:type="dxa"/>
            <w:vAlign w:val="bottom"/>
          </w:tcPr>
          <w:p>
            <w:pPr>
              <w:ind w:left="220"/>
              <w:spacing w:after="0"/>
              <w:rPr>
                <w:sz w:val="20"/>
                <w:szCs w:val="20"/>
                <w:color w:val="auto"/>
              </w:rPr>
            </w:pPr>
            <w:r>
              <w:rPr>
                <w:rFonts w:ascii="Arial" w:cs="Arial" w:eastAsia="Arial" w:hAnsi="Arial"/>
                <w:sz w:val="16"/>
                <w:szCs w:val="16"/>
                <w:color w:val="auto"/>
              </w:rPr>
              <w:t>growth</w:t>
            </w:r>
          </w:p>
        </w:tc>
        <w:tc>
          <w:tcPr>
            <w:tcW w:w="20" w:type="dxa"/>
            <w:vAlign w:val="bottom"/>
            <w:shd w:val="clear" w:color="auto" w:fill="D7282F"/>
          </w:tcPr>
          <w:p>
            <w:pPr>
              <w:spacing w:after="0"/>
              <w:rPr>
                <w:sz w:val="18"/>
                <w:szCs w:val="18"/>
                <w:color w:val="auto"/>
              </w:rPr>
            </w:pPr>
          </w:p>
        </w:tc>
        <w:tc>
          <w:tcPr>
            <w:tcW w:w="3800" w:type="dxa"/>
            <w:vAlign w:val="bottom"/>
            <w:tcBorders>
              <w:right w:val="single" w:sz="8" w:color="D7282F"/>
            </w:tcBorders>
          </w:tcPr>
          <w:p>
            <w:pPr>
              <w:ind w:left="220"/>
              <w:spacing w:after="0"/>
              <w:rPr>
                <w:sz w:val="20"/>
                <w:szCs w:val="20"/>
                <w:color w:val="auto"/>
              </w:rPr>
            </w:pPr>
            <w:r>
              <w:rPr>
                <w:rFonts w:ascii="Arial" w:cs="Arial" w:eastAsia="Arial" w:hAnsi="Arial"/>
                <w:sz w:val="16"/>
                <w:szCs w:val="16"/>
                <w:color w:val="auto"/>
              </w:rPr>
              <w:t>working capital turnover</w:t>
            </w:r>
          </w:p>
        </w:tc>
        <w:tc>
          <w:tcPr>
            <w:tcW w:w="0" w:type="dxa"/>
            <w:vAlign w:val="bottom"/>
          </w:tcPr>
          <w:p>
            <w:pPr>
              <w:spacing w:after="0"/>
              <w:rPr>
                <w:sz w:val="1"/>
                <w:szCs w:val="1"/>
                <w:color w:val="auto"/>
              </w:rPr>
            </w:pPr>
          </w:p>
        </w:tc>
      </w:tr>
      <w:tr>
        <w:trPr>
          <w:trHeight w:val="148"/>
        </w:trPr>
        <w:tc>
          <w:tcPr>
            <w:tcW w:w="3760" w:type="dxa"/>
            <w:vAlign w:val="bottom"/>
            <w:tcBorders>
              <w:left w:val="single" w:sz="8" w:color="D7282F"/>
              <w:bottom w:val="single" w:sz="8" w:color="D7282F"/>
            </w:tcBorders>
          </w:tcPr>
          <w:p>
            <w:pPr>
              <w:spacing w:after="0"/>
              <w:rPr>
                <w:sz w:val="12"/>
                <w:szCs w:val="12"/>
                <w:color w:val="auto"/>
              </w:rPr>
            </w:pPr>
          </w:p>
        </w:tc>
        <w:tc>
          <w:tcPr>
            <w:tcW w:w="20" w:type="dxa"/>
            <w:vAlign w:val="bottom"/>
            <w:tcBorders>
              <w:bottom w:val="single" w:sz="8" w:color="D7282F"/>
            </w:tcBorders>
          </w:tcPr>
          <w:p>
            <w:pPr>
              <w:spacing w:after="0"/>
              <w:rPr>
                <w:sz w:val="12"/>
                <w:szCs w:val="12"/>
                <w:color w:val="auto"/>
              </w:rPr>
            </w:pPr>
          </w:p>
        </w:tc>
        <w:tc>
          <w:tcPr>
            <w:tcW w:w="3640" w:type="dxa"/>
            <w:vAlign w:val="bottom"/>
            <w:tcBorders>
              <w:bottom w:val="single" w:sz="8" w:color="D7282F"/>
            </w:tcBorders>
          </w:tcPr>
          <w:p>
            <w:pPr>
              <w:spacing w:after="0"/>
              <w:rPr>
                <w:sz w:val="12"/>
                <w:szCs w:val="12"/>
                <w:color w:val="auto"/>
              </w:rPr>
            </w:pPr>
          </w:p>
        </w:tc>
        <w:tc>
          <w:tcPr>
            <w:tcW w:w="20" w:type="dxa"/>
            <w:vAlign w:val="bottom"/>
            <w:tcBorders>
              <w:bottom w:val="single" w:sz="8" w:color="D7282F"/>
            </w:tcBorders>
          </w:tcPr>
          <w:p>
            <w:pPr>
              <w:spacing w:after="0"/>
              <w:rPr>
                <w:sz w:val="12"/>
                <w:szCs w:val="12"/>
                <w:color w:val="auto"/>
              </w:rPr>
            </w:pPr>
          </w:p>
        </w:tc>
        <w:tc>
          <w:tcPr>
            <w:tcW w:w="3800" w:type="dxa"/>
            <w:vAlign w:val="bottom"/>
            <w:tcBorders>
              <w:bottom w:val="single" w:sz="8" w:color="D7282F"/>
              <w:right w:val="single" w:sz="8" w:color="D7282F"/>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-1370965</wp:posOffset>
            </wp:positionV>
            <wp:extent cx="316865" cy="2914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16865" cy="291465"/>
                    </a:xfrm>
                    <a:prstGeom prst="rect">
                      <a:avLst/>
                    </a:prstGeom>
                    <a:noFill/>
                  </pic:spPr>
                </pic:pic>
              </a:graphicData>
            </a:graphic>
          </wp:anchor>
        </w:drawing>
        <w:drawing>
          <wp:anchor simplePos="0" relativeHeight="251657728" behindDoc="1" locked="0" layoutInCell="0" allowOverlap="1">
            <wp:simplePos x="0" y="0"/>
            <wp:positionH relativeFrom="column">
              <wp:posOffset>2550795</wp:posOffset>
            </wp:positionH>
            <wp:positionV relativeFrom="paragraph">
              <wp:posOffset>-1370965</wp:posOffset>
            </wp:positionV>
            <wp:extent cx="300355" cy="2914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00355" cy="29146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-1388110</wp:posOffset>
            </wp:positionV>
            <wp:extent cx="317500" cy="3257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17500" cy="325755"/>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p>
      <w:pPr>
        <w:ind w:left="300" w:hanging="292"/>
        <w:spacing w:after="0"/>
        <w:tabs>
          <w:tab w:leader="none" w:pos="300" w:val="left"/>
        </w:tabs>
        <w:numPr>
          <w:ilvl w:val="0"/>
          <w:numId w:val="28"/>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5" w:name="page6"/>
    <w:bookmarkEnd w:id="5"/>
    <w:p>
      <w:pPr>
        <w:ind w:left="20"/>
        <w:spacing w:after="0"/>
        <w:tabs>
          <w:tab w:leader="none" w:pos="992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ABOUT HONEYWELL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9"/>
          <w:szCs w:val="29"/>
          <w:color w:val="D7282F"/>
        </w:rPr>
        <w:t>BUSINESS OBJECTIVES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Our businesses focus on the following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5966460" cy="58293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966460" cy="5829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00" w:hanging="292"/>
        <w:spacing w:after="0"/>
        <w:tabs>
          <w:tab w:leader="none" w:pos="300" w:val="left"/>
        </w:tabs>
        <w:numPr>
          <w:ilvl w:val="0"/>
          <w:numId w:val="29"/>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0" w:right="359" w:bottom="1440" w:gutter="0" w:footer="0" w:header="0"/>
        </w:sectPr>
      </w:pPr>
    </w:p>
    <w:bookmarkStart w:id="6" w:name="page7"/>
    <w:bookmarkEnd w:id="6"/>
    <w:p>
      <w:pPr>
        <w:ind w:left="20"/>
        <w:spacing w:after="0"/>
        <w:tabs>
          <w:tab w:leader="none" w:pos="992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ABOUT HONEYWELL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9"/>
          <w:szCs w:val="29"/>
          <w:color w:val="D7282F"/>
        </w:rPr>
        <w:t>MAJOR BUSINESSES</w:t>
      </w:r>
    </w:p>
    <w:p>
      <w:pPr>
        <w:spacing w:after="0" w:line="25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 xml:space="preserve">We globally manage our business operations through four reportable business segments: Aerospace Technologies, Industrial Automation, Building Automation, and Energy and Sustainability Solutions. The remainder of Honeywell's operations is presented in Corporate and All Other, which is not a reportable business segment. Financial information related to our reportable business segments is included in Note 22 </w:t>
      </w:r>
      <w:r>
        <w:rPr>
          <w:rFonts w:ascii="Arial" w:cs="Arial" w:eastAsia="Arial" w:hAnsi="Arial"/>
          <w:sz w:val="16"/>
          <w:szCs w:val="16"/>
          <w:u w:val="single" w:color="auto"/>
          <w:color w:val="0000FF"/>
        </w:rPr>
        <w:t>Segment Financial Data</w:t>
      </w:r>
      <w:r>
        <w:rPr>
          <w:rFonts w:ascii="Arial" w:cs="Arial" w:eastAsia="Arial" w:hAnsi="Arial"/>
          <w:sz w:val="16"/>
          <w:szCs w:val="16"/>
          <w:color w:val="auto"/>
        </w:rPr>
        <w:t xml:space="preserve"> of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5414010</wp:posOffset>
            </wp:positionH>
            <wp:positionV relativeFrom="paragraph">
              <wp:posOffset>101600</wp:posOffset>
            </wp:positionV>
            <wp:extent cx="1697355" cy="17576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697355" cy="1757680"/>
                    </a:xfrm>
                    <a:prstGeom prst="rect">
                      <a:avLst/>
                    </a:prstGeom>
                    <a:noFill/>
                  </pic:spPr>
                </pic:pic>
              </a:graphicData>
            </a:graphic>
          </wp:anchor>
        </w:drawing>
      </w:r>
    </w:p>
    <w:p>
      <w:pPr>
        <w:spacing w:after="0" w:line="399"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AEROSPACE TECHNOLOGIES</w:t>
      </w:r>
    </w:p>
    <w:p>
      <w:pPr>
        <w:spacing w:after="0" w:line="118" w:lineRule="exact"/>
        <w:rPr>
          <w:sz w:val="20"/>
          <w:szCs w:val="20"/>
          <w:color w:val="auto"/>
        </w:rPr>
      </w:pPr>
    </w:p>
    <w:p>
      <w:pPr>
        <w:jc w:val="both"/>
        <w:ind w:left="20" w:right="3520"/>
        <w:spacing w:after="0" w:line="231" w:lineRule="auto"/>
        <w:rPr>
          <w:sz w:val="20"/>
          <w:szCs w:val="20"/>
          <w:color w:val="auto"/>
        </w:rPr>
      </w:pPr>
      <w:r>
        <w:rPr>
          <w:rFonts w:ascii="Arial" w:cs="Arial" w:eastAsia="Arial" w:hAnsi="Arial"/>
          <w:sz w:val="16"/>
          <w:szCs w:val="16"/>
          <w:color w:val="auto"/>
        </w:rPr>
        <w:t>Aerospace Technologies</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is a leading global supplier of products, software, and services for aircrafts that it sells to original equipment manufacturers (OEM) and other customers in a variety of end markets including air transport, regional, business and general aviation aircraft, airlines, aircraft operators, and defense and space contractors. Aerospace Technologies products and services include auxiliary power units, propulsion engines, environmental control systems, integrated avionics, wireless connectivity services, electric power systems, engine controls, flight safety, communications, navigation hardware, data and software applications, radar and surveillance systems, aircraft lighting, management and technical services, advanced systems and instruments, satellite and space components, aircraft wheels and brakes, and thermal systems. Aerospace Technologies also provides spare parts, repair, overhaul, and maintenance services (principally to aircraft operators), and sells licenses or intellectual property to other parties. Our Honeywell Forge solutions enable our customers to turn data into predictive maintenance and predictive analytics to enable better fleet management and make flight operations more efficient.</w:t>
      </w:r>
    </w:p>
    <w:p>
      <w:pPr>
        <w:spacing w:after="0" w:line="26" w:lineRule="exact"/>
        <w:rPr>
          <w:sz w:val="20"/>
          <w:szCs w:val="20"/>
          <w:color w:val="auto"/>
        </w:rPr>
      </w:pPr>
    </w:p>
    <w:p>
      <w:pPr>
        <w:ind w:left="480" w:hanging="454"/>
        <w:spacing w:after="0"/>
        <w:tabs>
          <w:tab w:leader="none" w:pos="480" w:val="left"/>
        </w:tabs>
        <w:numPr>
          <w:ilvl w:val="0"/>
          <w:numId w:val="30"/>
        </w:numPr>
        <w:rPr>
          <w:rFonts w:ascii="Arial" w:cs="Arial" w:eastAsia="Arial" w:hAnsi="Arial"/>
          <w:sz w:val="13"/>
          <w:szCs w:val="13"/>
          <w:color w:val="auto"/>
        </w:rPr>
      </w:pPr>
      <w:r>
        <w:rPr>
          <w:rFonts w:ascii="Arial" w:cs="Arial" w:eastAsia="Arial" w:hAnsi="Arial"/>
          <w:sz w:val="13"/>
          <w:szCs w:val="13"/>
          <w:color w:val="auto"/>
        </w:rPr>
        <w:t>On February 6, 2025, the Company announced its intention to separate its Automation and Aerospace Technologies businesses into independent, U.S. publicly traded companies.</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2024 Full-year revenue of $15,458 million</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4"/>
          <w:szCs w:val="14"/>
          <w:color w:val="auto"/>
        </w:rPr>
        <w:t>2024 Full-year revenue by business 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22860</wp:posOffset>
            </wp:positionV>
            <wp:extent cx="8255"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255" cy="171450"/>
                    </a:xfrm>
                    <a:prstGeom prst="rect">
                      <a:avLst/>
                    </a:prstGeom>
                    <a:noFill/>
                  </pic:spPr>
                </pic:pic>
              </a:graphicData>
            </a:graphic>
          </wp:anchor>
        </w:drawing>
        <w:drawing>
          <wp:anchor simplePos="0" relativeHeight="251657728" behindDoc="1" locked="0" layoutInCell="0" allowOverlap="1">
            <wp:simplePos x="0" y="0"/>
            <wp:positionH relativeFrom="column">
              <wp:posOffset>1102360</wp:posOffset>
            </wp:positionH>
            <wp:positionV relativeFrom="paragraph">
              <wp:posOffset>22860</wp:posOffset>
            </wp:positionV>
            <wp:extent cx="8890"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890" cy="171450"/>
                    </a:xfrm>
                    <a:prstGeom prst="rect">
                      <a:avLst/>
                    </a:prstGeom>
                    <a:noFill/>
                  </pic:spPr>
                </pic:pic>
              </a:graphicData>
            </a:graphic>
          </wp:anchor>
        </w:drawing>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760" w:type="dxa"/>
            <w:vAlign w:val="bottom"/>
            <w:tcBorders>
              <w:right w:val="single" w:sz="8" w:color="auto"/>
            </w:tcBorders>
            <w:shd w:val="clear" w:color="auto" w:fill="D7282F"/>
          </w:tcPr>
          <w:p>
            <w:pPr>
              <w:spacing w:after="0"/>
              <w:rPr>
                <w:sz w:val="22"/>
                <w:szCs w:val="22"/>
                <w:color w:val="auto"/>
              </w:rPr>
            </w:pPr>
          </w:p>
        </w:tc>
        <w:tc>
          <w:tcPr>
            <w:tcW w:w="5120" w:type="dxa"/>
            <w:vAlign w:val="bottom"/>
            <w:tcBorders>
              <w:right w:val="single" w:sz="8" w:color="6D6D6D"/>
            </w:tcBorders>
            <w:shd w:val="clear" w:color="auto" w:fill="000000"/>
          </w:tcPr>
          <w:p>
            <w:pPr>
              <w:spacing w:after="0"/>
              <w:rPr>
                <w:sz w:val="22"/>
                <w:szCs w:val="22"/>
                <w:color w:val="auto"/>
              </w:rPr>
            </w:pPr>
          </w:p>
        </w:tc>
        <w:tc>
          <w:tcPr>
            <w:tcW w:w="4360" w:type="dxa"/>
            <w:vAlign w:val="bottom"/>
            <w:shd w:val="clear" w:color="auto" w:fill="6D6D6D"/>
          </w:tcPr>
          <w:p>
            <w:pPr>
              <w:spacing w:after="0"/>
              <w:rPr>
                <w:sz w:val="22"/>
                <w:szCs w:val="22"/>
                <w:color w:val="auto"/>
              </w:rPr>
            </w:pPr>
          </w:p>
        </w:tc>
      </w:tr>
      <w:tr>
        <w:trPr>
          <w:trHeight w:val="215"/>
        </w:trPr>
        <w:tc>
          <w:tcPr>
            <w:tcW w:w="1760" w:type="dxa"/>
            <w:vAlign w:val="bottom"/>
            <w:tcBorders>
              <w:right w:val="single" w:sz="8" w:color="939598"/>
            </w:tcBorders>
          </w:tcPr>
          <w:p>
            <w:pPr>
              <w:ind w:left="20"/>
              <w:spacing w:after="0"/>
              <w:rPr>
                <w:sz w:val="20"/>
                <w:szCs w:val="20"/>
                <w:color w:val="auto"/>
              </w:rPr>
            </w:pPr>
            <w:r>
              <w:rPr>
                <w:rFonts w:ascii="Arial" w:cs="Arial" w:eastAsia="Arial" w:hAnsi="Arial"/>
                <w:sz w:val="16"/>
                <w:szCs w:val="16"/>
                <w:b w:val="1"/>
                <w:bCs w:val="1"/>
                <w:color w:val="auto"/>
              </w:rPr>
              <w:t>$2,223 million</w:t>
            </w:r>
          </w:p>
        </w:tc>
        <w:tc>
          <w:tcPr>
            <w:tcW w:w="5120" w:type="dxa"/>
            <w:vAlign w:val="bottom"/>
            <w:tcBorders>
              <w:right w:val="single" w:sz="8" w:color="939598"/>
            </w:tcBorders>
          </w:tcPr>
          <w:p>
            <w:pPr>
              <w:ind w:left="80"/>
              <w:spacing w:after="0"/>
              <w:rPr>
                <w:sz w:val="20"/>
                <w:szCs w:val="20"/>
                <w:color w:val="auto"/>
              </w:rPr>
            </w:pPr>
            <w:r>
              <w:rPr>
                <w:rFonts w:ascii="Arial" w:cs="Arial" w:eastAsia="Arial" w:hAnsi="Arial"/>
                <w:sz w:val="16"/>
                <w:szCs w:val="16"/>
                <w:b w:val="1"/>
                <w:bCs w:val="1"/>
                <w:color w:val="auto"/>
              </w:rPr>
              <w:t>$7,144 million</w:t>
            </w:r>
          </w:p>
        </w:tc>
        <w:tc>
          <w:tcPr>
            <w:tcW w:w="4360" w:type="dxa"/>
            <w:vAlign w:val="bottom"/>
          </w:tcPr>
          <w:p>
            <w:pPr>
              <w:ind w:left="100"/>
              <w:spacing w:after="0"/>
              <w:rPr>
                <w:sz w:val="20"/>
                <w:szCs w:val="20"/>
                <w:color w:val="auto"/>
              </w:rPr>
            </w:pPr>
            <w:r>
              <w:rPr>
                <w:rFonts w:ascii="Arial" w:cs="Arial" w:eastAsia="Arial" w:hAnsi="Arial"/>
                <w:sz w:val="16"/>
                <w:szCs w:val="16"/>
                <w:b w:val="1"/>
                <w:bCs w:val="1"/>
                <w:color w:val="auto"/>
              </w:rPr>
              <w:t>$6,091 million</w:t>
            </w:r>
          </w:p>
        </w:tc>
      </w:tr>
      <w:tr>
        <w:trPr>
          <w:trHeight w:val="163"/>
        </w:trPr>
        <w:tc>
          <w:tcPr>
            <w:tcW w:w="1760" w:type="dxa"/>
            <w:vAlign w:val="bottom"/>
            <w:tcBorders>
              <w:right w:val="single" w:sz="8" w:color="939598"/>
            </w:tcBorders>
          </w:tcPr>
          <w:p>
            <w:pPr>
              <w:ind w:left="20"/>
              <w:spacing w:after="0" w:line="163" w:lineRule="exact"/>
              <w:rPr>
                <w:sz w:val="20"/>
                <w:szCs w:val="20"/>
                <w:color w:val="auto"/>
              </w:rPr>
            </w:pPr>
            <w:r>
              <w:rPr>
                <w:rFonts w:ascii="Arial" w:cs="Arial" w:eastAsia="Arial" w:hAnsi="Arial"/>
                <w:sz w:val="16"/>
                <w:szCs w:val="16"/>
                <w:b w:val="1"/>
                <w:bCs w:val="1"/>
                <w:color w:val="D7282F"/>
              </w:rPr>
              <w:t>Commercial Aviation</w:t>
            </w:r>
          </w:p>
        </w:tc>
        <w:tc>
          <w:tcPr>
            <w:tcW w:w="5120" w:type="dxa"/>
            <w:vAlign w:val="bottom"/>
            <w:tcBorders>
              <w:right w:val="single" w:sz="8" w:color="939598"/>
            </w:tcBorders>
          </w:tcPr>
          <w:p>
            <w:pPr>
              <w:ind w:left="80"/>
              <w:spacing w:after="0" w:line="163" w:lineRule="exact"/>
              <w:rPr>
                <w:sz w:val="20"/>
                <w:szCs w:val="20"/>
                <w:color w:val="auto"/>
              </w:rPr>
            </w:pPr>
            <w:r>
              <w:rPr>
                <w:rFonts w:ascii="Arial" w:cs="Arial" w:eastAsia="Arial" w:hAnsi="Arial"/>
                <w:sz w:val="16"/>
                <w:szCs w:val="16"/>
                <w:b w:val="1"/>
                <w:bCs w:val="1"/>
                <w:color w:val="auto"/>
              </w:rPr>
              <w:t>Commercial Aviation Aftermarket</w:t>
            </w:r>
          </w:p>
        </w:tc>
        <w:tc>
          <w:tcPr>
            <w:tcW w:w="4360" w:type="dxa"/>
            <w:vAlign w:val="bottom"/>
          </w:tcPr>
          <w:p>
            <w:pPr>
              <w:ind w:left="100"/>
              <w:spacing w:after="0" w:line="163" w:lineRule="exact"/>
              <w:rPr>
                <w:sz w:val="20"/>
                <w:szCs w:val="20"/>
                <w:color w:val="auto"/>
              </w:rPr>
            </w:pPr>
            <w:r>
              <w:rPr>
                <w:rFonts w:ascii="Arial" w:cs="Arial" w:eastAsia="Arial" w:hAnsi="Arial"/>
                <w:sz w:val="16"/>
                <w:szCs w:val="16"/>
                <w:b w:val="1"/>
                <w:bCs w:val="1"/>
                <w:color w:val="616161"/>
              </w:rPr>
              <w:t>Defense and Space</w:t>
            </w:r>
          </w:p>
        </w:tc>
      </w:tr>
      <w:tr>
        <w:trPr>
          <w:trHeight w:val="216"/>
        </w:trPr>
        <w:tc>
          <w:tcPr>
            <w:tcW w:w="1760" w:type="dxa"/>
            <w:vAlign w:val="bottom"/>
            <w:tcBorders>
              <w:right w:val="single" w:sz="8" w:color="939598"/>
            </w:tcBorders>
          </w:tcPr>
          <w:p>
            <w:pPr>
              <w:ind w:left="20"/>
              <w:spacing w:after="0"/>
              <w:rPr>
                <w:sz w:val="20"/>
                <w:szCs w:val="20"/>
                <w:color w:val="auto"/>
              </w:rPr>
            </w:pPr>
            <w:r>
              <w:rPr>
                <w:rFonts w:ascii="Arial" w:cs="Arial" w:eastAsia="Arial" w:hAnsi="Arial"/>
                <w:sz w:val="16"/>
                <w:szCs w:val="16"/>
                <w:b w:val="1"/>
                <w:bCs w:val="1"/>
                <w:color w:val="D7282F"/>
              </w:rPr>
              <w:t>Original Equipment</w:t>
            </w:r>
          </w:p>
        </w:tc>
        <w:tc>
          <w:tcPr>
            <w:tcW w:w="5120" w:type="dxa"/>
            <w:vAlign w:val="bottom"/>
            <w:tcBorders>
              <w:right w:val="single" w:sz="8" w:color="939598"/>
            </w:tcBorders>
          </w:tcPr>
          <w:p>
            <w:pPr>
              <w:spacing w:after="0"/>
              <w:rPr>
                <w:sz w:val="18"/>
                <w:szCs w:val="18"/>
                <w:color w:val="auto"/>
              </w:rPr>
            </w:pPr>
          </w:p>
        </w:tc>
        <w:tc>
          <w:tcPr>
            <w:tcW w:w="43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5431155</wp:posOffset>
            </wp:positionH>
            <wp:positionV relativeFrom="paragraph">
              <wp:posOffset>179705</wp:posOffset>
            </wp:positionV>
            <wp:extent cx="1697355" cy="17576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697355" cy="175768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INDUSTRIAL AUTOMATION</w:t>
      </w:r>
    </w:p>
    <w:p>
      <w:pPr>
        <w:spacing w:after="0" w:line="128" w:lineRule="exact"/>
        <w:rPr>
          <w:sz w:val="20"/>
          <w:szCs w:val="20"/>
          <w:color w:val="auto"/>
        </w:rPr>
      </w:pPr>
    </w:p>
    <w:p>
      <w:pPr>
        <w:jc w:val="both"/>
        <w:ind w:left="20" w:right="3460"/>
        <w:spacing w:after="0"/>
        <w:rPr>
          <w:sz w:val="20"/>
          <w:szCs w:val="20"/>
          <w:color w:val="auto"/>
        </w:rPr>
      </w:pPr>
      <w:r>
        <w:rPr>
          <w:rFonts w:ascii="Arial" w:cs="Arial" w:eastAsia="Arial" w:hAnsi="Arial"/>
          <w:sz w:val="16"/>
          <w:szCs w:val="16"/>
          <w:color w:val="auto"/>
        </w:rPr>
        <w:t>Industrial Automation is a global provider of industrial automation solutions that deliver intelligent, sustainable, and secure operations for customers in refining/petrochemicals, life sciences, utilities, and warehouse and logistics segments. With millions of installed assets, Industrial Automation deploys outcome-based solutions to increase asset utilization; improve operational efficiency and labor productivity; reduce carbon emissions with less energy consumption; and enhance cyber security for critical infrastructure and operational assets. Industrial Automation offerings include automation control and instrumentation products and services; smart energy products; sensing technologies with an array of custom-engineered sensors and services; gas detection technologies and personal protective equipment</w:t>
      </w:r>
      <w:r>
        <w:rPr>
          <w:rFonts w:ascii="Arial" w:cs="Arial" w:eastAsia="Arial" w:hAnsi="Arial"/>
          <w:sz w:val="21"/>
          <w:szCs w:val="21"/>
          <w:color w:val="auto"/>
          <w:vertAlign w:val="superscript"/>
        </w:rPr>
        <w:t>1</w:t>
      </w:r>
      <w:r>
        <w:rPr>
          <w:rFonts w:ascii="Arial" w:cs="Arial" w:eastAsia="Arial" w:hAnsi="Arial"/>
          <w:sz w:val="16"/>
          <w:szCs w:val="16"/>
          <w:color w:val="auto"/>
        </w:rPr>
        <w:t>; and system design, advanced automation equipment, software and analytics for manufacturing, distribution, and fulfillment operations. These products and services are combined with proprietary machine learning and artificial intelligence algorithms in products and projects which are digitally enabled through our industry leading industrial IoT platform, Honeywell Forge.</w:t>
      </w:r>
    </w:p>
    <w:p>
      <w:pPr>
        <w:spacing w:after="0" w:line="129" w:lineRule="exact"/>
        <w:rPr>
          <w:sz w:val="20"/>
          <w:szCs w:val="20"/>
          <w:color w:val="auto"/>
        </w:rPr>
      </w:pPr>
    </w:p>
    <w:p>
      <w:pPr>
        <w:ind w:left="480" w:hanging="454"/>
        <w:spacing w:after="0"/>
        <w:tabs>
          <w:tab w:leader="none" w:pos="4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On November 22, 2024, the Company announced it reached an agreement to sell its personal protective equipment business.</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2024 Full-year revenue of $10,051 million</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4"/>
          <w:szCs w:val="14"/>
          <w:color w:val="auto"/>
        </w:rPr>
        <w:t>2024 Full-year revenue by business 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2456815</wp:posOffset>
            </wp:positionH>
            <wp:positionV relativeFrom="paragraph">
              <wp:posOffset>22860</wp:posOffset>
            </wp:positionV>
            <wp:extent cx="8255"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255" cy="171450"/>
                    </a:xfrm>
                    <a:prstGeom prst="rect">
                      <a:avLst/>
                    </a:prstGeom>
                    <a:noFill/>
                  </pic:spPr>
                </pic:pic>
              </a:graphicData>
            </a:graphic>
          </wp:anchor>
        </w:drawing>
        <w:drawing>
          <wp:anchor simplePos="0" relativeHeight="251657728" behindDoc="1" locked="0" layoutInCell="0" allowOverlap="1">
            <wp:simplePos x="0" y="0"/>
            <wp:positionH relativeFrom="column">
              <wp:posOffset>1359535</wp:posOffset>
            </wp:positionH>
            <wp:positionV relativeFrom="paragraph">
              <wp:posOffset>22860</wp:posOffset>
            </wp:positionV>
            <wp:extent cx="8255"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255" cy="171450"/>
                    </a:xfrm>
                    <a:prstGeom prst="rect">
                      <a:avLst/>
                    </a:prstGeom>
                    <a:noFill/>
                  </pic:spPr>
                </pic:pic>
              </a:graphicData>
            </a:graphic>
          </wp:anchor>
        </w:drawing>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2160" w:type="dxa"/>
            <w:vAlign w:val="bottom"/>
            <w:tcBorders>
              <w:right w:val="single" w:sz="8" w:color="auto"/>
            </w:tcBorders>
            <w:shd w:val="clear" w:color="auto" w:fill="D7282F"/>
          </w:tcPr>
          <w:p>
            <w:pPr>
              <w:spacing w:after="0"/>
              <w:rPr>
                <w:sz w:val="22"/>
                <w:szCs w:val="22"/>
                <w:color w:val="auto"/>
              </w:rPr>
            </w:pPr>
          </w:p>
        </w:tc>
        <w:tc>
          <w:tcPr>
            <w:tcW w:w="1720" w:type="dxa"/>
            <w:vAlign w:val="bottom"/>
            <w:tcBorders>
              <w:right w:val="single" w:sz="8" w:color="6D6D6D"/>
            </w:tcBorders>
            <w:shd w:val="clear" w:color="auto" w:fill="000000"/>
          </w:tcPr>
          <w:p>
            <w:pPr>
              <w:spacing w:after="0"/>
              <w:rPr>
                <w:sz w:val="22"/>
                <w:szCs w:val="22"/>
                <w:color w:val="auto"/>
              </w:rPr>
            </w:pPr>
          </w:p>
        </w:tc>
        <w:tc>
          <w:tcPr>
            <w:tcW w:w="5860" w:type="dxa"/>
            <w:vAlign w:val="bottom"/>
            <w:tcBorders>
              <w:right w:val="single" w:sz="8" w:color="B1B3B3"/>
            </w:tcBorders>
            <w:shd w:val="clear" w:color="auto" w:fill="6D6D6D"/>
          </w:tcPr>
          <w:p>
            <w:pPr>
              <w:spacing w:after="0"/>
              <w:rPr>
                <w:sz w:val="22"/>
                <w:szCs w:val="22"/>
                <w:color w:val="auto"/>
              </w:rPr>
            </w:pPr>
          </w:p>
        </w:tc>
        <w:tc>
          <w:tcPr>
            <w:tcW w:w="1500" w:type="dxa"/>
            <w:vAlign w:val="bottom"/>
            <w:shd w:val="clear" w:color="auto" w:fill="B1B3B3"/>
          </w:tcPr>
          <w:p>
            <w:pPr>
              <w:spacing w:after="0"/>
              <w:rPr>
                <w:sz w:val="22"/>
                <w:szCs w:val="22"/>
                <w:color w:val="auto"/>
              </w:rPr>
            </w:pPr>
          </w:p>
        </w:tc>
      </w:tr>
      <w:tr>
        <w:trPr>
          <w:trHeight w:val="215"/>
        </w:trPr>
        <w:tc>
          <w:tcPr>
            <w:tcW w:w="2160" w:type="dxa"/>
            <w:vAlign w:val="bottom"/>
            <w:tcBorders>
              <w:right w:val="single" w:sz="8" w:color="939598"/>
            </w:tcBorders>
          </w:tcPr>
          <w:p>
            <w:pPr>
              <w:ind w:left="20"/>
              <w:spacing w:after="0"/>
              <w:rPr>
                <w:sz w:val="20"/>
                <w:szCs w:val="20"/>
                <w:color w:val="auto"/>
              </w:rPr>
            </w:pPr>
            <w:r>
              <w:rPr>
                <w:rFonts w:ascii="Arial" w:cs="Arial" w:eastAsia="Arial" w:hAnsi="Arial"/>
                <w:sz w:val="16"/>
                <w:szCs w:val="16"/>
                <w:b w:val="1"/>
                <w:bCs w:val="1"/>
                <w:color w:val="auto"/>
              </w:rPr>
              <w:t>$1,824 million</w:t>
            </w:r>
          </w:p>
        </w:tc>
        <w:tc>
          <w:tcPr>
            <w:tcW w:w="1720" w:type="dxa"/>
            <w:vAlign w:val="bottom"/>
            <w:tcBorders>
              <w:right w:val="single" w:sz="8" w:color="939598"/>
            </w:tcBorders>
          </w:tcPr>
          <w:p>
            <w:pPr>
              <w:ind w:left="100"/>
              <w:spacing w:after="0"/>
              <w:rPr>
                <w:sz w:val="20"/>
                <w:szCs w:val="20"/>
                <w:color w:val="auto"/>
              </w:rPr>
            </w:pPr>
            <w:r>
              <w:rPr>
                <w:rFonts w:ascii="Arial" w:cs="Arial" w:eastAsia="Arial" w:hAnsi="Arial"/>
                <w:sz w:val="16"/>
                <w:szCs w:val="16"/>
                <w:b w:val="1"/>
                <w:bCs w:val="1"/>
                <w:color w:val="auto"/>
              </w:rPr>
              <w:t>$1,202 million</w:t>
            </w:r>
          </w:p>
        </w:tc>
        <w:tc>
          <w:tcPr>
            <w:tcW w:w="5860" w:type="dxa"/>
            <w:vAlign w:val="bottom"/>
            <w:tcBorders>
              <w:right w:val="single" w:sz="8" w:color="939598"/>
            </w:tcBorders>
          </w:tcPr>
          <w:p>
            <w:pPr>
              <w:ind w:left="100"/>
              <w:spacing w:after="0"/>
              <w:rPr>
                <w:sz w:val="20"/>
                <w:szCs w:val="20"/>
                <w:color w:val="auto"/>
              </w:rPr>
            </w:pPr>
            <w:r>
              <w:rPr>
                <w:rFonts w:ascii="Arial" w:cs="Arial" w:eastAsia="Arial" w:hAnsi="Arial"/>
                <w:sz w:val="16"/>
                <w:szCs w:val="16"/>
                <w:b w:val="1"/>
                <w:bCs w:val="1"/>
                <w:color w:val="auto"/>
              </w:rPr>
              <w:t>$6,111</w:t>
            </w:r>
          </w:p>
        </w:tc>
        <w:tc>
          <w:tcPr>
            <w:tcW w:w="1500" w:type="dxa"/>
            <w:vAlign w:val="bottom"/>
          </w:tcPr>
          <w:p>
            <w:pPr>
              <w:ind w:left="100"/>
              <w:spacing w:after="0"/>
              <w:rPr>
                <w:sz w:val="20"/>
                <w:szCs w:val="20"/>
                <w:color w:val="auto"/>
              </w:rPr>
            </w:pPr>
            <w:r>
              <w:rPr>
                <w:rFonts w:ascii="Arial" w:cs="Arial" w:eastAsia="Arial" w:hAnsi="Arial"/>
                <w:sz w:val="16"/>
                <w:szCs w:val="16"/>
                <w:b w:val="1"/>
                <w:bCs w:val="1"/>
                <w:color w:val="auto"/>
              </w:rPr>
              <w:t>$914 million</w:t>
            </w:r>
          </w:p>
        </w:tc>
      </w:tr>
      <w:tr>
        <w:trPr>
          <w:trHeight w:val="163"/>
        </w:trPr>
        <w:tc>
          <w:tcPr>
            <w:tcW w:w="2160" w:type="dxa"/>
            <w:vAlign w:val="bottom"/>
            <w:tcBorders>
              <w:right w:val="single" w:sz="8" w:color="939598"/>
            </w:tcBorders>
          </w:tcPr>
          <w:p>
            <w:pPr>
              <w:ind w:left="20"/>
              <w:spacing w:after="0" w:line="163" w:lineRule="exact"/>
              <w:rPr>
                <w:sz w:val="20"/>
                <w:szCs w:val="20"/>
                <w:color w:val="auto"/>
              </w:rPr>
            </w:pPr>
            <w:r>
              <w:rPr>
                <w:rFonts w:ascii="Arial" w:cs="Arial" w:eastAsia="Arial" w:hAnsi="Arial"/>
                <w:sz w:val="16"/>
                <w:szCs w:val="16"/>
                <w:b w:val="1"/>
                <w:bCs w:val="1"/>
                <w:color w:val="D7282F"/>
              </w:rPr>
              <w:t>Sensing and Safety</w:t>
            </w:r>
          </w:p>
        </w:tc>
        <w:tc>
          <w:tcPr>
            <w:tcW w:w="1720" w:type="dxa"/>
            <w:vAlign w:val="bottom"/>
            <w:tcBorders>
              <w:right w:val="single" w:sz="8" w:color="939598"/>
            </w:tcBorders>
          </w:tcPr>
          <w:p>
            <w:pPr>
              <w:ind w:left="100"/>
              <w:spacing w:after="0" w:line="163" w:lineRule="exact"/>
              <w:rPr>
                <w:sz w:val="20"/>
                <w:szCs w:val="20"/>
                <w:color w:val="auto"/>
              </w:rPr>
            </w:pPr>
            <w:r>
              <w:rPr>
                <w:rFonts w:ascii="Arial" w:cs="Arial" w:eastAsia="Arial" w:hAnsi="Arial"/>
                <w:sz w:val="16"/>
                <w:szCs w:val="16"/>
                <w:b w:val="1"/>
                <w:bCs w:val="1"/>
                <w:color w:val="auto"/>
              </w:rPr>
              <w:t>Productivity</w:t>
            </w:r>
          </w:p>
        </w:tc>
        <w:tc>
          <w:tcPr>
            <w:tcW w:w="5860" w:type="dxa"/>
            <w:vAlign w:val="bottom"/>
            <w:tcBorders>
              <w:right w:val="single" w:sz="8" w:color="939598"/>
            </w:tcBorders>
          </w:tcPr>
          <w:p>
            <w:pPr>
              <w:ind w:left="100"/>
              <w:spacing w:after="0" w:line="163" w:lineRule="exact"/>
              <w:rPr>
                <w:sz w:val="20"/>
                <w:szCs w:val="20"/>
                <w:color w:val="auto"/>
              </w:rPr>
            </w:pPr>
            <w:r>
              <w:rPr>
                <w:rFonts w:ascii="Arial" w:cs="Arial" w:eastAsia="Arial" w:hAnsi="Arial"/>
                <w:sz w:val="16"/>
                <w:szCs w:val="16"/>
                <w:b w:val="1"/>
                <w:bCs w:val="1"/>
                <w:color w:val="63666A"/>
              </w:rPr>
              <w:t>Process Solutions</w:t>
            </w:r>
          </w:p>
        </w:tc>
        <w:tc>
          <w:tcPr>
            <w:tcW w:w="1500" w:type="dxa"/>
            <w:vAlign w:val="bottom"/>
          </w:tcPr>
          <w:p>
            <w:pPr>
              <w:ind w:left="100"/>
              <w:spacing w:after="0" w:line="163" w:lineRule="exact"/>
              <w:rPr>
                <w:sz w:val="20"/>
                <w:szCs w:val="20"/>
                <w:color w:val="auto"/>
              </w:rPr>
            </w:pPr>
            <w:r>
              <w:rPr>
                <w:rFonts w:ascii="Arial" w:cs="Arial" w:eastAsia="Arial" w:hAnsi="Arial"/>
                <w:sz w:val="16"/>
                <w:szCs w:val="16"/>
                <w:b w:val="1"/>
                <w:bCs w:val="1"/>
                <w:color w:val="B1B3B3"/>
              </w:rPr>
              <w:t>Warehouse and</w:t>
            </w:r>
          </w:p>
        </w:tc>
      </w:tr>
      <w:tr>
        <w:trPr>
          <w:trHeight w:val="162"/>
        </w:trPr>
        <w:tc>
          <w:tcPr>
            <w:tcW w:w="2160" w:type="dxa"/>
            <w:vAlign w:val="bottom"/>
            <w:tcBorders>
              <w:right w:val="single" w:sz="8" w:color="939598"/>
            </w:tcBorders>
          </w:tcPr>
          <w:p>
            <w:pPr>
              <w:ind w:left="20"/>
              <w:spacing w:after="0" w:line="162" w:lineRule="exact"/>
              <w:rPr>
                <w:sz w:val="20"/>
                <w:szCs w:val="20"/>
                <w:color w:val="auto"/>
              </w:rPr>
            </w:pPr>
            <w:r>
              <w:rPr>
                <w:rFonts w:ascii="Arial" w:cs="Arial" w:eastAsia="Arial" w:hAnsi="Arial"/>
                <w:sz w:val="16"/>
                <w:szCs w:val="16"/>
                <w:b w:val="1"/>
                <w:bCs w:val="1"/>
                <w:color w:val="D7282F"/>
              </w:rPr>
              <w:t>Technologies</w:t>
            </w:r>
          </w:p>
        </w:tc>
        <w:tc>
          <w:tcPr>
            <w:tcW w:w="1720" w:type="dxa"/>
            <w:vAlign w:val="bottom"/>
            <w:tcBorders>
              <w:right w:val="single" w:sz="8" w:color="939598"/>
            </w:tcBorders>
          </w:tcPr>
          <w:p>
            <w:pPr>
              <w:ind w:left="100"/>
              <w:spacing w:after="0" w:line="162" w:lineRule="exact"/>
              <w:rPr>
                <w:sz w:val="20"/>
                <w:szCs w:val="20"/>
                <w:color w:val="auto"/>
              </w:rPr>
            </w:pPr>
            <w:r>
              <w:rPr>
                <w:rFonts w:ascii="Arial" w:cs="Arial" w:eastAsia="Arial" w:hAnsi="Arial"/>
                <w:sz w:val="16"/>
                <w:szCs w:val="16"/>
                <w:b w:val="1"/>
                <w:bCs w:val="1"/>
                <w:color w:val="auto"/>
              </w:rPr>
              <w:t>Solutions and</w:t>
            </w:r>
          </w:p>
        </w:tc>
        <w:tc>
          <w:tcPr>
            <w:tcW w:w="5860" w:type="dxa"/>
            <w:vAlign w:val="bottom"/>
            <w:tcBorders>
              <w:right w:val="single" w:sz="8" w:color="939598"/>
            </w:tcBorders>
          </w:tcPr>
          <w:p>
            <w:pPr>
              <w:spacing w:after="0"/>
              <w:rPr>
                <w:sz w:val="14"/>
                <w:szCs w:val="14"/>
                <w:color w:val="auto"/>
              </w:rPr>
            </w:pPr>
          </w:p>
        </w:tc>
        <w:tc>
          <w:tcPr>
            <w:tcW w:w="1500" w:type="dxa"/>
            <w:vAlign w:val="bottom"/>
          </w:tcPr>
          <w:p>
            <w:pPr>
              <w:ind w:left="100"/>
              <w:spacing w:after="0" w:line="162" w:lineRule="exact"/>
              <w:rPr>
                <w:sz w:val="20"/>
                <w:szCs w:val="20"/>
                <w:color w:val="auto"/>
              </w:rPr>
            </w:pPr>
            <w:r>
              <w:rPr>
                <w:rFonts w:ascii="Arial" w:cs="Arial" w:eastAsia="Arial" w:hAnsi="Arial"/>
                <w:sz w:val="16"/>
                <w:szCs w:val="16"/>
                <w:b w:val="1"/>
                <w:bCs w:val="1"/>
                <w:color w:val="B1B3B3"/>
              </w:rPr>
              <w:t>Workflow</w:t>
            </w:r>
          </w:p>
        </w:tc>
      </w:tr>
      <w:tr>
        <w:trPr>
          <w:trHeight w:val="216"/>
        </w:trPr>
        <w:tc>
          <w:tcPr>
            <w:tcW w:w="2160" w:type="dxa"/>
            <w:vAlign w:val="bottom"/>
            <w:tcBorders>
              <w:right w:val="single" w:sz="8" w:color="939598"/>
            </w:tcBorders>
          </w:tcPr>
          <w:p>
            <w:pPr>
              <w:spacing w:after="0"/>
              <w:rPr>
                <w:sz w:val="18"/>
                <w:szCs w:val="18"/>
                <w:color w:val="auto"/>
              </w:rPr>
            </w:pPr>
          </w:p>
        </w:tc>
        <w:tc>
          <w:tcPr>
            <w:tcW w:w="1720" w:type="dxa"/>
            <w:vAlign w:val="bottom"/>
            <w:tcBorders>
              <w:right w:val="single" w:sz="8" w:color="939598"/>
            </w:tcBorders>
          </w:tcPr>
          <w:p>
            <w:pPr>
              <w:ind w:left="100"/>
              <w:spacing w:after="0"/>
              <w:rPr>
                <w:sz w:val="20"/>
                <w:szCs w:val="20"/>
                <w:color w:val="auto"/>
              </w:rPr>
            </w:pPr>
            <w:r>
              <w:rPr>
                <w:rFonts w:ascii="Arial" w:cs="Arial" w:eastAsia="Arial" w:hAnsi="Arial"/>
                <w:sz w:val="16"/>
                <w:szCs w:val="16"/>
                <w:b w:val="1"/>
                <w:bCs w:val="1"/>
                <w:color w:val="auto"/>
              </w:rPr>
              <w:t>Services</w:t>
            </w:r>
          </w:p>
        </w:tc>
        <w:tc>
          <w:tcPr>
            <w:tcW w:w="5860" w:type="dxa"/>
            <w:vAlign w:val="bottom"/>
            <w:tcBorders>
              <w:right w:val="single" w:sz="8" w:color="939598"/>
            </w:tcBorders>
          </w:tcPr>
          <w:p>
            <w:pPr>
              <w:spacing w:after="0"/>
              <w:rPr>
                <w:sz w:val="18"/>
                <w:szCs w:val="18"/>
                <w:color w:val="auto"/>
              </w:rPr>
            </w:pPr>
          </w:p>
        </w:tc>
        <w:tc>
          <w:tcPr>
            <w:tcW w:w="1500" w:type="dxa"/>
            <w:vAlign w:val="bottom"/>
          </w:tcPr>
          <w:p>
            <w:pPr>
              <w:ind w:left="100"/>
              <w:spacing w:after="0"/>
              <w:rPr>
                <w:sz w:val="20"/>
                <w:szCs w:val="20"/>
                <w:color w:val="auto"/>
              </w:rPr>
            </w:pPr>
            <w:r>
              <w:rPr>
                <w:rFonts w:ascii="Arial" w:cs="Arial" w:eastAsia="Arial" w:hAnsi="Arial"/>
                <w:sz w:val="16"/>
                <w:szCs w:val="16"/>
                <w:b w:val="1"/>
                <w:bCs w:val="1"/>
                <w:color w:val="B1B3B3"/>
              </w:rPr>
              <w:t>Solutions</w:t>
            </w:r>
          </w:p>
        </w:tc>
      </w:tr>
    </w:tbl>
    <w:p>
      <w:pPr>
        <w:spacing w:after="0" w:line="200" w:lineRule="exact"/>
        <w:rPr>
          <w:sz w:val="20"/>
          <w:szCs w:val="20"/>
          <w:color w:val="auto"/>
        </w:rPr>
      </w:pPr>
    </w:p>
    <w:p>
      <w:pPr>
        <w:spacing w:after="0" w:line="328" w:lineRule="exact"/>
        <w:rPr>
          <w:sz w:val="20"/>
          <w:szCs w:val="20"/>
          <w:color w:val="auto"/>
        </w:rPr>
      </w:pPr>
    </w:p>
    <w:p>
      <w:pPr>
        <w:ind w:left="300" w:hanging="292"/>
        <w:spacing w:after="0"/>
        <w:tabs>
          <w:tab w:leader="none" w:pos="300" w:val="left"/>
        </w:tabs>
        <w:numPr>
          <w:ilvl w:val="0"/>
          <w:numId w:val="32"/>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7" w:name="page8"/>
    <w:bookmarkEnd w:id="7"/>
    <w:p>
      <w:pPr>
        <w:ind w:left="20"/>
        <w:spacing w:after="0"/>
        <w:tabs>
          <w:tab w:leader="none" w:pos="992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ABOUT HONEYWELL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5431155</wp:posOffset>
            </wp:positionH>
            <wp:positionV relativeFrom="paragraph">
              <wp:posOffset>653415</wp:posOffset>
            </wp:positionV>
            <wp:extent cx="1697355" cy="17570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697355" cy="1757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BUILDING AUTOMATION</w:t>
      </w:r>
    </w:p>
    <w:p>
      <w:pPr>
        <w:spacing w:after="0" w:line="128" w:lineRule="exact"/>
        <w:rPr>
          <w:sz w:val="20"/>
          <w:szCs w:val="20"/>
          <w:color w:val="auto"/>
        </w:rPr>
      </w:pPr>
    </w:p>
    <w:p>
      <w:pPr>
        <w:jc w:val="both"/>
        <w:ind w:left="20" w:right="3520"/>
        <w:spacing w:after="0" w:line="259" w:lineRule="auto"/>
        <w:rPr>
          <w:sz w:val="20"/>
          <w:szCs w:val="20"/>
          <w:color w:val="auto"/>
        </w:rPr>
      </w:pPr>
      <w:r>
        <w:rPr>
          <w:rFonts w:ascii="Arial" w:cs="Arial" w:eastAsia="Arial" w:hAnsi="Arial"/>
          <w:sz w:val="16"/>
          <w:szCs w:val="16"/>
          <w:color w:val="auto"/>
        </w:rPr>
        <w:t>Building Automation is a leading global provider of products, software, solutions, and technologies that enable building owners and occupants to ensure their facilities are safe, energy efficient, sustainable, and productive. Building Automation products and services include advanced software applications for building control and optimization; sensors, switches, control systems, and instruments for energy management; access control; video surveillance; fire products; and installation, maintenance, and upgrades of systems. Our Honeywell Forge solutions enable our customers to digitally manage buildings, connecting data from different assets to enable smart maintenance, improve building performance, and even protect from incoming security threats.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2024 Full-year revenue of $6,540 million</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4"/>
          <w:szCs w:val="14"/>
          <w:color w:val="auto"/>
        </w:rPr>
        <w:t>2024 Full-year revenue by business 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23495</wp:posOffset>
            </wp:positionV>
            <wp:extent cx="8255" cy="171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255" cy="171450"/>
                    </a:xfrm>
                    <a:prstGeom prst="rect">
                      <a:avLst/>
                    </a:prstGeom>
                    <a:noFill/>
                  </pic:spPr>
                </pic:pic>
              </a:graphicData>
            </a:graphic>
          </wp:anchor>
        </w:drawing>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6660" w:type="dxa"/>
            <w:vAlign w:val="bottom"/>
            <w:tcBorders>
              <w:right w:val="single" w:sz="8" w:color="auto"/>
            </w:tcBorders>
            <w:shd w:val="clear" w:color="auto" w:fill="D7282F"/>
          </w:tcPr>
          <w:p>
            <w:pPr>
              <w:spacing w:after="0"/>
              <w:rPr>
                <w:sz w:val="22"/>
                <w:szCs w:val="22"/>
                <w:color w:val="auto"/>
              </w:rPr>
            </w:pPr>
          </w:p>
        </w:tc>
        <w:tc>
          <w:tcPr>
            <w:tcW w:w="4580" w:type="dxa"/>
            <w:vAlign w:val="bottom"/>
            <w:shd w:val="clear" w:color="auto" w:fill="000000"/>
          </w:tcPr>
          <w:p>
            <w:pPr>
              <w:spacing w:after="0"/>
              <w:rPr>
                <w:sz w:val="22"/>
                <w:szCs w:val="22"/>
                <w:color w:val="auto"/>
              </w:rPr>
            </w:pPr>
          </w:p>
        </w:tc>
      </w:tr>
      <w:tr>
        <w:trPr>
          <w:trHeight w:val="215"/>
        </w:trPr>
        <w:tc>
          <w:tcPr>
            <w:tcW w:w="6660" w:type="dxa"/>
            <w:vAlign w:val="bottom"/>
            <w:tcBorders>
              <w:right w:val="single" w:sz="8" w:color="939598"/>
            </w:tcBorders>
          </w:tcPr>
          <w:p>
            <w:pPr>
              <w:ind w:left="20"/>
              <w:spacing w:after="0"/>
              <w:rPr>
                <w:sz w:val="20"/>
                <w:szCs w:val="20"/>
                <w:color w:val="auto"/>
              </w:rPr>
            </w:pPr>
            <w:r>
              <w:rPr>
                <w:rFonts w:ascii="Arial" w:cs="Arial" w:eastAsia="Arial" w:hAnsi="Arial"/>
                <w:sz w:val="16"/>
                <w:szCs w:val="16"/>
                <w:b w:val="1"/>
                <w:bCs w:val="1"/>
                <w:color w:val="auto"/>
              </w:rPr>
              <w:t>$3,868 million</w:t>
            </w:r>
          </w:p>
        </w:tc>
        <w:tc>
          <w:tcPr>
            <w:tcW w:w="4580" w:type="dxa"/>
            <w:vAlign w:val="bottom"/>
          </w:tcPr>
          <w:p>
            <w:pPr>
              <w:ind w:left="100"/>
              <w:spacing w:after="0"/>
              <w:rPr>
                <w:sz w:val="20"/>
                <w:szCs w:val="20"/>
                <w:color w:val="auto"/>
              </w:rPr>
            </w:pPr>
            <w:r>
              <w:rPr>
                <w:rFonts w:ascii="Arial" w:cs="Arial" w:eastAsia="Arial" w:hAnsi="Arial"/>
                <w:sz w:val="16"/>
                <w:szCs w:val="16"/>
                <w:b w:val="1"/>
                <w:bCs w:val="1"/>
                <w:color w:val="auto"/>
              </w:rPr>
              <w:t>$2,672 million</w:t>
            </w:r>
          </w:p>
        </w:tc>
      </w:tr>
      <w:tr>
        <w:trPr>
          <w:trHeight w:val="217"/>
        </w:trPr>
        <w:tc>
          <w:tcPr>
            <w:tcW w:w="6660" w:type="dxa"/>
            <w:vAlign w:val="bottom"/>
            <w:tcBorders>
              <w:right w:val="single" w:sz="8" w:color="939598"/>
            </w:tcBorders>
          </w:tcPr>
          <w:p>
            <w:pPr>
              <w:ind w:left="20"/>
              <w:spacing w:after="0"/>
              <w:rPr>
                <w:sz w:val="20"/>
                <w:szCs w:val="20"/>
                <w:color w:val="auto"/>
              </w:rPr>
            </w:pPr>
            <w:r>
              <w:rPr>
                <w:rFonts w:ascii="Arial" w:cs="Arial" w:eastAsia="Arial" w:hAnsi="Arial"/>
                <w:sz w:val="16"/>
                <w:szCs w:val="16"/>
                <w:b w:val="1"/>
                <w:bCs w:val="1"/>
                <w:color w:val="D7282F"/>
              </w:rPr>
              <w:t>Products</w:t>
            </w:r>
          </w:p>
        </w:tc>
        <w:tc>
          <w:tcPr>
            <w:tcW w:w="4580" w:type="dxa"/>
            <w:vAlign w:val="bottom"/>
          </w:tcPr>
          <w:p>
            <w:pPr>
              <w:ind w:left="100"/>
              <w:spacing w:after="0"/>
              <w:rPr>
                <w:sz w:val="20"/>
                <w:szCs w:val="20"/>
                <w:color w:val="auto"/>
              </w:rPr>
            </w:pPr>
            <w:r>
              <w:rPr>
                <w:rFonts w:ascii="Arial" w:cs="Arial" w:eastAsia="Arial" w:hAnsi="Arial"/>
                <w:sz w:val="16"/>
                <w:szCs w:val="16"/>
                <w:b w:val="1"/>
                <w:bCs w:val="1"/>
                <w:color w:val="auto"/>
              </w:rPr>
              <w:t>Building Solutions</w:t>
            </w:r>
          </w:p>
        </w:tc>
      </w:tr>
    </w:tbl>
    <w:p>
      <w:pPr>
        <w:spacing w:after="0" w:line="219"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ENERGY AND SUSTAINABILITY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5431155</wp:posOffset>
            </wp:positionH>
            <wp:positionV relativeFrom="paragraph">
              <wp:posOffset>-174625</wp:posOffset>
            </wp:positionV>
            <wp:extent cx="1697355" cy="17570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697355" cy="1757045"/>
                    </a:xfrm>
                    <a:prstGeom prst="rect">
                      <a:avLst/>
                    </a:prstGeom>
                    <a:noFill/>
                  </pic:spPr>
                </pic:pic>
              </a:graphicData>
            </a:graphic>
          </wp:anchor>
        </w:drawing>
      </w:r>
    </w:p>
    <w:p>
      <w:pPr>
        <w:spacing w:after="0" w:line="108" w:lineRule="exact"/>
        <w:rPr>
          <w:sz w:val="20"/>
          <w:szCs w:val="20"/>
          <w:color w:val="auto"/>
        </w:rPr>
      </w:pPr>
    </w:p>
    <w:p>
      <w:pPr>
        <w:jc w:val="both"/>
        <w:ind w:left="20" w:right="3540"/>
        <w:spacing w:after="0" w:line="230" w:lineRule="auto"/>
        <w:rPr>
          <w:sz w:val="20"/>
          <w:szCs w:val="20"/>
          <w:color w:val="auto"/>
        </w:rPr>
      </w:pPr>
      <w:r>
        <w:rPr>
          <w:rFonts w:ascii="Arial" w:cs="Arial" w:eastAsia="Arial" w:hAnsi="Arial"/>
          <w:sz w:val="16"/>
          <w:szCs w:val="16"/>
          <w:color w:val="auto"/>
        </w:rPr>
        <w:t>Energy and Sustainability Solutions is a leading global provider of industry leading technology, processing, and licensing capabilities combined with material science capabilities and innovative chemistry to offer focused solutions integral to facilitating the world's energy transition. The reportable business segment is comprised of UOP and Advanced Materials</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business units. The UOP business provides sustainable aviation fuels, petrochemical, refining, and natural gas liquefaction technologies, and carbon management solutions across multiple sectors through process technology solutions, products, including catalysts and adsorbents, equipment and aftermarket services. The Advanced Materials business provides customers with its Solstice lower global warming potential refrigeration and heating solutions, Spectra fibers for high end protective armor and medical applications, and leading-edge semiconductor materials. Our Honeywell Forge solutions serve customer asset productivity and efficiency needs by providing connectivity, data integration, and software solutions to generate a holistic view of their operations.</w:t>
      </w:r>
    </w:p>
    <w:p>
      <w:pPr>
        <w:spacing w:after="0" w:line="200" w:lineRule="exact"/>
        <w:rPr>
          <w:sz w:val="20"/>
          <w:szCs w:val="20"/>
          <w:color w:val="auto"/>
        </w:rPr>
      </w:pPr>
    </w:p>
    <w:p>
      <w:pPr>
        <w:spacing w:after="0" w:line="272" w:lineRule="exact"/>
        <w:rPr>
          <w:sz w:val="20"/>
          <w:szCs w:val="20"/>
          <w:color w:val="auto"/>
        </w:rPr>
      </w:pPr>
    </w:p>
    <w:p>
      <w:pPr>
        <w:ind w:left="480" w:hanging="454"/>
        <w:spacing w:after="0"/>
        <w:tabs>
          <w:tab w:leader="none" w:pos="4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On October 8, 2024, the Company announced its intention to spin off its Advanced Materials business into an independent, U.S. publicly traded company.</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2024 Full-year revenue of $6,425 million</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4"/>
          <w:szCs w:val="14"/>
          <w:color w:val="auto"/>
        </w:rPr>
        <w:t>2024 Full-year revenue by business 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2945130</wp:posOffset>
            </wp:positionH>
            <wp:positionV relativeFrom="paragraph">
              <wp:posOffset>22860</wp:posOffset>
            </wp:positionV>
            <wp:extent cx="8890" cy="1714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890" cy="171450"/>
                    </a:xfrm>
                    <a:prstGeom prst="rect">
                      <a:avLst/>
                    </a:prstGeom>
                    <a:noFill/>
                  </pic:spPr>
                </pic:pic>
              </a:graphicData>
            </a:graphic>
          </wp:anchor>
        </w:drawing>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4660" w:type="dxa"/>
            <w:vAlign w:val="bottom"/>
            <w:tcBorders>
              <w:right w:val="single" w:sz="8" w:color="auto"/>
            </w:tcBorders>
            <w:shd w:val="clear" w:color="auto" w:fill="D7282F"/>
          </w:tcPr>
          <w:p>
            <w:pPr>
              <w:spacing w:after="0"/>
              <w:rPr>
                <w:sz w:val="22"/>
                <w:szCs w:val="22"/>
                <w:color w:val="auto"/>
              </w:rPr>
            </w:pPr>
          </w:p>
        </w:tc>
        <w:tc>
          <w:tcPr>
            <w:tcW w:w="6580" w:type="dxa"/>
            <w:vAlign w:val="bottom"/>
            <w:shd w:val="clear" w:color="auto" w:fill="000000"/>
          </w:tcPr>
          <w:p>
            <w:pPr>
              <w:spacing w:after="0"/>
              <w:rPr>
                <w:sz w:val="22"/>
                <w:szCs w:val="22"/>
                <w:color w:val="auto"/>
              </w:rPr>
            </w:pPr>
          </w:p>
        </w:tc>
      </w:tr>
      <w:tr>
        <w:trPr>
          <w:trHeight w:val="215"/>
        </w:trPr>
        <w:tc>
          <w:tcPr>
            <w:tcW w:w="4660" w:type="dxa"/>
            <w:vAlign w:val="bottom"/>
            <w:tcBorders>
              <w:right w:val="single" w:sz="8" w:color="939598"/>
            </w:tcBorders>
          </w:tcPr>
          <w:p>
            <w:pPr>
              <w:ind w:left="20"/>
              <w:spacing w:after="0"/>
              <w:rPr>
                <w:sz w:val="20"/>
                <w:szCs w:val="20"/>
                <w:color w:val="auto"/>
              </w:rPr>
            </w:pPr>
            <w:r>
              <w:rPr>
                <w:rFonts w:ascii="Arial" w:cs="Arial" w:eastAsia="Arial" w:hAnsi="Arial"/>
                <w:sz w:val="16"/>
                <w:szCs w:val="16"/>
                <w:b w:val="1"/>
                <w:bCs w:val="1"/>
                <w:color w:val="auto"/>
              </w:rPr>
              <w:t>$2,644 million</w:t>
            </w:r>
          </w:p>
        </w:tc>
        <w:tc>
          <w:tcPr>
            <w:tcW w:w="6580" w:type="dxa"/>
            <w:vAlign w:val="bottom"/>
          </w:tcPr>
          <w:p>
            <w:pPr>
              <w:ind w:left="80"/>
              <w:spacing w:after="0"/>
              <w:rPr>
                <w:sz w:val="20"/>
                <w:szCs w:val="20"/>
                <w:color w:val="auto"/>
              </w:rPr>
            </w:pPr>
            <w:r>
              <w:rPr>
                <w:rFonts w:ascii="Arial" w:cs="Arial" w:eastAsia="Arial" w:hAnsi="Arial"/>
                <w:sz w:val="16"/>
                <w:szCs w:val="16"/>
                <w:b w:val="1"/>
                <w:bCs w:val="1"/>
                <w:color w:val="auto"/>
              </w:rPr>
              <w:t>$3,781 million</w:t>
            </w:r>
          </w:p>
        </w:tc>
      </w:tr>
      <w:tr>
        <w:trPr>
          <w:trHeight w:val="217"/>
        </w:trPr>
        <w:tc>
          <w:tcPr>
            <w:tcW w:w="4660" w:type="dxa"/>
            <w:vAlign w:val="bottom"/>
            <w:tcBorders>
              <w:right w:val="single" w:sz="8" w:color="939598"/>
            </w:tcBorders>
          </w:tcPr>
          <w:p>
            <w:pPr>
              <w:ind w:left="20"/>
              <w:spacing w:after="0"/>
              <w:rPr>
                <w:sz w:val="20"/>
                <w:szCs w:val="20"/>
                <w:color w:val="auto"/>
              </w:rPr>
            </w:pPr>
            <w:r>
              <w:rPr>
                <w:rFonts w:ascii="Arial" w:cs="Arial" w:eastAsia="Arial" w:hAnsi="Arial"/>
                <w:sz w:val="16"/>
                <w:szCs w:val="16"/>
                <w:b w:val="1"/>
                <w:bCs w:val="1"/>
                <w:color w:val="D7282F"/>
              </w:rPr>
              <w:t>UOP</w:t>
            </w:r>
          </w:p>
        </w:tc>
        <w:tc>
          <w:tcPr>
            <w:tcW w:w="6580" w:type="dxa"/>
            <w:vAlign w:val="bottom"/>
          </w:tcPr>
          <w:p>
            <w:pPr>
              <w:ind w:left="80"/>
              <w:spacing w:after="0"/>
              <w:rPr>
                <w:sz w:val="20"/>
                <w:szCs w:val="20"/>
                <w:color w:val="auto"/>
              </w:rPr>
            </w:pPr>
            <w:r>
              <w:rPr>
                <w:rFonts w:ascii="Arial" w:cs="Arial" w:eastAsia="Arial" w:hAnsi="Arial"/>
                <w:sz w:val="16"/>
                <w:szCs w:val="16"/>
                <w:b w:val="1"/>
                <w:bCs w:val="1"/>
                <w:color w:val="auto"/>
              </w:rPr>
              <w:t>Advanced Materials</w:t>
            </w:r>
          </w:p>
        </w:tc>
      </w:tr>
      <w:tr>
        <w:trPr>
          <w:trHeight w:val="754"/>
        </w:trPr>
        <w:tc>
          <w:tcPr>
            <w:tcW w:w="4660" w:type="dxa"/>
            <w:vAlign w:val="bottom"/>
          </w:tcPr>
          <w:p>
            <w:pPr>
              <w:spacing w:after="0"/>
              <w:rPr>
                <w:sz w:val="20"/>
                <w:szCs w:val="20"/>
                <w:color w:val="auto"/>
              </w:rPr>
            </w:pPr>
            <w:r>
              <w:rPr>
                <w:rFonts w:ascii="Arial" w:cs="Arial" w:eastAsia="Arial" w:hAnsi="Arial"/>
                <w:sz w:val="18"/>
                <w:szCs w:val="18"/>
                <w:b w:val="1"/>
                <w:bCs w:val="1"/>
                <w:color w:val="D7282F"/>
              </w:rPr>
              <w:t xml:space="preserve">6  </w:t>
            </w:r>
            <w:r>
              <w:rPr>
                <w:rFonts w:ascii="Arial" w:cs="Arial" w:eastAsia="Arial" w:hAnsi="Arial"/>
                <w:sz w:val="14"/>
                <w:szCs w:val="14"/>
                <w:color w:val="000000"/>
              </w:rPr>
              <w:t>Honeywell International Inc.</w:t>
            </w:r>
          </w:p>
        </w:tc>
        <w:tc>
          <w:tcPr>
            <w:tcW w:w="6580" w:type="dxa"/>
            <w:vAlign w:val="bottom"/>
          </w:tcPr>
          <w:p>
            <w:pPr>
              <w:spacing w:after="0"/>
              <w:rPr>
                <w:sz w:val="24"/>
                <w:szCs w:val="24"/>
                <w:color w:val="auto"/>
              </w:rPr>
            </w:pPr>
          </w:p>
        </w:tc>
      </w:tr>
      <w:tr>
        <w:trPr>
          <w:trHeight w:val="211"/>
        </w:trPr>
        <w:tc>
          <w:tcPr>
            <w:tcW w:w="4660" w:type="dxa"/>
            <w:vAlign w:val="bottom"/>
            <w:tcBorders>
              <w:bottom w:val="single" w:sz="8" w:color="9A9A9A"/>
            </w:tcBorders>
          </w:tcPr>
          <w:p>
            <w:pPr>
              <w:spacing w:after="0"/>
              <w:rPr>
                <w:sz w:val="18"/>
                <w:szCs w:val="18"/>
                <w:color w:val="auto"/>
              </w:rPr>
            </w:pPr>
          </w:p>
        </w:tc>
        <w:tc>
          <w:tcPr>
            <w:tcW w:w="658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8" w:name="page9"/>
    <w:bookmarkEnd w:id="8"/>
    <w:p>
      <w:pPr>
        <w:ind w:left="20"/>
        <w:spacing w:after="0"/>
        <w:tabs>
          <w:tab w:leader="none" w:pos="992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ABOUT HONEYWELL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9"/>
          <w:szCs w:val="29"/>
          <w:color w:val="D7282F"/>
        </w:rPr>
        <w:t>COMPETITION</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We are subject to competition in substantially all product and service areas. Some of our key competitors include but are not limited to:</w:t>
      </w:r>
    </w:p>
    <w:p>
      <w:pPr>
        <w:spacing w:after="0" w:line="134" w:lineRule="exact"/>
        <w:rPr>
          <w:sz w:val="20"/>
          <w:szCs w:val="20"/>
          <w:color w:val="auto"/>
        </w:rPr>
      </w:pPr>
    </w:p>
    <w:tbl>
      <w:tblPr>
        <w:tblLayout w:type="fixed"/>
        <w:tblInd w:w="80" w:type="dxa"/>
        <w:tblCellMar>
          <w:top w:w="0" w:type="dxa"/>
          <w:left w:w="0" w:type="dxa"/>
          <w:bottom w:w="0" w:type="dxa"/>
          <w:right w:w="0" w:type="dxa"/>
        </w:tblCellMar>
      </w:tblPr>
      <w:tr>
        <w:trPr>
          <w:trHeight w:val="350"/>
        </w:trPr>
        <w:tc>
          <w:tcPr>
            <w:tcW w:w="2720" w:type="dxa"/>
            <w:vAlign w:val="bottom"/>
            <w:tcBorders>
              <w:top w:val="single" w:sz="8" w:color="D7282F"/>
            </w:tcBorders>
            <w:gridSpan w:val="2"/>
            <w:shd w:val="clear" w:color="auto" w:fill="E7E7E8"/>
          </w:tcPr>
          <w:p>
            <w:pPr>
              <w:ind w:left="80"/>
              <w:spacing w:after="0"/>
              <w:rPr>
                <w:sz w:val="20"/>
                <w:szCs w:val="20"/>
                <w:color w:val="auto"/>
              </w:rPr>
            </w:pPr>
            <w:r>
              <w:rPr>
                <w:rFonts w:ascii="Arial" w:cs="Arial" w:eastAsia="Arial" w:hAnsi="Arial"/>
                <w:sz w:val="18"/>
                <w:szCs w:val="18"/>
                <w:b w:val="1"/>
                <w:bCs w:val="1"/>
                <w:color w:val="auto"/>
                <w:w w:val="99"/>
              </w:rPr>
              <w:t>AEROSPACE TECHNOLOGIES</w:t>
            </w:r>
          </w:p>
        </w:tc>
        <w:tc>
          <w:tcPr>
            <w:tcW w:w="160" w:type="dxa"/>
            <w:vAlign w:val="bottom"/>
            <w:tcBorders>
              <w:top w:val="single" w:sz="8" w:color="D7282F"/>
            </w:tcBorders>
            <w:shd w:val="clear" w:color="auto" w:fill="E7E7E8"/>
          </w:tcPr>
          <w:p>
            <w:pPr>
              <w:spacing w:after="0"/>
              <w:rPr>
                <w:sz w:val="24"/>
                <w:szCs w:val="24"/>
                <w:color w:val="auto"/>
              </w:rPr>
            </w:pPr>
          </w:p>
        </w:tc>
        <w:tc>
          <w:tcPr>
            <w:tcW w:w="2500" w:type="dxa"/>
            <w:vAlign w:val="bottom"/>
            <w:tcBorders>
              <w:top w:val="single" w:sz="8" w:color="D7282F"/>
              <w:right w:val="single" w:sz="8" w:color="D7282F"/>
            </w:tcBorders>
            <w:shd w:val="clear" w:color="auto" w:fill="E7E7E8"/>
          </w:tcPr>
          <w:p>
            <w:pPr>
              <w:spacing w:after="0"/>
              <w:rPr>
                <w:sz w:val="24"/>
                <w:szCs w:val="24"/>
                <w:color w:val="auto"/>
              </w:rPr>
            </w:pPr>
          </w:p>
        </w:tc>
        <w:tc>
          <w:tcPr>
            <w:tcW w:w="2540" w:type="dxa"/>
            <w:vAlign w:val="bottom"/>
            <w:tcBorders>
              <w:top w:val="single" w:sz="8" w:color="D7282F"/>
            </w:tcBorders>
            <w:gridSpan w:val="2"/>
            <w:shd w:val="clear" w:color="auto" w:fill="E7E7E8"/>
          </w:tcPr>
          <w:p>
            <w:pPr>
              <w:ind w:left="100"/>
              <w:spacing w:after="0"/>
              <w:rPr>
                <w:sz w:val="20"/>
                <w:szCs w:val="20"/>
                <w:color w:val="auto"/>
              </w:rPr>
            </w:pPr>
            <w:r>
              <w:rPr>
                <w:rFonts w:ascii="Arial" w:cs="Arial" w:eastAsia="Arial" w:hAnsi="Arial"/>
                <w:sz w:val="18"/>
                <w:szCs w:val="18"/>
                <w:b w:val="1"/>
                <w:bCs w:val="1"/>
                <w:color w:val="auto"/>
              </w:rPr>
              <w:t>BUILDING AUTOMATION</w:t>
            </w:r>
          </w:p>
        </w:tc>
        <w:tc>
          <w:tcPr>
            <w:tcW w:w="3040" w:type="dxa"/>
            <w:vAlign w:val="bottom"/>
            <w:tcBorders>
              <w:top w:val="single" w:sz="8" w:color="D7282F"/>
            </w:tcBorders>
            <w:shd w:val="clear" w:color="auto" w:fill="E7E7E8"/>
          </w:tcPr>
          <w:p>
            <w:pPr>
              <w:spacing w:after="0"/>
              <w:rPr>
                <w:sz w:val="24"/>
                <w:szCs w:val="24"/>
                <w:color w:val="auto"/>
              </w:rPr>
            </w:pPr>
          </w:p>
        </w:tc>
      </w:tr>
      <w:tr>
        <w:trPr>
          <w:trHeight w:val="323"/>
        </w:trPr>
        <w:tc>
          <w:tcPr>
            <w:tcW w:w="200" w:type="dxa"/>
            <w:vAlign w:val="bottom"/>
            <w:shd w:val="clear" w:color="auto" w:fill="E7E7E8"/>
          </w:tcPr>
          <w:p>
            <w:pPr>
              <w:ind w:left="80"/>
              <w:spacing w:after="0"/>
              <w:rPr>
                <w:sz w:val="20"/>
                <w:szCs w:val="20"/>
                <w:color w:val="auto"/>
              </w:rPr>
            </w:pPr>
            <w:r>
              <w:rPr>
                <w:rFonts w:ascii="Arial" w:cs="Arial" w:eastAsia="Arial" w:hAnsi="Arial"/>
                <w:sz w:val="16"/>
                <w:szCs w:val="16"/>
                <w:color w:val="D7282F"/>
              </w:rPr>
              <w:t>•</w:t>
            </w:r>
          </w:p>
        </w:tc>
        <w:tc>
          <w:tcPr>
            <w:tcW w:w="2520" w:type="dxa"/>
            <w:vAlign w:val="bottom"/>
            <w:shd w:val="clear" w:color="auto" w:fill="E7E7E8"/>
          </w:tcPr>
          <w:p>
            <w:pPr>
              <w:ind w:left="60"/>
              <w:spacing w:after="0"/>
              <w:rPr>
                <w:sz w:val="20"/>
                <w:szCs w:val="20"/>
                <w:color w:val="auto"/>
              </w:rPr>
            </w:pPr>
            <w:r>
              <w:rPr>
                <w:rFonts w:ascii="Arial" w:cs="Arial" w:eastAsia="Arial" w:hAnsi="Arial"/>
                <w:sz w:val="16"/>
                <w:szCs w:val="16"/>
                <w:color w:val="auto"/>
              </w:rPr>
              <w:t>Garmin</w:t>
            </w:r>
          </w:p>
        </w:tc>
        <w:tc>
          <w:tcPr>
            <w:tcW w:w="160" w:type="dxa"/>
            <w:vAlign w:val="bottom"/>
            <w:shd w:val="clear" w:color="auto" w:fill="E7E7E8"/>
          </w:tcPr>
          <w:p>
            <w:pPr>
              <w:ind w:left="20"/>
              <w:spacing w:after="0"/>
              <w:rPr>
                <w:sz w:val="20"/>
                <w:szCs w:val="20"/>
                <w:color w:val="auto"/>
              </w:rPr>
            </w:pPr>
            <w:r>
              <w:rPr>
                <w:rFonts w:ascii="Arial" w:cs="Arial" w:eastAsia="Arial" w:hAnsi="Arial"/>
                <w:sz w:val="16"/>
                <w:szCs w:val="16"/>
                <w:color w:val="D7282F"/>
              </w:rPr>
              <w:t>•</w:t>
            </w:r>
          </w:p>
        </w:tc>
        <w:tc>
          <w:tcPr>
            <w:tcW w:w="2500" w:type="dxa"/>
            <w:vAlign w:val="bottom"/>
            <w:tcBorders>
              <w:right w:val="single" w:sz="8" w:color="D7282F"/>
            </w:tcBorders>
            <w:shd w:val="clear" w:color="auto" w:fill="E7E7E8"/>
          </w:tcPr>
          <w:p>
            <w:pPr>
              <w:ind w:left="60"/>
              <w:spacing w:after="0"/>
              <w:rPr>
                <w:sz w:val="20"/>
                <w:szCs w:val="20"/>
                <w:color w:val="auto"/>
              </w:rPr>
            </w:pPr>
            <w:r>
              <w:rPr>
                <w:rFonts w:ascii="Arial" w:cs="Arial" w:eastAsia="Arial" w:hAnsi="Arial"/>
                <w:sz w:val="16"/>
                <w:szCs w:val="16"/>
                <w:color w:val="auto"/>
              </w:rPr>
              <w:t>RTX Corporation</w:t>
            </w:r>
          </w:p>
        </w:tc>
        <w:tc>
          <w:tcPr>
            <w:tcW w:w="200" w:type="dxa"/>
            <w:vAlign w:val="bottom"/>
            <w:shd w:val="clear" w:color="auto" w:fill="E7E7E8"/>
          </w:tcPr>
          <w:p>
            <w:pPr>
              <w:ind w:left="80"/>
              <w:spacing w:after="0"/>
              <w:rPr>
                <w:sz w:val="20"/>
                <w:szCs w:val="20"/>
                <w:color w:val="auto"/>
              </w:rPr>
            </w:pPr>
            <w:r>
              <w:rPr>
                <w:rFonts w:ascii="Arial" w:cs="Arial" w:eastAsia="Arial" w:hAnsi="Arial"/>
                <w:sz w:val="16"/>
                <w:szCs w:val="16"/>
                <w:color w:val="D7282F"/>
              </w:rPr>
              <w:t>•</w:t>
            </w:r>
          </w:p>
        </w:tc>
        <w:tc>
          <w:tcPr>
            <w:tcW w:w="2340" w:type="dxa"/>
            <w:vAlign w:val="bottom"/>
            <w:shd w:val="clear" w:color="auto" w:fill="E7E7E8"/>
          </w:tcPr>
          <w:p>
            <w:pPr>
              <w:ind w:left="80"/>
              <w:spacing w:after="0"/>
              <w:rPr>
                <w:sz w:val="20"/>
                <w:szCs w:val="20"/>
                <w:color w:val="auto"/>
              </w:rPr>
            </w:pPr>
            <w:r>
              <w:rPr>
                <w:rFonts w:ascii="Arial" w:cs="Arial" w:eastAsia="Arial" w:hAnsi="Arial"/>
                <w:sz w:val="16"/>
                <w:szCs w:val="16"/>
                <w:color w:val="auto"/>
              </w:rPr>
              <w:t>Johnson Controls</w:t>
            </w:r>
          </w:p>
        </w:tc>
        <w:tc>
          <w:tcPr>
            <w:tcW w:w="3040" w:type="dxa"/>
            <w:vAlign w:val="bottom"/>
            <w:shd w:val="clear" w:color="auto" w:fill="E7E7E8"/>
          </w:tcPr>
          <w:p>
            <w:pPr>
              <w:ind w:left="320"/>
              <w:spacing w:after="0"/>
              <w:rPr>
                <w:sz w:val="20"/>
                <w:szCs w:val="20"/>
                <w:color w:val="auto"/>
              </w:rPr>
            </w:pPr>
            <w:r>
              <w:rPr>
                <w:rFonts w:ascii="Arial" w:cs="Arial" w:eastAsia="Arial" w:hAnsi="Arial"/>
                <w:sz w:val="16"/>
                <w:szCs w:val="16"/>
                <w:color w:val="D7282F"/>
              </w:rPr>
              <w:t xml:space="preserve">•  </w:t>
            </w:r>
            <w:r>
              <w:rPr>
                <w:rFonts w:ascii="Arial" w:cs="Arial" w:eastAsia="Arial" w:hAnsi="Arial"/>
                <w:sz w:val="16"/>
                <w:szCs w:val="16"/>
                <w:color w:val="000000"/>
              </w:rPr>
              <w:t>Siemens</w:t>
            </w:r>
          </w:p>
        </w:tc>
      </w:tr>
      <w:tr>
        <w:trPr>
          <w:trHeight w:val="257"/>
        </w:trPr>
        <w:tc>
          <w:tcPr>
            <w:tcW w:w="200" w:type="dxa"/>
            <w:vAlign w:val="bottom"/>
            <w:shd w:val="clear" w:color="auto" w:fill="E7E7E8"/>
          </w:tcPr>
          <w:p>
            <w:pPr>
              <w:ind w:left="80"/>
              <w:spacing w:after="0"/>
              <w:rPr>
                <w:sz w:val="20"/>
                <w:szCs w:val="20"/>
                <w:color w:val="auto"/>
              </w:rPr>
            </w:pPr>
            <w:r>
              <w:rPr>
                <w:rFonts w:ascii="Arial" w:cs="Arial" w:eastAsia="Arial" w:hAnsi="Arial"/>
                <w:sz w:val="16"/>
                <w:szCs w:val="16"/>
                <w:color w:val="D7282F"/>
              </w:rPr>
              <w:t>•</w:t>
            </w:r>
          </w:p>
        </w:tc>
        <w:tc>
          <w:tcPr>
            <w:tcW w:w="2520" w:type="dxa"/>
            <w:vAlign w:val="bottom"/>
            <w:shd w:val="clear" w:color="auto" w:fill="E7E7E8"/>
          </w:tcPr>
          <w:p>
            <w:pPr>
              <w:ind w:left="60"/>
              <w:spacing w:after="0"/>
              <w:rPr>
                <w:sz w:val="20"/>
                <w:szCs w:val="20"/>
                <w:color w:val="auto"/>
              </w:rPr>
            </w:pPr>
            <w:r>
              <w:rPr>
                <w:rFonts w:ascii="Arial" w:cs="Arial" w:eastAsia="Arial" w:hAnsi="Arial"/>
                <w:sz w:val="16"/>
                <w:szCs w:val="16"/>
                <w:color w:val="auto"/>
              </w:rPr>
              <w:t>L3 Harris</w:t>
            </w:r>
          </w:p>
        </w:tc>
        <w:tc>
          <w:tcPr>
            <w:tcW w:w="160" w:type="dxa"/>
            <w:vAlign w:val="bottom"/>
            <w:shd w:val="clear" w:color="auto" w:fill="E7E7E8"/>
          </w:tcPr>
          <w:p>
            <w:pPr>
              <w:ind w:left="20"/>
              <w:spacing w:after="0"/>
              <w:rPr>
                <w:sz w:val="20"/>
                <w:szCs w:val="20"/>
                <w:color w:val="auto"/>
              </w:rPr>
            </w:pPr>
            <w:r>
              <w:rPr>
                <w:rFonts w:ascii="Arial" w:cs="Arial" w:eastAsia="Arial" w:hAnsi="Arial"/>
                <w:sz w:val="16"/>
                <w:szCs w:val="16"/>
                <w:color w:val="D7282F"/>
              </w:rPr>
              <w:t>•</w:t>
            </w:r>
          </w:p>
        </w:tc>
        <w:tc>
          <w:tcPr>
            <w:tcW w:w="2500" w:type="dxa"/>
            <w:vAlign w:val="bottom"/>
            <w:tcBorders>
              <w:right w:val="single" w:sz="8" w:color="D7282F"/>
            </w:tcBorders>
            <w:shd w:val="clear" w:color="auto" w:fill="E7E7E8"/>
          </w:tcPr>
          <w:p>
            <w:pPr>
              <w:ind w:left="60"/>
              <w:spacing w:after="0"/>
              <w:rPr>
                <w:sz w:val="20"/>
                <w:szCs w:val="20"/>
                <w:color w:val="auto"/>
              </w:rPr>
            </w:pPr>
            <w:r>
              <w:rPr>
                <w:rFonts w:ascii="Arial" w:cs="Arial" w:eastAsia="Arial" w:hAnsi="Arial"/>
                <w:sz w:val="16"/>
                <w:szCs w:val="16"/>
                <w:color w:val="auto"/>
              </w:rPr>
              <w:t>Safran</w:t>
            </w:r>
          </w:p>
        </w:tc>
        <w:tc>
          <w:tcPr>
            <w:tcW w:w="200" w:type="dxa"/>
            <w:vAlign w:val="bottom"/>
            <w:shd w:val="clear" w:color="auto" w:fill="E7E7E8"/>
          </w:tcPr>
          <w:p>
            <w:pPr>
              <w:ind w:left="80"/>
              <w:spacing w:after="0"/>
              <w:rPr>
                <w:sz w:val="20"/>
                <w:szCs w:val="20"/>
                <w:color w:val="auto"/>
              </w:rPr>
            </w:pPr>
            <w:r>
              <w:rPr>
                <w:rFonts w:ascii="Arial" w:cs="Arial" w:eastAsia="Arial" w:hAnsi="Arial"/>
                <w:sz w:val="16"/>
                <w:szCs w:val="16"/>
                <w:color w:val="D7282F"/>
              </w:rPr>
              <w:t>•</w:t>
            </w:r>
          </w:p>
        </w:tc>
        <w:tc>
          <w:tcPr>
            <w:tcW w:w="2340" w:type="dxa"/>
            <w:vAlign w:val="bottom"/>
            <w:shd w:val="clear" w:color="auto" w:fill="E7E7E8"/>
          </w:tcPr>
          <w:p>
            <w:pPr>
              <w:ind w:left="80"/>
              <w:spacing w:after="0"/>
              <w:rPr>
                <w:sz w:val="20"/>
                <w:szCs w:val="20"/>
                <w:color w:val="auto"/>
              </w:rPr>
            </w:pPr>
            <w:r>
              <w:rPr>
                <w:rFonts w:ascii="Arial" w:cs="Arial" w:eastAsia="Arial" w:hAnsi="Arial"/>
                <w:sz w:val="16"/>
                <w:szCs w:val="16"/>
                <w:color w:val="auto"/>
              </w:rPr>
              <w:t>Schneider Electric</w:t>
            </w:r>
          </w:p>
        </w:tc>
        <w:tc>
          <w:tcPr>
            <w:tcW w:w="3040" w:type="dxa"/>
            <w:vAlign w:val="bottom"/>
            <w:shd w:val="clear" w:color="auto" w:fill="E7E7E8"/>
          </w:tcPr>
          <w:p>
            <w:pPr>
              <w:spacing w:after="0"/>
              <w:rPr>
                <w:sz w:val="22"/>
                <w:szCs w:val="22"/>
                <w:color w:val="auto"/>
              </w:rPr>
            </w:pPr>
          </w:p>
        </w:tc>
      </w:tr>
      <w:tr>
        <w:trPr>
          <w:trHeight w:val="270"/>
        </w:trPr>
        <w:tc>
          <w:tcPr>
            <w:tcW w:w="200" w:type="dxa"/>
            <w:vAlign w:val="bottom"/>
            <w:shd w:val="clear" w:color="auto" w:fill="E7E7E8"/>
          </w:tcPr>
          <w:p>
            <w:pPr>
              <w:ind w:left="80"/>
              <w:spacing w:after="0"/>
              <w:rPr>
                <w:sz w:val="20"/>
                <w:szCs w:val="20"/>
                <w:color w:val="auto"/>
              </w:rPr>
            </w:pPr>
            <w:r>
              <w:rPr>
                <w:rFonts w:ascii="Arial" w:cs="Arial" w:eastAsia="Arial" w:hAnsi="Arial"/>
                <w:sz w:val="16"/>
                <w:szCs w:val="16"/>
                <w:color w:val="D7282F"/>
              </w:rPr>
              <w:t>•</w:t>
            </w:r>
          </w:p>
        </w:tc>
        <w:tc>
          <w:tcPr>
            <w:tcW w:w="2520" w:type="dxa"/>
            <w:vAlign w:val="bottom"/>
            <w:shd w:val="clear" w:color="auto" w:fill="E7E7E8"/>
          </w:tcPr>
          <w:p>
            <w:pPr>
              <w:ind w:left="60"/>
              <w:spacing w:after="0"/>
              <w:rPr>
                <w:sz w:val="20"/>
                <w:szCs w:val="20"/>
                <w:color w:val="auto"/>
              </w:rPr>
            </w:pPr>
            <w:r>
              <w:rPr>
                <w:rFonts w:ascii="Arial" w:cs="Arial" w:eastAsia="Arial" w:hAnsi="Arial"/>
                <w:sz w:val="16"/>
                <w:szCs w:val="16"/>
                <w:color w:val="auto"/>
              </w:rPr>
              <w:t>Northrop Grumman</w:t>
            </w:r>
          </w:p>
        </w:tc>
        <w:tc>
          <w:tcPr>
            <w:tcW w:w="160" w:type="dxa"/>
            <w:vAlign w:val="bottom"/>
            <w:shd w:val="clear" w:color="auto" w:fill="E7E7E8"/>
          </w:tcPr>
          <w:p>
            <w:pPr>
              <w:ind w:left="20"/>
              <w:spacing w:after="0"/>
              <w:rPr>
                <w:sz w:val="20"/>
                <w:szCs w:val="20"/>
                <w:color w:val="auto"/>
              </w:rPr>
            </w:pPr>
            <w:r>
              <w:rPr>
                <w:rFonts w:ascii="Arial" w:cs="Arial" w:eastAsia="Arial" w:hAnsi="Arial"/>
                <w:sz w:val="16"/>
                <w:szCs w:val="16"/>
                <w:color w:val="D7282F"/>
              </w:rPr>
              <w:t>•</w:t>
            </w:r>
          </w:p>
        </w:tc>
        <w:tc>
          <w:tcPr>
            <w:tcW w:w="2500" w:type="dxa"/>
            <w:vAlign w:val="bottom"/>
            <w:tcBorders>
              <w:right w:val="single" w:sz="8" w:color="D7282F"/>
            </w:tcBorders>
            <w:shd w:val="clear" w:color="auto" w:fill="E7E7E8"/>
          </w:tcPr>
          <w:p>
            <w:pPr>
              <w:ind w:left="60"/>
              <w:spacing w:after="0"/>
              <w:rPr>
                <w:sz w:val="20"/>
                <w:szCs w:val="20"/>
                <w:color w:val="auto"/>
              </w:rPr>
            </w:pPr>
            <w:r>
              <w:rPr>
                <w:rFonts w:ascii="Arial" w:cs="Arial" w:eastAsia="Arial" w:hAnsi="Arial"/>
                <w:sz w:val="16"/>
                <w:szCs w:val="16"/>
                <w:color w:val="auto"/>
              </w:rPr>
              <w:t>Thales</w:t>
            </w:r>
          </w:p>
        </w:tc>
        <w:tc>
          <w:tcPr>
            <w:tcW w:w="200" w:type="dxa"/>
            <w:vAlign w:val="bottom"/>
            <w:shd w:val="clear" w:color="auto" w:fill="E7E7E8"/>
          </w:tcPr>
          <w:p>
            <w:pPr>
              <w:spacing w:after="0"/>
              <w:rPr>
                <w:sz w:val="23"/>
                <w:szCs w:val="23"/>
                <w:color w:val="auto"/>
              </w:rPr>
            </w:pPr>
          </w:p>
        </w:tc>
        <w:tc>
          <w:tcPr>
            <w:tcW w:w="2340" w:type="dxa"/>
            <w:vAlign w:val="bottom"/>
            <w:shd w:val="clear" w:color="auto" w:fill="E7E7E8"/>
          </w:tcPr>
          <w:p>
            <w:pPr>
              <w:spacing w:after="0"/>
              <w:rPr>
                <w:sz w:val="23"/>
                <w:szCs w:val="23"/>
                <w:color w:val="auto"/>
              </w:rPr>
            </w:pPr>
          </w:p>
        </w:tc>
        <w:tc>
          <w:tcPr>
            <w:tcW w:w="3040" w:type="dxa"/>
            <w:vAlign w:val="bottom"/>
            <w:shd w:val="clear" w:color="auto" w:fill="E7E7E8"/>
          </w:tcPr>
          <w:p>
            <w:pPr>
              <w:spacing w:after="0"/>
              <w:rPr>
                <w:sz w:val="23"/>
                <w:szCs w:val="23"/>
                <w:color w:val="auto"/>
              </w:rPr>
            </w:pPr>
          </w:p>
        </w:tc>
      </w:tr>
      <w:tr>
        <w:trPr>
          <w:trHeight w:val="83"/>
        </w:trPr>
        <w:tc>
          <w:tcPr>
            <w:tcW w:w="200" w:type="dxa"/>
            <w:vAlign w:val="bottom"/>
            <w:shd w:val="clear" w:color="auto" w:fill="E7E7E8"/>
          </w:tcPr>
          <w:p>
            <w:pPr>
              <w:spacing w:after="0"/>
              <w:rPr>
                <w:sz w:val="7"/>
                <w:szCs w:val="7"/>
                <w:color w:val="auto"/>
              </w:rPr>
            </w:pPr>
          </w:p>
        </w:tc>
        <w:tc>
          <w:tcPr>
            <w:tcW w:w="2520" w:type="dxa"/>
            <w:vAlign w:val="bottom"/>
            <w:shd w:val="clear" w:color="auto" w:fill="E7E7E8"/>
          </w:tcPr>
          <w:p>
            <w:pPr>
              <w:spacing w:after="0"/>
              <w:rPr>
                <w:sz w:val="7"/>
                <w:szCs w:val="7"/>
                <w:color w:val="auto"/>
              </w:rPr>
            </w:pPr>
          </w:p>
        </w:tc>
        <w:tc>
          <w:tcPr>
            <w:tcW w:w="160" w:type="dxa"/>
            <w:vAlign w:val="bottom"/>
            <w:shd w:val="clear" w:color="auto" w:fill="E7E7E8"/>
          </w:tcPr>
          <w:p>
            <w:pPr>
              <w:spacing w:after="0"/>
              <w:rPr>
                <w:sz w:val="7"/>
                <w:szCs w:val="7"/>
                <w:color w:val="auto"/>
              </w:rPr>
            </w:pPr>
          </w:p>
        </w:tc>
        <w:tc>
          <w:tcPr>
            <w:tcW w:w="2500" w:type="dxa"/>
            <w:vAlign w:val="bottom"/>
            <w:tcBorders>
              <w:right w:val="single" w:sz="8" w:color="D7282F"/>
            </w:tcBorders>
            <w:shd w:val="clear" w:color="auto" w:fill="E7E7E8"/>
          </w:tcPr>
          <w:p>
            <w:pPr>
              <w:spacing w:after="0"/>
              <w:rPr>
                <w:sz w:val="7"/>
                <w:szCs w:val="7"/>
                <w:color w:val="auto"/>
              </w:rPr>
            </w:pPr>
          </w:p>
        </w:tc>
        <w:tc>
          <w:tcPr>
            <w:tcW w:w="200" w:type="dxa"/>
            <w:vAlign w:val="bottom"/>
            <w:shd w:val="clear" w:color="auto" w:fill="E7E7E8"/>
          </w:tcPr>
          <w:p>
            <w:pPr>
              <w:spacing w:after="0"/>
              <w:rPr>
                <w:sz w:val="7"/>
                <w:szCs w:val="7"/>
                <w:color w:val="auto"/>
              </w:rPr>
            </w:pPr>
          </w:p>
        </w:tc>
        <w:tc>
          <w:tcPr>
            <w:tcW w:w="2340" w:type="dxa"/>
            <w:vAlign w:val="bottom"/>
            <w:shd w:val="clear" w:color="auto" w:fill="E7E7E8"/>
          </w:tcPr>
          <w:p>
            <w:pPr>
              <w:spacing w:after="0"/>
              <w:rPr>
                <w:sz w:val="7"/>
                <w:szCs w:val="7"/>
                <w:color w:val="auto"/>
              </w:rPr>
            </w:pPr>
          </w:p>
        </w:tc>
        <w:tc>
          <w:tcPr>
            <w:tcW w:w="3040" w:type="dxa"/>
            <w:vAlign w:val="bottom"/>
            <w:shd w:val="clear" w:color="auto" w:fill="E7E7E8"/>
          </w:tcPr>
          <w:p>
            <w:pPr>
              <w:spacing w:after="0"/>
              <w:rPr>
                <w:sz w:val="7"/>
                <w:szCs w:val="7"/>
                <w:color w:val="auto"/>
              </w:rPr>
            </w:pPr>
          </w:p>
        </w:tc>
      </w:tr>
    </w:tbl>
    <w:p>
      <w:pPr>
        <w:spacing w:after="0" w:line="209" w:lineRule="exact"/>
        <w:rPr>
          <w:sz w:val="20"/>
          <w:szCs w:val="20"/>
          <w:color w:val="auto"/>
        </w:rPr>
      </w:pPr>
    </w:p>
    <w:tbl>
      <w:tblPr>
        <w:tblLayout w:type="fixed"/>
        <w:tblInd w:w="80" w:type="dxa"/>
        <w:tblCellMar>
          <w:top w:w="0" w:type="dxa"/>
          <w:left w:w="0" w:type="dxa"/>
          <w:bottom w:w="0" w:type="dxa"/>
          <w:right w:w="0" w:type="dxa"/>
        </w:tblCellMar>
      </w:tblPr>
      <w:tr>
        <w:trPr>
          <w:trHeight w:val="350"/>
        </w:trPr>
        <w:tc>
          <w:tcPr>
            <w:tcW w:w="5380" w:type="dxa"/>
            <w:vAlign w:val="bottom"/>
            <w:tcBorders>
              <w:top w:val="single" w:sz="8" w:color="D7282F"/>
              <w:right w:val="single" w:sz="8" w:color="D7282F"/>
            </w:tcBorders>
            <w:gridSpan w:val="4"/>
            <w:shd w:val="clear" w:color="auto" w:fill="E7E7E8"/>
          </w:tcPr>
          <w:p>
            <w:pPr>
              <w:ind w:left="80"/>
              <w:spacing w:after="0"/>
              <w:rPr>
                <w:sz w:val="20"/>
                <w:szCs w:val="20"/>
                <w:color w:val="auto"/>
              </w:rPr>
            </w:pPr>
            <w:r>
              <w:rPr>
                <w:rFonts w:ascii="Arial" w:cs="Arial" w:eastAsia="Arial" w:hAnsi="Arial"/>
                <w:sz w:val="18"/>
                <w:szCs w:val="18"/>
                <w:b w:val="1"/>
                <w:bCs w:val="1"/>
                <w:color w:val="auto"/>
              </w:rPr>
              <w:t>ENERGY AND SUSTAINABILITY SOLUTIONS</w:t>
            </w:r>
          </w:p>
        </w:tc>
        <w:tc>
          <w:tcPr>
            <w:tcW w:w="2660" w:type="dxa"/>
            <w:vAlign w:val="bottom"/>
            <w:tcBorders>
              <w:top w:val="single" w:sz="8" w:color="D7282F"/>
            </w:tcBorders>
            <w:gridSpan w:val="2"/>
            <w:shd w:val="clear" w:color="auto" w:fill="E7E7E8"/>
          </w:tcPr>
          <w:p>
            <w:pPr>
              <w:ind w:left="100"/>
              <w:spacing w:after="0"/>
              <w:rPr>
                <w:sz w:val="20"/>
                <w:szCs w:val="20"/>
                <w:color w:val="auto"/>
              </w:rPr>
            </w:pPr>
            <w:r>
              <w:rPr>
                <w:rFonts w:ascii="Arial" w:cs="Arial" w:eastAsia="Arial" w:hAnsi="Arial"/>
                <w:sz w:val="18"/>
                <w:szCs w:val="18"/>
                <w:b w:val="1"/>
                <w:bCs w:val="1"/>
                <w:color w:val="auto"/>
              </w:rPr>
              <w:t>INDUSTRIAL AUTOMATION</w:t>
            </w:r>
          </w:p>
        </w:tc>
        <w:tc>
          <w:tcPr>
            <w:tcW w:w="320" w:type="dxa"/>
            <w:vAlign w:val="bottom"/>
            <w:tcBorders>
              <w:top w:val="single" w:sz="8" w:color="D7282F"/>
            </w:tcBorders>
            <w:shd w:val="clear" w:color="auto" w:fill="E7E7E8"/>
          </w:tcPr>
          <w:p>
            <w:pPr>
              <w:spacing w:after="0"/>
              <w:rPr>
                <w:sz w:val="24"/>
                <w:szCs w:val="24"/>
                <w:color w:val="auto"/>
              </w:rPr>
            </w:pPr>
          </w:p>
        </w:tc>
        <w:tc>
          <w:tcPr>
            <w:tcW w:w="2600" w:type="dxa"/>
            <w:vAlign w:val="bottom"/>
            <w:tcBorders>
              <w:top w:val="single" w:sz="8" w:color="D7282F"/>
            </w:tcBorders>
            <w:shd w:val="clear" w:color="auto" w:fill="E7E7E8"/>
          </w:tcPr>
          <w:p>
            <w:pPr>
              <w:spacing w:after="0"/>
              <w:rPr>
                <w:sz w:val="24"/>
                <w:szCs w:val="24"/>
                <w:color w:val="auto"/>
              </w:rPr>
            </w:pPr>
          </w:p>
        </w:tc>
      </w:tr>
      <w:tr>
        <w:trPr>
          <w:trHeight w:val="310"/>
        </w:trPr>
        <w:tc>
          <w:tcPr>
            <w:tcW w:w="200" w:type="dxa"/>
            <w:vAlign w:val="bottom"/>
            <w:shd w:val="clear" w:color="auto" w:fill="E7E7E8"/>
          </w:tcPr>
          <w:p>
            <w:pPr>
              <w:ind w:left="80"/>
              <w:spacing w:after="0"/>
              <w:rPr>
                <w:sz w:val="20"/>
                <w:szCs w:val="20"/>
                <w:color w:val="auto"/>
              </w:rPr>
            </w:pPr>
            <w:r>
              <w:rPr>
                <w:rFonts w:ascii="Arial" w:cs="Arial" w:eastAsia="Arial" w:hAnsi="Arial"/>
                <w:sz w:val="16"/>
                <w:szCs w:val="16"/>
                <w:color w:val="D7282F"/>
              </w:rPr>
              <w:t>•</w:t>
            </w:r>
          </w:p>
        </w:tc>
        <w:tc>
          <w:tcPr>
            <w:tcW w:w="1580" w:type="dxa"/>
            <w:vAlign w:val="bottom"/>
            <w:shd w:val="clear" w:color="auto" w:fill="E7E7E8"/>
          </w:tcPr>
          <w:p>
            <w:pPr>
              <w:ind w:left="60"/>
              <w:spacing w:after="0"/>
              <w:rPr>
                <w:sz w:val="20"/>
                <w:szCs w:val="20"/>
                <w:color w:val="auto"/>
              </w:rPr>
            </w:pPr>
            <w:r>
              <w:rPr>
                <w:rFonts w:ascii="Arial" w:cs="Arial" w:eastAsia="Arial" w:hAnsi="Arial"/>
                <w:sz w:val="16"/>
                <w:szCs w:val="16"/>
                <w:color w:val="auto"/>
              </w:rPr>
              <w:t>Arkema</w:t>
            </w:r>
          </w:p>
        </w:tc>
        <w:tc>
          <w:tcPr>
            <w:tcW w:w="1100" w:type="dxa"/>
            <w:vAlign w:val="bottom"/>
            <w:shd w:val="clear" w:color="auto" w:fill="E7E7E8"/>
          </w:tcPr>
          <w:p>
            <w:pPr>
              <w:ind w:left="960"/>
              <w:spacing w:after="0"/>
              <w:rPr>
                <w:sz w:val="20"/>
                <w:szCs w:val="20"/>
                <w:color w:val="auto"/>
              </w:rPr>
            </w:pPr>
            <w:r>
              <w:rPr>
                <w:rFonts w:ascii="Arial" w:cs="Arial" w:eastAsia="Arial" w:hAnsi="Arial"/>
                <w:sz w:val="16"/>
                <w:szCs w:val="16"/>
                <w:color w:val="D7282F"/>
              </w:rPr>
              <w:t>•</w:t>
            </w:r>
          </w:p>
        </w:tc>
        <w:tc>
          <w:tcPr>
            <w:tcW w:w="2500" w:type="dxa"/>
            <w:vAlign w:val="bottom"/>
            <w:tcBorders>
              <w:right w:val="single" w:sz="8" w:color="D7282F"/>
            </w:tcBorders>
            <w:shd w:val="clear" w:color="auto" w:fill="E7E7E8"/>
          </w:tcPr>
          <w:p>
            <w:pPr>
              <w:ind w:left="60"/>
              <w:spacing w:after="0"/>
              <w:rPr>
                <w:sz w:val="20"/>
                <w:szCs w:val="20"/>
                <w:color w:val="auto"/>
              </w:rPr>
            </w:pPr>
            <w:r>
              <w:rPr>
                <w:rFonts w:ascii="Arial" w:cs="Arial" w:eastAsia="Arial" w:hAnsi="Arial"/>
                <w:sz w:val="16"/>
                <w:szCs w:val="16"/>
                <w:color w:val="auto"/>
              </w:rPr>
              <w:t>Chemours</w:t>
            </w:r>
          </w:p>
        </w:tc>
        <w:tc>
          <w:tcPr>
            <w:tcW w:w="200" w:type="dxa"/>
            <w:vAlign w:val="bottom"/>
            <w:shd w:val="clear" w:color="auto" w:fill="E7E7E8"/>
          </w:tcPr>
          <w:p>
            <w:pPr>
              <w:ind w:left="80"/>
              <w:spacing w:after="0"/>
              <w:rPr>
                <w:sz w:val="20"/>
                <w:szCs w:val="20"/>
                <w:color w:val="auto"/>
              </w:rPr>
            </w:pPr>
            <w:r>
              <w:rPr>
                <w:rFonts w:ascii="Arial" w:cs="Arial" w:eastAsia="Arial" w:hAnsi="Arial"/>
                <w:sz w:val="16"/>
                <w:szCs w:val="16"/>
                <w:color w:val="D7282F"/>
              </w:rPr>
              <w:t>•</w:t>
            </w:r>
          </w:p>
        </w:tc>
        <w:tc>
          <w:tcPr>
            <w:tcW w:w="2460" w:type="dxa"/>
            <w:vAlign w:val="bottom"/>
            <w:shd w:val="clear" w:color="auto" w:fill="E7E7E8"/>
          </w:tcPr>
          <w:p>
            <w:pPr>
              <w:ind w:left="80"/>
              <w:spacing w:after="0"/>
              <w:rPr>
                <w:sz w:val="20"/>
                <w:szCs w:val="20"/>
                <w:color w:val="auto"/>
              </w:rPr>
            </w:pPr>
            <w:r>
              <w:rPr>
                <w:rFonts w:ascii="Arial" w:cs="Arial" w:eastAsia="Arial" w:hAnsi="Arial"/>
                <w:sz w:val="16"/>
                <w:szCs w:val="16"/>
                <w:color w:val="auto"/>
              </w:rPr>
              <w:t>Dematic</w:t>
            </w:r>
          </w:p>
        </w:tc>
        <w:tc>
          <w:tcPr>
            <w:tcW w:w="320" w:type="dxa"/>
            <w:vAlign w:val="bottom"/>
            <w:shd w:val="clear" w:color="auto" w:fill="E7E7E8"/>
          </w:tcPr>
          <w:p>
            <w:pPr>
              <w:ind w:left="200"/>
              <w:spacing w:after="0"/>
              <w:rPr>
                <w:sz w:val="20"/>
                <w:szCs w:val="20"/>
                <w:color w:val="auto"/>
              </w:rPr>
            </w:pPr>
            <w:r>
              <w:rPr>
                <w:rFonts w:ascii="Arial" w:cs="Arial" w:eastAsia="Arial" w:hAnsi="Arial"/>
                <w:sz w:val="16"/>
                <w:szCs w:val="16"/>
                <w:color w:val="D7282F"/>
              </w:rPr>
              <w:t>•</w:t>
            </w:r>
          </w:p>
        </w:tc>
        <w:tc>
          <w:tcPr>
            <w:tcW w:w="2600" w:type="dxa"/>
            <w:vAlign w:val="bottom"/>
            <w:shd w:val="clear" w:color="auto" w:fill="E7E7E8"/>
          </w:tcPr>
          <w:p>
            <w:pPr>
              <w:ind w:left="80"/>
              <w:spacing w:after="0"/>
              <w:rPr>
                <w:sz w:val="20"/>
                <w:szCs w:val="20"/>
                <w:color w:val="auto"/>
              </w:rPr>
            </w:pPr>
            <w:r>
              <w:rPr>
                <w:rFonts w:ascii="Arial" w:cs="Arial" w:eastAsia="Arial" w:hAnsi="Arial"/>
                <w:sz w:val="16"/>
                <w:szCs w:val="16"/>
                <w:color w:val="auto"/>
              </w:rPr>
              <w:t>Rockwell Automation</w:t>
            </w:r>
          </w:p>
        </w:tc>
      </w:tr>
      <w:tr>
        <w:trPr>
          <w:trHeight w:val="270"/>
        </w:trPr>
        <w:tc>
          <w:tcPr>
            <w:tcW w:w="200" w:type="dxa"/>
            <w:vAlign w:val="bottom"/>
            <w:shd w:val="clear" w:color="auto" w:fill="E7E7E8"/>
          </w:tcPr>
          <w:p>
            <w:pPr>
              <w:ind w:left="80"/>
              <w:spacing w:after="0"/>
              <w:rPr>
                <w:sz w:val="20"/>
                <w:szCs w:val="20"/>
                <w:color w:val="auto"/>
              </w:rPr>
            </w:pPr>
            <w:r>
              <w:rPr>
                <w:rFonts w:ascii="Arial" w:cs="Arial" w:eastAsia="Arial" w:hAnsi="Arial"/>
                <w:sz w:val="16"/>
                <w:szCs w:val="16"/>
                <w:color w:val="D7282F"/>
              </w:rPr>
              <w:t>•</w:t>
            </w:r>
          </w:p>
        </w:tc>
        <w:tc>
          <w:tcPr>
            <w:tcW w:w="1580" w:type="dxa"/>
            <w:vAlign w:val="bottom"/>
            <w:shd w:val="clear" w:color="auto" w:fill="E7E7E8"/>
          </w:tcPr>
          <w:p>
            <w:pPr>
              <w:ind w:left="60"/>
              <w:spacing w:after="0"/>
              <w:rPr>
                <w:sz w:val="20"/>
                <w:szCs w:val="20"/>
                <w:color w:val="auto"/>
              </w:rPr>
            </w:pPr>
            <w:r>
              <w:rPr>
                <w:rFonts w:ascii="Arial" w:cs="Arial" w:eastAsia="Arial" w:hAnsi="Arial"/>
                <w:sz w:val="16"/>
                <w:szCs w:val="16"/>
                <w:color w:val="auto"/>
              </w:rPr>
              <w:t>Axens</w:t>
            </w:r>
          </w:p>
        </w:tc>
        <w:tc>
          <w:tcPr>
            <w:tcW w:w="1100" w:type="dxa"/>
            <w:vAlign w:val="bottom"/>
            <w:shd w:val="clear" w:color="auto" w:fill="E7E7E8"/>
          </w:tcPr>
          <w:p>
            <w:pPr>
              <w:ind w:left="960"/>
              <w:spacing w:after="0"/>
              <w:rPr>
                <w:sz w:val="20"/>
                <w:szCs w:val="20"/>
                <w:color w:val="auto"/>
              </w:rPr>
            </w:pPr>
            <w:r>
              <w:rPr>
                <w:rFonts w:ascii="Arial" w:cs="Arial" w:eastAsia="Arial" w:hAnsi="Arial"/>
                <w:sz w:val="16"/>
                <w:szCs w:val="16"/>
                <w:color w:val="D7282F"/>
              </w:rPr>
              <w:t>•</w:t>
            </w:r>
          </w:p>
        </w:tc>
        <w:tc>
          <w:tcPr>
            <w:tcW w:w="2500" w:type="dxa"/>
            <w:vAlign w:val="bottom"/>
            <w:tcBorders>
              <w:right w:val="single" w:sz="8" w:color="D7282F"/>
            </w:tcBorders>
            <w:shd w:val="clear" w:color="auto" w:fill="E7E7E8"/>
          </w:tcPr>
          <w:p>
            <w:pPr>
              <w:ind w:left="60"/>
              <w:spacing w:after="0"/>
              <w:rPr>
                <w:sz w:val="20"/>
                <w:szCs w:val="20"/>
                <w:color w:val="auto"/>
              </w:rPr>
            </w:pPr>
            <w:r>
              <w:rPr>
                <w:rFonts w:ascii="Arial" w:cs="Arial" w:eastAsia="Arial" w:hAnsi="Arial"/>
                <w:sz w:val="16"/>
                <w:szCs w:val="16"/>
                <w:color w:val="auto"/>
              </w:rPr>
              <w:t>Haldor Topsoe</w:t>
            </w:r>
          </w:p>
        </w:tc>
        <w:tc>
          <w:tcPr>
            <w:tcW w:w="200" w:type="dxa"/>
            <w:vAlign w:val="bottom"/>
            <w:shd w:val="clear" w:color="auto" w:fill="E7E7E8"/>
          </w:tcPr>
          <w:p>
            <w:pPr>
              <w:ind w:left="80"/>
              <w:spacing w:after="0"/>
              <w:rPr>
                <w:sz w:val="20"/>
                <w:szCs w:val="20"/>
                <w:color w:val="auto"/>
              </w:rPr>
            </w:pPr>
            <w:r>
              <w:rPr>
                <w:rFonts w:ascii="Arial" w:cs="Arial" w:eastAsia="Arial" w:hAnsi="Arial"/>
                <w:sz w:val="16"/>
                <w:szCs w:val="16"/>
                <w:color w:val="D7282F"/>
              </w:rPr>
              <w:t>•</w:t>
            </w:r>
          </w:p>
        </w:tc>
        <w:tc>
          <w:tcPr>
            <w:tcW w:w="2460" w:type="dxa"/>
            <w:vAlign w:val="bottom"/>
            <w:shd w:val="clear" w:color="auto" w:fill="E7E7E8"/>
          </w:tcPr>
          <w:p>
            <w:pPr>
              <w:ind w:left="80"/>
              <w:spacing w:after="0"/>
              <w:rPr>
                <w:sz w:val="20"/>
                <w:szCs w:val="20"/>
                <w:color w:val="auto"/>
              </w:rPr>
            </w:pPr>
            <w:r>
              <w:rPr>
                <w:rFonts w:ascii="Arial" w:cs="Arial" w:eastAsia="Arial" w:hAnsi="Arial"/>
                <w:sz w:val="16"/>
                <w:szCs w:val="16"/>
                <w:color w:val="auto"/>
              </w:rPr>
              <w:t>Emerson Electric</w:t>
            </w:r>
          </w:p>
        </w:tc>
        <w:tc>
          <w:tcPr>
            <w:tcW w:w="320" w:type="dxa"/>
            <w:vAlign w:val="bottom"/>
            <w:shd w:val="clear" w:color="auto" w:fill="E7E7E8"/>
          </w:tcPr>
          <w:p>
            <w:pPr>
              <w:ind w:left="200"/>
              <w:spacing w:after="0"/>
              <w:rPr>
                <w:sz w:val="20"/>
                <w:szCs w:val="20"/>
                <w:color w:val="auto"/>
              </w:rPr>
            </w:pPr>
            <w:r>
              <w:rPr>
                <w:rFonts w:ascii="Arial" w:cs="Arial" w:eastAsia="Arial" w:hAnsi="Arial"/>
                <w:sz w:val="16"/>
                <w:szCs w:val="16"/>
                <w:color w:val="D7282F"/>
              </w:rPr>
              <w:t>•</w:t>
            </w:r>
          </w:p>
        </w:tc>
        <w:tc>
          <w:tcPr>
            <w:tcW w:w="2600" w:type="dxa"/>
            <w:vAlign w:val="bottom"/>
            <w:shd w:val="clear" w:color="auto" w:fill="E7E7E8"/>
          </w:tcPr>
          <w:p>
            <w:pPr>
              <w:ind w:left="80"/>
              <w:spacing w:after="0"/>
              <w:rPr>
                <w:sz w:val="20"/>
                <w:szCs w:val="20"/>
                <w:color w:val="auto"/>
              </w:rPr>
            </w:pPr>
            <w:r>
              <w:rPr>
                <w:rFonts w:ascii="Arial" w:cs="Arial" w:eastAsia="Arial" w:hAnsi="Arial"/>
                <w:sz w:val="16"/>
                <w:szCs w:val="16"/>
                <w:color w:val="auto"/>
              </w:rPr>
              <w:t>TE Connectivity</w:t>
            </w:r>
          </w:p>
        </w:tc>
      </w:tr>
      <w:tr>
        <w:trPr>
          <w:trHeight w:val="270"/>
        </w:trPr>
        <w:tc>
          <w:tcPr>
            <w:tcW w:w="200" w:type="dxa"/>
            <w:vAlign w:val="bottom"/>
            <w:shd w:val="clear" w:color="auto" w:fill="E7E7E8"/>
          </w:tcPr>
          <w:p>
            <w:pPr>
              <w:spacing w:after="0"/>
              <w:rPr>
                <w:sz w:val="23"/>
                <w:szCs w:val="23"/>
                <w:color w:val="auto"/>
              </w:rPr>
            </w:pPr>
          </w:p>
        </w:tc>
        <w:tc>
          <w:tcPr>
            <w:tcW w:w="1580" w:type="dxa"/>
            <w:vAlign w:val="bottom"/>
            <w:shd w:val="clear" w:color="auto" w:fill="E7E7E8"/>
          </w:tcPr>
          <w:p>
            <w:pPr>
              <w:spacing w:after="0"/>
              <w:rPr>
                <w:sz w:val="23"/>
                <w:szCs w:val="23"/>
                <w:color w:val="auto"/>
              </w:rPr>
            </w:pPr>
          </w:p>
        </w:tc>
        <w:tc>
          <w:tcPr>
            <w:tcW w:w="1100" w:type="dxa"/>
            <w:vAlign w:val="bottom"/>
            <w:shd w:val="clear" w:color="auto" w:fill="E7E7E8"/>
          </w:tcPr>
          <w:p>
            <w:pPr>
              <w:spacing w:after="0"/>
              <w:rPr>
                <w:sz w:val="23"/>
                <w:szCs w:val="23"/>
                <w:color w:val="auto"/>
              </w:rPr>
            </w:pPr>
          </w:p>
        </w:tc>
        <w:tc>
          <w:tcPr>
            <w:tcW w:w="2500" w:type="dxa"/>
            <w:vAlign w:val="bottom"/>
            <w:tcBorders>
              <w:right w:val="single" w:sz="8" w:color="D7282F"/>
            </w:tcBorders>
            <w:shd w:val="clear" w:color="auto" w:fill="E7E7E8"/>
          </w:tcPr>
          <w:p>
            <w:pPr>
              <w:spacing w:after="0"/>
              <w:rPr>
                <w:sz w:val="23"/>
                <w:szCs w:val="23"/>
                <w:color w:val="auto"/>
              </w:rPr>
            </w:pPr>
          </w:p>
        </w:tc>
        <w:tc>
          <w:tcPr>
            <w:tcW w:w="200" w:type="dxa"/>
            <w:vAlign w:val="bottom"/>
            <w:shd w:val="clear" w:color="auto" w:fill="E7E7E8"/>
          </w:tcPr>
          <w:p>
            <w:pPr>
              <w:ind w:left="80"/>
              <w:spacing w:after="0"/>
              <w:rPr>
                <w:sz w:val="20"/>
                <w:szCs w:val="20"/>
                <w:color w:val="auto"/>
              </w:rPr>
            </w:pPr>
            <w:r>
              <w:rPr>
                <w:rFonts w:ascii="Arial" w:cs="Arial" w:eastAsia="Arial" w:hAnsi="Arial"/>
                <w:sz w:val="16"/>
                <w:szCs w:val="16"/>
                <w:color w:val="D7282F"/>
              </w:rPr>
              <w:t>•</w:t>
            </w:r>
          </w:p>
        </w:tc>
        <w:tc>
          <w:tcPr>
            <w:tcW w:w="2460" w:type="dxa"/>
            <w:vAlign w:val="bottom"/>
            <w:shd w:val="clear" w:color="auto" w:fill="E7E7E8"/>
          </w:tcPr>
          <w:p>
            <w:pPr>
              <w:ind w:left="80"/>
              <w:spacing w:after="0"/>
              <w:rPr>
                <w:sz w:val="20"/>
                <w:szCs w:val="20"/>
                <w:color w:val="auto"/>
              </w:rPr>
            </w:pPr>
            <w:r>
              <w:rPr>
                <w:rFonts w:ascii="Arial" w:cs="Arial" w:eastAsia="Arial" w:hAnsi="Arial"/>
                <w:sz w:val="16"/>
                <w:szCs w:val="16"/>
                <w:color w:val="auto"/>
              </w:rPr>
              <w:t>Itron</w:t>
            </w:r>
          </w:p>
        </w:tc>
        <w:tc>
          <w:tcPr>
            <w:tcW w:w="320" w:type="dxa"/>
            <w:vAlign w:val="bottom"/>
            <w:shd w:val="clear" w:color="auto" w:fill="E7E7E8"/>
          </w:tcPr>
          <w:p>
            <w:pPr>
              <w:ind w:left="200"/>
              <w:spacing w:after="0"/>
              <w:rPr>
                <w:sz w:val="20"/>
                <w:szCs w:val="20"/>
                <w:color w:val="auto"/>
              </w:rPr>
            </w:pPr>
            <w:r>
              <w:rPr>
                <w:rFonts w:ascii="Arial" w:cs="Arial" w:eastAsia="Arial" w:hAnsi="Arial"/>
                <w:sz w:val="16"/>
                <w:szCs w:val="16"/>
                <w:color w:val="D7282F"/>
              </w:rPr>
              <w:t>•</w:t>
            </w:r>
          </w:p>
        </w:tc>
        <w:tc>
          <w:tcPr>
            <w:tcW w:w="2600" w:type="dxa"/>
            <w:vAlign w:val="bottom"/>
            <w:shd w:val="clear" w:color="auto" w:fill="E7E7E8"/>
          </w:tcPr>
          <w:p>
            <w:pPr>
              <w:ind w:left="80"/>
              <w:spacing w:after="0"/>
              <w:rPr>
                <w:sz w:val="20"/>
                <w:szCs w:val="20"/>
                <w:color w:val="auto"/>
              </w:rPr>
            </w:pPr>
            <w:r>
              <w:rPr>
                <w:rFonts w:ascii="Arial" w:cs="Arial" w:eastAsia="Arial" w:hAnsi="Arial"/>
                <w:sz w:val="16"/>
                <w:szCs w:val="16"/>
                <w:color w:val="auto"/>
              </w:rPr>
              <w:t>Zebra Technologies</w:t>
            </w:r>
          </w:p>
        </w:tc>
      </w:tr>
      <w:tr>
        <w:trPr>
          <w:trHeight w:val="257"/>
        </w:trPr>
        <w:tc>
          <w:tcPr>
            <w:tcW w:w="200" w:type="dxa"/>
            <w:vAlign w:val="bottom"/>
            <w:shd w:val="clear" w:color="auto" w:fill="E7E7E8"/>
          </w:tcPr>
          <w:p>
            <w:pPr>
              <w:spacing w:after="0"/>
              <w:rPr>
                <w:sz w:val="22"/>
                <w:szCs w:val="22"/>
                <w:color w:val="auto"/>
              </w:rPr>
            </w:pPr>
          </w:p>
        </w:tc>
        <w:tc>
          <w:tcPr>
            <w:tcW w:w="1580" w:type="dxa"/>
            <w:vAlign w:val="bottom"/>
            <w:shd w:val="clear" w:color="auto" w:fill="E7E7E8"/>
          </w:tcPr>
          <w:p>
            <w:pPr>
              <w:spacing w:after="0"/>
              <w:rPr>
                <w:sz w:val="22"/>
                <w:szCs w:val="22"/>
                <w:color w:val="auto"/>
              </w:rPr>
            </w:pPr>
          </w:p>
        </w:tc>
        <w:tc>
          <w:tcPr>
            <w:tcW w:w="1100" w:type="dxa"/>
            <w:vAlign w:val="bottom"/>
            <w:shd w:val="clear" w:color="auto" w:fill="E7E7E8"/>
          </w:tcPr>
          <w:p>
            <w:pPr>
              <w:spacing w:after="0"/>
              <w:rPr>
                <w:sz w:val="22"/>
                <w:szCs w:val="22"/>
                <w:color w:val="auto"/>
              </w:rPr>
            </w:pPr>
          </w:p>
        </w:tc>
        <w:tc>
          <w:tcPr>
            <w:tcW w:w="2500" w:type="dxa"/>
            <w:vAlign w:val="bottom"/>
            <w:tcBorders>
              <w:right w:val="single" w:sz="8" w:color="D7282F"/>
            </w:tcBorders>
            <w:shd w:val="clear" w:color="auto" w:fill="E7E7E8"/>
          </w:tcPr>
          <w:p>
            <w:pPr>
              <w:spacing w:after="0"/>
              <w:rPr>
                <w:sz w:val="22"/>
                <w:szCs w:val="22"/>
                <w:color w:val="auto"/>
              </w:rPr>
            </w:pPr>
          </w:p>
        </w:tc>
        <w:tc>
          <w:tcPr>
            <w:tcW w:w="200" w:type="dxa"/>
            <w:vAlign w:val="bottom"/>
            <w:shd w:val="clear" w:color="auto" w:fill="E7E7E8"/>
          </w:tcPr>
          <w:p>
            <w:pPr>
              <w:ind w:left="80"/>
              <w:spacing w:after="0"/>
              <w:rPr>
                <w:sz w:val="20"/>
                <w:szCs w:val="20"/>
                <w:color w:val="auto"/>
              </w:rPr>
            </w:pPr>
            <w:r>
              <w:rPr>
                <w:rFonts w:ascii="Arial" w:cs="Arial" w:eastAsia="Arial" w:hAnsi="Arial"/>
                <w:sz w:val="16"/>
                <w:szCs w:val="16"/>
                <w:color w:val="D7282F"/>
              </w:rPr>
              <w:t>•</w:t>
            </w:r>
          </w:p>
        </w:tc>
        <w:tc>
          <w:tcPr>
            <w:tcW w:w="2460" w:type="dxa"/>
            <w:vAlign w:val="bottom"/>
            <w:shd w:val="clear" w:color="auto" w:fill="E7E7E8"/>
          </w:tcPr>
          <w:p>
            <w:pPr>
              <w:ind w:left="80"/>
              <w:spacing w:after="0"/>
              <w:rPr>
                <w:sz w:val="20"/>
                <w:szCs w:val="20"/>
                <w:color w:val="auto"/>
              </w:rPr>
            </w:pPr>
            <w:r>
              <w:rPr>
                <w:rFonts w:ascii="Arial" w:cs="Arial" w:eastAsia="Arial" w:hAnsi="Arial"/>
                <w:sz w:val="16"/>
                <w:szCs w:val="16"/>
                <w:color w:val="auto"/>
              </w:rPr>
              <w:t>MSA Safety Incorporated</w:t>
            </w:r>
          </w:p>
        </w:tc>
        <w:tc>
          <w:tcPr>
            <w:tcW w:w="320" w:type="dxa"/>
            <w:vAlign w:val="bottom"/>
            <w:shd w:val="clear" w:color="auto" w:fill="E7E7E8"/>
          </w:tcPr>
          <w:p>
            <w:pPr>
              <w:spacing w:after="0"/>
              <w:rPr>
                <w:sz w:val="22"/>
                <w:szCs w:val="22"/>
                <w:color w:val="auto"/>
              </w:rPr>
            </w:pPr>
          </w:p>
        </w:tc>
        <w:tc>
          <w:tcPr>
            <w:tcW w:w="2600" w:type="dxa"/>
            <w:vAlign w:val="bottom"/>
            <w:shd w:val="clear" w:color="auto" w:fill="E7E7E8"/>
          </w:tcPr>
          <w:p>
            <w:pPr>
              <w:spacing w:after="0"/>
              <w:rPr>
                <w:sz w:val="22"/>
                <w:szCs w:val="22"/>
                <w:color w:val="auto"/>
              </w:rPr>
            </w:pPr>
          </w:p>
        </w:tc>
      </w:tr>
      <w:tr>
        <w:trPr>
          <w:trHeight w:val="421"/>
        </w:trPr>
        <w:tc>
          <w:tcPr>
            <w:tcW w:w="200" w:type="dxa"/>
            <w:vAlign w:val="bottom"/>
            <w:shd w:val="clear" w:color="auto" w:fill="E7E7E8"/>
          </w:tcPr>
          <w:p>
            <w:pPr>
              <w:spacing w:after="0"/>
              <w:rPr>
                <w:sz w:val="24"/>
                <w:szCs w:val="24"/>
                <w:color w:val="auto"/>
              </w:rPr>
            </w:pPr>
          </w:p>
        </w:tc>
        <w:tc>
          <w:tcPr>
            <w:tcW w:w="1580" w:type="dxa"/>
            <w:vAlign w:val="bottom"/>
            <w:shd w:val="clear" w:color="auto" w:fill="E7E7E8"/>
          </w:tcPr>
          <w:p>
            <w:pPr>
              <w:spacing w:after="0"/>
              <w:rPr>
                <w:sz w:val="24"/>
                <w:szCs w:val="24"/>
                <w:color w:val="auto"/>
              </w:rPr>
            </w:pPr>
          </w:p>
        </w:tc>
        <w:tc>
          <w:tcPr>
            <w:tcW w:w="1100" w:type="dxa"/>
            <w:vAlign w:val="bottom"/>
            <w:shd w:val="clear" w:color="auto" w:fill="E7E7E8"/>
          </w:tcPr>
          <w:p>
            <w:pPr>
              <w:spacing w:after="0"/>
              <w:rPr>
                <w:sz w:val="24"/>
                <w:szCs w:val="24"/>
                <w:color w:val="auto"/>
              </w:rPr>
            </w:pPr>
          </w:p>
        </w:tc>
        <w:tc>
          <w:tcPr>
            <w:tcW w:w="2500" w:type="dxa"/>
            <w:vAlign w:val="bottom"/>
            <w:tcBorders>
              <w:right w:val="single" w:sz="8" w:color="D7282F"/>
            </w:tcBorders>
            <w:shd w:val="clear" w:color="auto" w:fill="E7E7E8"/>
          </w:tcPr>
          <w:p>
            <w:pPr>
              <w:spacing w:after="0"/>
              <w:rPr>
                <w:sz w:val="24"/>
                <w:szCs w:val="24"/>
                <w:color w:val="auto"/>
              </w:rPr>
            </w:pPr>
          </w:p>
        </w:tc>
        <w:tc>
          <w:tcPr>
            <w:tcW w:w="200" w:type="dxa"/>
            <w:vAlign w:val="bottom"/>
            <w:shd w:val="clear" w:color="auto" w:fill="E7E7E8"/>
          </w:tcPr>
          <w:p>
            <w:pPr>
              <w:spacing w:after="0"/>
              <w:rPr>
                <w:sz w:val="24"/>
                <w:szCs w:val="24"/>
                <w:color w:val="auto"/>
              </w:rPr>
            </w:pPr>
          </w:p>
        </w:tc>
        <w:tc>
          <w:tcPr>
            <w:tcW w:w="2460" w:type="dxa"/>
            <w:vAlign w:val="bottom"/>
            <w:shd w:val="clear" w:color="auto" w:fill="E7E7E8"/>
          </w:tcPr>
          <w:p>
            <w:pPr>
              <w:spacing w:after="0"/>
              <w:rPr>
                <w:sz w:val="24"/>
                <w:szCs w:val="24"/>
                <w:color w:val="auto"/>
              </w:rPr>
            </w:pPr>
          </w:p>
        </w:tc>
        <w:tc>
          <w:tcPr>
            <w:tcW w:w="320" w:type="dxa"/>
            <w:vAlign w:val="bottom"/>
            <w:shd w:val="clear" w:color="auto" w:fill="E7E7E8"/>
          </w:tcPr>
          <w:p>
            <w:pPr>
              <w:spacing w:after="0"/>
              <w:rPr>
                <w:sz w:val="24"/>
                <w:szCs w:val="24"/>
                <w:color w:val="auto"/>
              </w:rPr>
            </w:pPr>
          </w:p>
        </w:tc>
        <w:tc>
          <w:tcPr>
            <w:tcW w:w="2600" w:type="dxa"/>
            <w:vAlign w:val="bottom"/>
            <w:shd w:val="clear" w:color="auto" w:fill="E7E7E8"/>
          </w:tcPr>
          <w:p>
            <w:pPr>
              <w:spacing w:after="0"/>
              <w:rPr>
                <w:sz w:val="24"/>
                <w:szCs w:val="24"/>
                <w:color w:val="auto"/>
              </w:rPr>
            </w:pPr>
          </w:p>
        </w:tc>
      </w:tr>
    </w:tbl>
    <w:p>
      <w:pPr>
        <w:spacing w:after="0" w:line="18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Our businesses compete on a variety of factors such as performance, applied technology, product innovation, product recognition, quality, reliability, customer service, delivery, and price. Brand identity, service to customers, and quality are important competitive factors for our products and services. Our products face considerable price competition. While our competitive position varies among our products and services, we are a significant competitor in each of our major product and service areas.</w:t>
      </w:r>
    </w:p>
    <w:p>
      <w:pPr>
        <w:spacing w:after="0" w:line="236" w:lineRule="exact"/>
        <w:rPr>
          <w:sz w:val="20"/>
          <w:szCs w:val="20"/>
          <w:color w:val="auto"/>
        </w:rPr>
      </w:pPr>
    </w:p>
    <w:p>
      <w:pPr>
        <w:spacing w:after="0"/>
        <w:rPr>
          <w:sz w:val="20"/>
          <w:szCs w:val="20"/>
          <w:color w:val="auto"/>
        </w:rPr>
      </w:pPr>
      <w:r>
        <w:rPr>
          <w:rFonts w:ascii="Arial" w:cs="Arial" w:eastAsia="Arial" w:hAnsi="Arial"/>
          <w:sz w:val="29"/>
          <w:szCs w:val="29"/>
          <w:color w:val="D7282F"/>
        </w:rPr>
        <w:t>BACKLOG</w:t>
      </w:r>
    </w:p>
    <w:p>
      <w:pPr>
        <w:spacing w:after="0" w:line="238"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 xml:space="preserve">Our backlog represents the estimated remaining value of work to be performed under firm contracts. Backlog is equal to our remaining performance obligations under the contracts that meet the guidance on revenue from contracts with customers as discussed in Note 3 </w:t>
      </w:r>
      <w:r>
        <w:rPr>
          <w:rFonts w:ascii="Arial" w:cs="Arial" w:eastAsia="Arial" w:hAnsi="Arial"/>
          <w:sz w:val="16"/>
          <w:szCs w:val="16"/>
          <w:u w:val="single" w:color="auto"/>
          <w:color w:val="0000FF"/>
        </w:rPr>
        <w:t>Revenue Recognition and</w:t>
      </w:r>
      <w:r>
        <w:rPr>
          <w:rFonts w:ascii="Arial" w:cs="Arial" w:eastAsia="Arial" w:hAnsi="Arial"/>
          <w:sz w:val="16"/>
          <w:szCs w:val="16"/>
          <w:color w:val="auto"/>
        </w:rPr>
        <w:t xml:space="preserve"> </w:t>
      </w:r>
      <w:r>
        <w:rPr>
          <w:rFonts w:ascii="Arial" w:cs="Arial" w:eastAsia="Arial" w:hAnsi="Arial"/>
          <w:sz w:val="16"/>
          <w:szCs w:val="16"/>
          <w:u w:val="single" w:color="auto"/>
          <w:color w:val="0000FF"/>
        </w:rPr>
        <w:t>Contracts with Customers</w:t>
      </w:r>
      <w:r>
        <w:rPr>
          <w:rFonts w:ascii="Arial" w:cs="Arial" w:eastAsia="Arial" w:hAnsi="Arial"/>
          <w:sz w:val="16"/>
          <w:szCs w:val="16"/>
          <w:color w:val="0000FF"/>
        </w:rPr>
        <w:t xml:space="preserve"> </w:t>
      </w:r>
      <w:r>
        <w:rPr>
          <w:rFonts w:ascii="Arial" w:cs="Arial" w:eastAsia="Arial" w:hAnsi="Arial"/>
          <w:sz w:val="16"/>
          <w:szCs w:val="16"/>
          <w:color w:val="000000"/>
        </w:rPr>
        <w:t>of Notes to Consolidated Financial Statements. Backlog was $35,277 million and $31,777 million as of December 31, 2024, and</w:t>
      </w:r>
      <w:r>
        <w:rPr>
          <w:rFonts w:ascii="Arial" w:cs="Arial" w:eastAsia="Arial" w:hAnsi="Arial"/>
          <w:sz w:val="16"/>
          <w:szCs w:val="16"/>
          <w:color w:val="0000FF"/>
        </w:rPr>
        <w:t xml:space="preserve"> </w:t>
      </w:r>
      <w:r>
        <w:rPr>
          <w:rFonts w:ascii="Arial" w:cs="Arial" w:eastAsia="Arial" w:hAnsi="Arial"/>
          <w:sz w:val="16"/>
          <w:szCs w:val="16"/>
          <w:color w:val="000000"/>
        </w:rPr>
        <w:t>2023, respectively. We expect to recognize approximately 54% of our remaining performance obligations as revenue in 2025, and the remaining balance thereafter.</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29"/>
          <w:szCs w:val="29"/>
          <w:color w:val="D7282F"/>
        </w:rPr>
        <w:t>U.S. GOVERNMENT SALES</w:t>
      </w:r>
    </w:p>
    <w:p>
      <w:pPr>
        <w:spacing w:after="0" w:line="25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Company, principally through our Aerospace Technologies reportable business segment, sells to the U.S. government acting through its various departments and agencies and through prime contractors, including the U.S. Department of Defense (as both a prime contractor and subcontractor). We do not expect our overall operating results to be significantly affected by any proposed changes in 2025 federal defense spending due to the varied mix of the government programs which impact us (OEM production, engineering development programs, aftermarket spares and repairs, and overhaul programs), as well as our diversified customer base with commercial dual-use technologies.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480" w:type="dxa"/>
            <w:vAlign w:val="bottom"/>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2600" w:type="dxa"/>
            <w:vAlign w:val="bottom"/>
            <w:tcBorders>
              <w:bottom w:val="single" w:sz="8" w:color="D7282F"/>
            </w:tcBorders>
            <w:gridSpan w:val="5"/>
          </w:tcPr>
          <w:p>
            <w:pPr>
              <w:jc w:val="right"/>
              <w:ind w:right="388"/>
              <w:spacing w:after="0"/>
              <w:rPr>
                <w:sz w:val="20"/>
                <w:szCs w:val="20"/>
                <w:color w:val="auto"/>
              </w:rPr>
            </w:pPr>
            <w:r>
              <w:rPr>
                <w:rFonts w:ascii="Arial" w:cs="Arial" w:eastAsia="Arial" w:hAnsi="Arial"/>
                <w:sz w:val="14"/>
                <w:szCs w:val="14"/>
                <w:b w:val="1"/>
                <w:bCs w:val="1"/>
                <w:color w:val="auto"/>
              </w:rPr>
              <w:t>Years Ended December 31,</w:t>
            </w:r>
          </w:p>
        </w:tc>
      </w:tr>
      <w:tr>
        <w:trPr>
          <w:trHeight w:val="237"/>
        </w:trPr>
        <w:tc>
          <w:tcPr>
            <w:tcW w:w="84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U.S. government sales ($ in millions)</w:t>
            </w:r>
          </w:p>
        </w:tc>
        <w:tc>
          <w:tcPr>
            <w:tcW w:w="160" w:type="dxa"/>
            <w:vAlign w:val="bottom"/>
            <w:tcBorders>
              <w:bottom w:val="single" w:sz="8" w:color="D7282F"/>
            </w:tcBorders>
          </w:tcPr>
          <w:p>
            <w:pPr>
              <w:spacing w:after="0"/>
              <w:rPr>
                <w:sz w:val="20"/>
                <w:szCs w:val="20"/>
                <w:color w:val="auto"/>
              </w:rPr>
            </w:pPr>
          </w:p>
        </w:tc>
        <w:tc>
          <w:tcPr>
            <w:tcW w:w="700" w:type="dxa"/>
            <w:vAlign w:val="bottom"/>
            <w:tcBorders>
              <w:bottom w:val="single" w:sz="8" w:color="D7282F"/>
            </w:tcBorders>
          </w:tcPr>
          <w:p>
            <w:pPr>
              <w:jc w:val="right"/>
              <w:ind w:right="248"/>
              <w:spacing w:after="0"/>
              <w:rPr>
                <w:sz w:val="20"/>
                <w:szCs w:val="20"/>
                <w:color w:val="auto"/>
              </w:rPr>
            </w:pPr>
            <w:r>
              <w:rPr>
                <w:rFonts w:ascii="Arial" w:cs="Arial" w:eastAsia="Arial" w:hAnsi="Arial"/>
                <w:sz w:val="14"/>
                <w:szCs w:val="14"/>
                <w:b w:val="1"/>
                <w:bCs w:val="1"/>
                <w:color w:val="auto"/>
              </w:rPr>
              <w:t>2024</w:t>
            </w:r>
          </w:p>
        </w:tc>
        <w:tc>
          <w:tcPr>
            <w:tcW w:w="300" w:type="dxa"/>
            <w:vAlign w:val="bottom"/>
            <w:tcBorders>
              <w:bottom w:val="single" w:sz="8" w:color="D7282F"/>
            </w:tcBorders>
          </w:tcPr>
          <w:p>
            <w:pPr>
              <w:spacing w:after="0"/>
              <w:rPr>
                <w:sz w:val="20"/>
                <w:szCs w:val="20"/>
                <w:color w:val="auto"/>
              </w:rPr>
            </w:pPr>
          </w:p>
        </w:tc>
        <w:tc>
          <w:tcPr>
            <w:tcW w:w="700" w:type="dxa"/>
            <w:vAlign w:val="bottom"/>
            <w:tcBorders>
              <w:bottom w:val="single" w:sz="8" w:color="D7282F"/>
            </w:tcBorders>
          </w:tcPr>
          <w:p>
            <w:pPr>
              <w:jc w:val="right"/>
              <w:ind w:right="248"/>
              <w:spacing w:after="0"/>
              <w:rPr>
                <w:sz w:val="20"/>
                <w:szCs w:val="20"/>
                <w:color w:val="auto"/>
              </w:rPr>
            </w:pPr>
            <w:r>
              <w:rPr>
                <w:rFonts w:ascii="Arial" w:cs="Arial" w:eastAsia="Arial" w:hAnsi="Arial"/>
                <w:sz w:val="14"/>
                <w:szCs w:val="14"/>
                <w:b w:val="1"/>
                <w:bCs w:val="1"/>
                <w:color w:val="auto"/>
              </w:rPr>
              <w:t>2023</w:t>
            </w:r>
          </w:p>
        </w:tc>
        <w:tc>
          <w:tcPr>
            <w:tcW w:w="300" w:type="dxa"/>
            <w:vAlign w:val="bottom"/>
            <w:tcBorders>
              <w:bottom w:val="single" w:sz="8" w:color="D7282F"/>
            </w:tcBorders>
          </w:tcPr>
          <w:p>
            <w:pPr>
              <w:spacing w:after="0"/>
              <w:rPr>
                <w:sz w:val="20"/>
                <w:szCs w:val="20"/>
                <w:color w:val="auto"/>
              </w:rPr>
            </w:pPr>
          </w:p>
        </w:tc>
        <w:tc>
          <w:tcPr>
            <w:tcW w:w="60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2022</w:t>
            </w:r>
          </w:p>
        </w:tc>
      </w:tr>
      <w:tr>
        <w:trPr>
          <w:trHeight w:val="193"/>
        </w:trPr>
        <w:tc>
          <w:tcPr>
            <w:tcW w:w="8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Sales to the U.S. Department of Defense</w:t>
            </w:r>
          </w:p>
        </w:tc>
        <w:tc>
          <w:tcPr>
            <w:tcW w:w="1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3,830</w:t>
            </w:r>
          </w:p>
        </w:tc>
        <w:tc>
          <w:tcPr>
            <w:tcW w:w="3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2,933</w:t>
            </w:r>
          </w:p>
        </w:tc>
        <w:tc>
          <w:tcPr>
            <w:tcW w:w="3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2,886</w:t>
            </w:r>
          </w:p>
        </w:tc>
      </w:tr>
      <w:tr>
        <w:trPr>
          <w:trHeight w:val="196"/>
        </w:trPr>
        <w:tc>
          <w:tcPr>
            <w:tcW w:w="84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Sales to other U.S. government departments and agencies</w:t>
            </w:r>
          </w:p>
        </w:tc>
        <w:tc>
          <w:tcPr>
            <w:tcW w:w="16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516</w:t>
            </w:r>
          </w:p>
        </w:tc>
        <w:tc>
          <w:tcPr>
            <w:tcW w:w="30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508</w:t>
            </w:r>
          </w:p>
        </w:tc>
        <w:tc>
          <w:tcPr>
            <w:tcW w:w="30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546</w:t>
            </w:r>
          </w:p>
        </w:tc>
      </w:tr>
      <w:tr>
        <w:trPr>
          <w:trHeight w:val="199"/>
        </w:trPr>
        <w:tc>
          <w:tcPr>
            <w:tcW w:w="848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sales to the U.S. government</w:t>
            </w: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4,346</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3,441</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3,432</w:t>
            </w:r>
          </w:p>
        </w:tc>
      </w:tr>
    </w:tbl>
    <w:p>
      <w:pPr>
        <w:spacing w:after="0" w:line="200" w:lineRule="exact"/>
        <w:rPr>
          <w:sz w:val="20"/>
          <w:szCs w:val="20"/>
          <w:color w:val="auto"/>
        </w:rPr>
      </w:pPr>
    </w:p>
    <w:p>
      <w:pPr>
        <w:spacing w:after="0" w:line="308" w:lineRule="exact"/>
        <w:rPr>
          <w:sz w:val="20"/>
          <w:szCs w:val="20"/>
          <w:color w:val="auto"/>
        </w:rPr>
      </w:pPr>
    </w:p>
    <w:p>
      <w:pPr>
        <w:spacing w:after="0"/>
        <w:tabs>
          <w:tab w:leader="none" w:pos="280" w:val="left"/>
        </w:tabs>
        <w:rPr>
          <w:sz w:val="20"/>
          <w:szCs w:val="20"/>
          <w:color w:val="auto"/>
        </w:rPr>
      </w:pPr>
      <w:r>
        <w:rPr>
          <w:rFonts w:ascii="Arial" w:cs="Arial" w:eastAsia="Arial" w:hAnsi="Arial"/>
          <w:sz w:val="18"/>
          <w:szCs w:val="18"/>
          <w:b w:val="1"/>
          <w:bCs w:val="1"/>
          <w:color w:val="D7282F"/>
        </w:rPr>
        <w:t>7</w:t>
      </w:r>
      <w:r>
        <w:rPr>
          <w:sz w:val="20"/>
          <w:szCs w:val="20"/>
          <w:color w:val="auto"/>
        </w:rPr>
        <w:tab/>
      </w: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9" w:name="page10"/>
    <w:bookmarkEnd w:id="9"/>
    <w:p>
      <w:pPr>
        <w:ind w:left="20"/>
        <w:spacing w:after="0"/>
        <w:tabs>
          <w:tab w:leader="none" w:pos="992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ABOUT HONEYWELL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9"/>
          <w:szCs w:val="29"/>
          <w:color w:val="D7282F"/>
        </w:rPr>
        <w:t>INTERNATIONAL OPERATIONS</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engage in manufacturing, sales, service, and research and development globally. U.S. exports and non-U.S. manufactured products are significant to our operations. U.S. exports represented 14% of our total sales in 2024, 13% in 2023, and 12% in 2022. Non-U.S. manufactured products and services, mainly in Europe and Asia, were 43% of our total sales in 2024, 42% in 2023, and 40% in 2022.</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200" w:type="dxa"/>
            <w:vAlign w:val="bottom"/>
          </w:tcPr>
          <w:p>
            <w:pPr>
              <w:spacing w:after="0"/>
              <w:rPr>
                <w:sz w:val="17"/>
                <w:szCs w:val="17"/>
                <w:color w:val="auto"/>
              </w:rPr>
            </w:pPr>
          </w:p>
        </w:tc>
        <w:tc>
          <w:tcPr>
            <w:tcW w:w="1580" w:type="dxa"/>
            <w:vAlign w:val="bottom"/>
            <w:tcBorders>
              <w:bottom w:val="single" w:sz="8" w:color="D7282F"/>
            </w:tcBorders>
          </w:tcPr>
          <w:p>
            <w:pPr>
              <w:spacing w:after="0"/>
              <w:rPr>
                <w:sz w:val="17"/>
                <w:szCs w:val="17"/>
                <w:color w:val="auto"/>
              </w:rPr>
            </w:pPr>
          </w:p>
        </w:tc>
        <w:tc>
          <w:tcPr>
            <w:tcW w:w="3080" w:type="dxa"/>
            <w:vAlign w:val="bottom"/>
            <w:tcBorders>
              <w:bottom w:val="single" w:sz="8" w:color="D7282F"/>
            </w:tcBorders>
            <w:gridSpan w:val="2"/>
          </w:tcPr>
          <w:p>
            <w:pPr>
              <w:jc w:val="right"/>
              <w:ind w:right="508"/>
              <w:spacing w:after="0"/>
              <w:rPr>
                <w:sz w:val="20"/>
                <w:szCs w:val="20"/>
                <w:color w:val="auto"/>
              </w:rPr>
            </w:pPr>
            <w:r>
              <w:rPr>
                <w:rFonts w:ascii="Arial" w:cs="Arial" w:eastAsia="Arial" w:hAnsi="Arial"/>
                <w:sz w:val="14"/>
                <w:szCs w:val="14"/>
                <w:b w:val="1"/>
                <w:bCs w:val="1"/>
                <w:color w:val="auto"/>
              </w:rPr>
              <w:t>Year Ended December 31, 2024</w:t>
            </w:r>
          </w:p>
        </w:tc>
        <w:tc>
          <w:tcPr>
            <w:tcW w:w="1380" w:type="dxa"/>
            <w:vAlign w:val="bottom"/>
            <w:tcBorders>
              <w:bottom w:val="single" w:sz="8" w:color="D7282F"/>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5200" w:type="dxa"/>
            <w:vAlign w:val="bottom"/>
          </w:tcPr>
          <w:p>
            <w:pPr>
              <w:spacing w:after="0"/>
              <w:rPr>
                <w:sz w:val="15"/>
                <w:szCs w:val="15"/>
                <w:color w:val="auto"/>
              </w:rPr>
            </w:pPr>
          </w:p>
        </w:tc>
        <w:tc>
          <w:tcPr>
            <w:tcW w:w="1580" w:type="dxa"/>
            <w:vAlign w:val="bottom"/>
            <w:vMerge w:val="restart"/>
          </w:tcPr>
          <w:p>
            <w:pPr>
              <w:jc w:val="right"/>
              <w:ind w:right="468"/>
              <w:spacing w:after="0"/>
              <w:rPr>
                <w:sz w:val="20"/>
                <w:szCs w:val="20"/>
                <w:color w:val="auto"/>
              </w:rPr>
            </w:pPr>
            <w:r>
              <w:rPr>
                <w:rFonts w:ascii="Arial" w:cs="Arial" w:eastAsia="Arial" w:hAnsi="Arial"/>
                <w:sz w:val="14"/>
                <w:szCs w:val="14"/>
                <w:b w:val="1"/>
                <w:bCs w:val="1"/>
                <w:color w:val="auto"/>
              </w:rPr>
              <w:t>Aerospace</w:t>
            </w:r>
          </w:p>
        </w:tc>
        <w:tc>
          <w:tcPr>
            <w:tcW w:w="1560" w:type="dxa"/>
            <w:vAlign w:val="bottom"/>
            <w:vMerge w:val="restart"/>
          </w:tcPr>
          <w:p>
            <w:pPr>
              <w:jc w:val="right"/>
              <w:ind w:right="508"/>
              <w:spacing w:after="0"/>
              <w:rPr>
                <w:sz w:val="20"/>
                <w:szCs w:val="20"/>
                <w:color w:val="auto"/>
              </w:rPr>
            </w:pPr>
            <w:r>
              <w:rPr>
                <w:rFonts w:ascii="Arial" w:cs="Arial" w:eastAsia="Arial" w:hAnsi="Arial"/>
                <w:sz w:val="14"/>
                <w:szCs w:val="14"/>
                <w:b w:val="1"/>
                <w:bCs w:val="1"/>
                <w:color w:val="auto"/>
              </w:rPr>
              <w:t>Industrial</w:t>
            </w:r>
          </w:p>
        </w:tc>
        <w:tc>
          <w:tcPr>
            <w:tcW w:w="1520" w:type="dxa"/>
            <w:vAlign w:val="bottom"/>
            <w:vMerge w:val="restart"/>
          </w:tcPr>
          <w:p>
            <w:pPr>
              <w:jc w:val="right"/>
              <w:ind w:right="508"/>
              <w:spacing w:after="0"/>
              <w:rPr>
                <w:sz w:val="20"/>
                <w:szCs w:val="20"/>
                <w:color w:val="auto"/>
              </w:rPr>
            </w:pPr>
            <w:r>
              <w:rPr>
                <w:rFonts w:ascii="Arial" w:cs="Arial" w:eastAsia="Arial" w:hAnsi="Arial"/>
                <w:sz w:val="14"/>
                <w:szCs w:val="14"/>
                <w:b w:val="1"/>
                <w:bCs w:val="1"/>
                <w:color w:val="auto"/>
              </w:rPr>
              <w:t>Building</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rPr>
              <w:t>Energy and</w:t>
            </w:r>
          </w:p>
        </w:tc>
        <w:tc>
          <w:tcPr>
            <w:tcW w:w="0" w:type="dxa"/>
            <w:vAlign w:val="bottom"/>
          </w:tcPr>
          <w:p>
            <w:pPr>
              <w:spacing w:after="0"/>
              <w:rPr>
                <w:sz w:val="1"/>
                <w:szCs w:val="1"/>
                <w:color w:val="auto"/>
              </w:rPr>
            </w:pPr>
          </w:p>
        </w:tc>
      </w:tr>
      <w:tr>
        <w:trPr>
          <w:trHeight w:val="144"/>
        </w:trPr>
        <w:tc>
          <w:tcPr>
            <w:tcW w:w="52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Manufactured products and systems and performance of services</w:t>
            </w:r>
          </w:p>
        </w:tc>
        <w:tc>
          <w:tcPr>
            <w:tcW w:w="1580" w:type="dxa"/>
            <w:vAlign w:val="bottom"/>
            <w:vMerge w:val="continue"/>
          </w:tcPr>
          <w:p>
            <w:pPr>
              <w:spacing w:after="0"/>
              <w:rPr>
                <w:sz w:val="12"/>
                <w:szCs w:val="12"/>
                <w:color w:val="auto"/>
              </w:rPr>
            </w:pPr>
          </w:p>
        </w:tc>
        <w:tc>
          <w:tcPr>
            <w:tcW w:w="1560" w:type="dxa"/>
            <w:vAlign w:val="bottom"/>
            <w:vMerge w:val="continue"/>
          </w:tcPr>
          <w:p>
            <w:pPr>
              <w:spacing w:after="0"/>
              <w:rPr>
                <w:sz w:val="12"/>
                <w:szCs w:val="12"/>
                <w:color w:val="auto"/>
              </w:rPr>
            </w:pPr>
          </w:p>
        </w:tc>
        <w:tc>
          <w:tcPr>
            <w:tcW w:w="1520" w:type="dxa"/>
            <w:vAlign w:val="bottom"/>
            <w:vMerge w:val="continue"/>
          </w:tcPr>
          <w:p>
            <w:pPr>
              <w:spacing w:after="0"/>
              <w:rPr>
                <w:sz w:val="12"/>
                <w:szCs w:val="12"/>
                <w:color w:val="auto"/>
              </w:rPr>
            </w:pPr>
          </w:p>
        </w:tc>
        <w:tc>
          <w:tcPr>
            <w:tcW w:w="13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Sustainability</w:t>
            </w:r>
          </w:p>
        </w:tc>
        <w:tc>
          <w:tcPr>
            <w:tcW w:w="0" w:type="dxa"/>
            <w:vAlign w:val="bottom"/>
          </w:tcPr>
          <w:p>
            <w:pPr>
              <w:spacing w:after="0"/>
              <w:rPr>
                <w:sz w:val="1"/>
                <w:szCs w:val="1"/>
                <w:color w:val="auto"/>
              </w:rPr>
            </w:pPr>
          </w:p>
        </w:tc>
      </w:tr>
      <w:tr>
        <w:trPr>
          <w:trHeight w:val="189"/>
        </w:trPr>
        <w:tc>
          <w:tcPr>
            <w:tcW w:w="5200" w:type="dxa"/>
            <w:vAlign w:val="bottom"/>
            <w:tcBorders>
              <w:bottom w:val="single" w:sz="8" w:color="D7282F"/>
            </w:tcBorders>
            <w:vMerge w:val="continue"/>
          </w:tcPr>
          <w:p>
            <w:pPr>
              <w:spacing w:after="0"/>
              <w:rPr>
                <w:sz w:val="16"/>
                <w:szCs w:val="16"/>
                <w:color w:val="auto"/>
              </w:rPr>
            </w:pPr>
          </w:p>
        </w:tc>
        <w:tc>
          <w:tcPr>
            <w:tcW w:w="1580" w:type="dxa"/>
            <w:vAlign w:val="bottom"/>
            <w:tcBorders>
              <w:bottom w:val="single" w:sz="8" w:color="D7282F"/>
            </w:tcBorders>
          </w:tcPr>
          <w:p>
            <w:pPr>
              <w:jc w:val="right"/>
              <w:ind w:right="368"/>
              <w:spacing w:after="0"/>
              <w:rPr>
                <w:sz w:val="20"/>
                <w:szCs w:val="20"/>
                <w:color w:val="auto"/>
              </w:rPr>
            </w:pPr>
            <w:r>
              <w:rPr>
                <w:rFonts w:ascii="Arial" w:cs="Arial" w:eastAsia="Arial" w:hAnsi="Arial"/>
                <w:sz w:val="14"/>
                <w:szCs w:val="14"/>
                <w:b w:val="1"/>
                <w:bCs w:val="1"/>
                <w:color w:val="auto"/>
              </w:rPr>
              <w:t>Technologies</w:t>
            </w:r>
          </w:p>
        </w:tc>
        <w:tc>
          <w:tcPr>
            <w:tcW w:w="1560" w:type="dxa"/>
            <w:vAlign w:val="bottom"/>
            <w:tcBorders>
              <w:bottom w:val="single" w:sz="8" w:color="D7282F"/>
            </w:tcBorders>
          </w:tcPr>
          <w:p>
            <w:pPr>
              <w:jc w:val="right"/>
              <w:ind w:right="428"/>
              <w:spacing w:after="0"/>
              <w:rPr>
                <w:sz w:val="20"/>
                <w:szCs w:val="20"/>
                <w:color w:val="auto"/>
              </w:rPr>
            </w:pPr>
            <w:r>
              <w:rPr>
                <w:rFonts w:ascii="Arial" w:cs="Arial" w:eastAsia="Arial" w:hAnsi="Arial"/>
                <w:sz w:val="14"/>
                <w:szCs w:val="14"/>
                <w:b w:val="1"/>
                <w:bCs w:val="1"/>
                <w:color w:val="auto"/>
              </w:rPr>
              <w:t>Automation</w:t>
            </w:r>
          </w:p>
        </w:tc>
        <w:tc>
          <w:tcPr>
            <w:tcW w:w="1520" w:type="dxa"/>
            <w:vAlign w:val="bottom"/>
            <w:tcBorders>
              <w:bottom w:val="single" w:sz="8" w:color="D7282F"/>
            </w:tcBorders>
          </w:tcPr>
          <w:p>
            <w:pPr>
              <w:jc w:val="right"/>
              <w:ind w:right="388"/>
              <w:spacing w:after="0"/>
              <w:rPr>
                <w:sz w:val="20"/>
                <w:szCs w:val="20"/>
                <w:color w:val="auto"/>
              </w:rPr>
            </w:pPr>
            <w:r>
              <w:rPr>
                <w:rFonts w:ascii="Arial" w:cs="Arial" w:eastAsia="Arial" w:hAnsi="Arial"/>
                <w:sz w:val="14"/>
                <w:szCs w:val="14"/>
                <w:b w:val="1"/>
                <w:bCs w:val="1"/>
                <w:color w:val="auto"/>
              </w:rPr>
              <w:t>Automation</w:t>
            </w:r>
          </w:p>
        </w:tc>
        <w:tc>
          <w:tcPr>
            <w:tcW w:w="1380" w:type="dxa"/>
            <w:vAlign w:val="bottom"/>
            <w:tcBorders>
              <w:bottom w:val="single" w:sz="8" w:color="D7282F"/>
            </w:tcBorders>
          </w:tcPr>
          <w:p>
            <w:pPr>
              <w:jc w:val="center"/>
              <w:spacing w:after="0"/>
              <w:rPr>
                <w:sz w:val="20"/>
                <w:szCs w:val="20"/>
                <w:color w:val="auto"/>
              </w:rPr>
            </w:pPr>
            <w:r>
              <w:rPr>
                <w:rFonts w:ascii="Arial" w:cs="Arial" w:eastAsia="Arial" w:hAnsi="Arial"/>
                <w:sz w:val="14"/>
                <w:szCs w:val="14"/>
                <w:b w:val="1"/>
                <w:bCs w:val="1"/>
                <w:color w:val="auto"/>
              </w:rPr>
              <w:t>Solutions</w:t>
            </w:r>
          </w:p>
        </w:tc>
        <w:tc>
          <w:tcPr>
            <w:tcW w:w="0" w:type="dxa"/>
            <w:vAlign w:val="bottom"/>
          </w:tcPr>
          <w:p>
            <w:pPr>
              <w:spacing w:after="0"/>
              <w:rPr>
                <w:sz w:val="1"/>
                <w:szCs w:val="1"/>
                <w:color w:val="auto"/>
              </w:rPr>
            </w:pPr>
          </w:p>
        </w:tc>
      </w:tr>
      <w:tr>
        <w:trPr>
          <w:trHeight w:val="195"/>
        </w:trPr>
        <w:tc>
          <w:tcPr>
            <w:tcW w:w="5200" w:type="dxa"/>
            <w:vAlign w:val="bottom"/>
            <w:tcBorders>
              <w:bottom w:val="single" w:sz="8" w:color="888B8D"/>
            </w:tcBorders>
          </w:tcPr>
          <w:p>
            <w:pPr>
              <w:spacing w:after="0"/>
              <w:rPr>
                <w:sz w:val="16"/>
                <w:szCs w:val="16"/>
                <w:color w:val="auto"/>
              </w:rPr>
            </w:pPr>
          </w:p>
        </w:tc>
        <w:tc>
          <w:tcPr>
            <w:tcW w:w="1580" w:type="dxa"/>
            <w:vAlign w:val="bottom"/>
            <w:tcBorders>
              <w:bottom w:val="single" w:sz="8" w:color="888B8D"/>
            </w:tcBorders>
          </w:tcPr>
          <w:p>
            <w:pPr>
              <w:spacing w:after="0"/>
              <w:rPr>
                <w:sz w:val="16"/>
                <w:szCs w:val="16"/>
                <w:color w:val="auto"/>
              </w:rPr>
            </w:pPr>
          </w:p>
        </w:tc>
        <w:tc>
          <w:tcPr>
            <w:tcW w:w="3080" w:type="dxa"/>
            <w:vAlign w:val="bottom"/>
            <w:tcBorders>
              <w:bottom w:val="single" w:sz="8" w:color="888B8D"/>
            </w:tcBorders>
            <w:gridSpan w:val="2"/>
          </w:tcPr>
          <w:p>
            <w:pPr>
              <w:jc w:val="right"/>
              <w:ind w:right="828"/>
              <w:spacing w:after="0"/>
              <w:rPr>
                <w:sz w:val="20"/>
                <w:szCs w:val="20"/>
                <w:color w:val="auto"/>
              </w:rPr>
            </w:pPr>
            <w:r>
              <w:rPr>
                <w:rFonts w:ascii="Arial" w:cs="Arial" w:eastAsia="Arial" w:hAnsi="Arial"/>
                <w:sz w:val="14"/>
                <w:szCs w:val="14"/>
                <w:b w:val="1"/>
                <w:bCs w:val="1"/>
                <w:color w:val="auto"/>
              </w:rPr>
              <w:t>(% of Segment Sales)</w:t>
            </w:r>
          </w:p>
        </w:tc>
        <w:tc>
          <w:tcPr>
            <w:tcW w:w="1380" w:type="dxa"/>
            <w:vAlign w:val="bottom"/>
            <w:tcBorders>
              <w:bottom w:val="single" w:sz="8" w:color="888B8D"/>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20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U.S. exports</w:t>
            </w:r>
          </w:p>
        </w:tc>
        <w:tc>
          <w:tcPr>
            <w:tcW w:w="1580" w:type="dxa"/>
            <w:vAlign w:val="bottom"/>
            <w:tcBorders>
              <w:bottom w:val="single" w:sz="8" w:color="888B8D"/>
            </w:tcBorders>
          </w:tcPr>
          <w:p>
            <w:pPr>
              <w:jc w:val="right"/>
              <w:ind w:right="168"/>
              <w:spacing w:after="0"/>
              <w:rPr>
                <w:sz w:val="20"/>
                <w:szCs w:val="20"/>
                <w:color w:val="auto"/>
              </w:rPr>
            </w:pPr>
            <w:r>
              <w:rPr>
                <w:rFonts w:ascii="Arial" w:cs="Arial" w:eastAsia="Arial" w:hAnsi="Arial"/>
                <w:sz w:val="14"/>
                <w:szCs w:val="14"/>
                <w:color w:val="auto"/>
              </w:rPr>
              <w:t>23 %</w:t>
            </w:r>
          </w:p>
        </w:tc>
        <w:tc>
          <w:tcPr>
            <w:tcW w:w="1560" w:type="dxa"/>
            <w:vAlign w:val="bottom"/>
            <w:tcBorders>
              <w:bottom w:val="single" w:sz="8" w:color="888B8D"/>
            </w:tcBorders>
          </w:tcPr>
          <w:p>
            <w:pPr>
              <w:jc w:val="right"/>
              <w:ind w:right="188"/>
              <w:spacing w:after="0"/>
              <w:rPr>
                <w:sz w:val="20"/>
                <w:szCs w:val="20"/>
                <w:color w:val="auto"/>
              </w:rPr>
            </w:pPr>
            <w:r>
              <w:rPr>
                <w:rFonts w:ascii="Arial" w:cs="Arial" w:eastAsia="Arial" w:hAnsi="Arial"/>
                <w:sz w:val="14"/>
                <w:szCs w:val="14"/>
                <w:color w:val="auto"/>
              </w:rPr>
              <w:t>3 %</w:t>
            </w:r>
          </w:p>
        </w:tc>
        <w:tc>
          <w:tcPr>
            <w:tcW w:w="1520" w:type="dxa"/>
            <w:vAlign w:val="bottom"/>
            <w:tcBorders>
              <w:bottom w:val="single" w:sz="8" w:color="888B8D"/>
            </w:tcBorders>
          </w:tcPr>
          <w:p>
            <w:pPr>
              <w:jc w:val="right"/>
              <w:ind w:right="148"/>
              <w:spacing w:after="0"/>
              <w:rPr>
                <w:sz w:val="20"/>
                <w:szCs w:val="20"/>
                <w:color w:val="auto"/>
              </w:rPr>
            </w:pPr>
            <w:r>
              <w:rPr>
                <w:rFonts w:ascii="Arial" w:cs="Arial" w:eastAsia="Arial" w:hAnsi="Arial"/>
                <w:sz w:val="14"/>
                <w:szCs w:val="14"/>
                <w:color w:val="auto"/>
              </w:rPr>
              <w:t>2 %</w:t>
            </w:r>
          </w:p>
        </w:tc>
        <w:tc>
          <w:tcPr>
            <w:tcW w:w="138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23 %</w:t>
            </w:r>
          </w:p>
        </w:tc>
        <w:tc>
          <w:tcPr>
            <w:tcW w:w="0" w:type="dxa"/>
            <w:vAlign w:val="bottom"/>
          </w:tcPr>
          <w:p>
            <w:pPr>
              <w:spacing w:after="0"/>
              <w:rPr>
                <w:sz w:val="1"/>
                <w:szCs w:val="1"/>
                <w:color w:val="auto"/>
              </w:rPr>
            </w:pPr>
          </w:p>
        </w:tc>
      </w:tr>
      <w:tr>
        <w:trPr>
          <w:trHeight w:val="196"/>
        </w:trPr>
        <w:tc>
          <w:tcPr>
            <w:tcW w:w="520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Non-U.S. manufactured products/services</w:t>
            </w:r>
          </w:p>
        </w:tc>
        <w:tc>
          <w:tcPr>
            <w:tcW w:w="158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color w:val="auto"/>
              </w:rPr>
              <w:t>29 %</w:t>
            </w:r>
          </w:p>
        </w:tc>
        <w:tc>
          <w:tcPr>
            <w:tcW w:w="1560" w:type="dxa"/>
            <w:vAlign w:val="bottom"/>
            <w:tcBorders>
              <w:bottom w:val="single" w:sz="8" w:color="D7282F"/>
            </w:tcBorders>
          </w:tcPr>
          <w:p>
            <w:pPr>
              <w:jc w:val="right"/>
              <w:ind w:right="188"/>
              <w:spacing w:after="0"/>
              <w:rPr>
                <w:sz w:val="20"/>
                <w:szCs w:val="20"/>
                <w:color w:val="auto"/>
              </w:rPr>
            </w:pPr>
            <w:r>
              <w:rPr>
                <w:rFonts w:ascii="Arial" w:cs="Arial" w:eastAsia="Arial" w:hAnsi="Arial"/>
                <w:sz w:val="14"/>
                <w:szCs w:val="14"/>
                <w:color w:val="auto"/>
              </w:rPr>
              <w:t>56 %</w:t>
            </w:r>
          </w:p>
        </w:tc>
        <w:tc>
          <w:tcPr>
            <w:tcW w:w="152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color w:val="auto"/>
              </w:rPr>
              <w:t>58 %</w:t>
            </w:r>
          </w:p>
        </w:tc>
        <w:tc>
          <w:tcPr>
            <w:tcW w:w="13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42 %</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 xml:space="preserve">Information related to risks associated with our foreign operations is included in the section titled </w:t>
      </w:r>
      <w:r>
        <w:rPr>
          <w:rFonts w:ascii="Arial" w:cs="Arial" w:eastAsia="Arial" w:hAnsi="Arial"/>
          <w:sz w:val="16"/>
          <w:szCs w:val="16"/>
          <w:u w:val="single" w:color="auto"/>
          <w:color w:val="0000FF"/>
        </w:rPr>
        <w:t>Risk Factors</w:t>
      </w:r>
      <w:r>
        <w:rPr>
          <w:rFonts w:ascii="Arial" w:cs="Arial" w:eastAsia="Arial" w:hAnsi="Arial"/>
          <w:sz w:val="16"/>
          <w:szCs w:val="16"/>
          <w:color w:val="auto"/>
        </w:rPr>
        <w:t xml:space="preserve"> under the caption “Macroeconomic and Industry Risks.”</w:t>
      </w:r>
    </w:p>
    <w:p>
      <w:pPr>
        <w:spacing w:after="0" w:line="219" w:lineRule="exact"/>
        <w:rPr>
          <w:sz w:val="20"/>
          <w:szCs w:val="20"/>
          <w:color w:val="auto"/>
        </w:rPr>
      </w:pPr>
    </w:p>
    <w:p>
      <w:pPr>
        <w:spacing w:after="0"/>
        <w:rPr>
          <w:sz w:val="20"/>
          <w:szCs w:val="20"/>
          <w:color w:val="auto"/>
        </w:rPr>
      </w:pPr>
      <w:r>
        <w:rPr>
          <w:rFonts w:ascii="Arial" w:cs="Arial" w:eastAsia="Arial" w:hAnsi="Arial"/>
          <w:sz w:val="29"/>
          <w:szCs w:val="29"/>
          <w:color w:val="D7282F"/>
        </w:rPr>
        <w:t>RAW MATERIALS</w:t>
      </w:r>
    </w:p>
    <w:p>
      <w:pPr>
        <w:spacing w:after="0" w:line="238"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 vast majority of principal raw materials used in our operations are readily available. We maintain mitigation strategies to reduce the impact of disruptions, including digital solutions to assist in identifying and managing shortages, pricing actions, longer term planning for constrained materials, material supply tracking tools, and direct engagement with key suppliers to meet customer demand. We assist certain suppliers facing manufacturing challenges by committing our own resources to their sites and facilities. Our relationships with primary and secondary suppliers allow us to reliably source key components and raw materials. Where we cannot procure key components or raw materials, we consider altering existing products and developing new products to satisfy customer needs. Alterations to existing products and the development of new products undergo product quality controls and engineering qualification, prior to releasing to our customers. We continue to leverage existing supplier relationships and are not dependent on any one supplier for a material amount of our raw materials. We believe these mitigation strategies enable us to reduce supply risk, accelerate new product innovation, and expand our penetration in the markets we serve. Additionally, due to the strenuous quality controls and product qualification we perform on a new or altered product, these mitigation strategies have not impacted, and we do not expect them to impact, product quality or reliability.</w:t>
      </w:r>
    </w:p>
    <w:p>
      <w:pPr>
        <w:spacing w:after="0" w:line="7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Prices of certain key raw materials are expected to fluctuate. We offset potential raw material cost increases with formula-driven or long-term supply agreements, price increases, and hedging activities, where feasible. Tariffs on key components, particularly those resulting from trade tensions between major economies, continue to affect pricing and availability. We believe our short-term and long-term mitigation strategies position us well to mitigate and reduce the impact these factors may have on our businesses. As such, we do not presently anticipate that a shortage of raw materials will cause any material adverse impacts during 2025.</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See the section titled </w:t>
      </w:r>
      <w:r>
        <w:rPr>
          <w:rFonts w:ascii="Arial" w:cs="Arial" w:eastAsia="Arial" w:hAnsi="Arial"/>
          <w:sz w:val="16"/>
          <w:szCs w:val="16"/>
          <w:u w:val="single" w:color="auto"/>
          <w:color w:val="0000FF"/>
        </w:rPr>
        <w:t>Risk Factors</w:t>
      </w:r>
      <w:r>
        <w:rPr>
          <w:rFonts w:ascii="Arial" w:cs="Arial" w:eastAsia="Arial" w:hAnsi="Arial"/>
          <w:sz w:val="16"/>
          <w:szCs w:val="16"/>
          <w:color w:val="auto"/>
        </w:rPr>
        <w:t xml:space="preserve"> for additional information on supply chain constraints.</w:t>
      </w:r>
    </w:p>
    <w:p>
      <w:pPr>
        <w:spacing w:after="0" w:line="284" w:lineRule="exact"/>
        <w:rPr>
          <w:sz w:val="20"/>
          <w:szCs w:val="20"/>
          <w:color w:val="auto"/>
        </w:rPr>
      </w:pPr>
    </w:p>
    <w:p>
      <w:pPr>
        <w:spacing w:after="0"/>
        <w:rPr>
          <w:sz w:val="20"/>
          <w:szCs w:val="20"/>
          <w:color w:val="auto"/>
        </w:rPr>
      </w:pPr>
      <w:r>
        <w:rPr>
          <w:rFonts w:ascii="Arial" w:cs="Arial" w:eastAsia="Arial" w:hAnsi="Arial"/>
          <w:sz w:val="29"/>
          <w:szCs w:val="29"/>
          <w:color w:val="D7282F"/>
        </w:rPr>
        <w:t>PATENTS, TRADEMARKS, LICENSES, AND DISTRIBUTION RIGHTS</w:t>
      </w:r>
    </w:p>
    <w:p>
      <w:pPr>
        <w:spacing w:after="0" w:line="25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Our reportable business segments are not dependent upon any single patent or related group of patents, trademarks, licenses, or distribution rights. In our judgment, our intellectual property rights are adequate for the conduct of our business. We believe that, in the aggregate, the rights under our patents, trademarks, licenses, and distribution rights are generally important to our operations, but we do not consider any individual patent, trademark, or any licensing or distribution rights related to a specific process or product to be of material importance in relation to our total business.</w:t>
      </w:r>
    </w:p>
    <w:p>
      <w:pPr>
        <w:spacing w:after="0" w:line="200" w:lineRule="exact"/>
        <w:rPr>
          <w:sz w:val="20"/>
          <w:szCs w:val="20"/>
          <w:color w:val="auto"/>
        </w:rPr>
      </w:pPr>
    </w:p>
    <w:p>
      <w:pPr>
        <w:spacing w:after="0" w:line="204" w:lineRule="exact"/>
        <w:rPr>
          <w:sz w:val="20"/>
          <w:szCs w:val="20"/>
          <w:color w:val="auto"/>
        </w:rPr>
      </w:pPr>
    </w:p>
    <w:p>
      <w:pPr>
        <w:ind w:left="300" w:hanging="292"/>
        <w:spacing w:after="0"/>
        <w:tabs>
          <w:tab w:leader="none" w:pos="300" w:val="left"/>
        </w:tabs>
        <w:numPr>
          <w:ilvl w:val="0"/>
          <w:numId w:val="34"/>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10" w:name="page11"/>
    <w:bookmarkEnd w:id="10"/>
    <w:p>
      <w:pPr>
        <w:ind w:left="20"/>
        <w:spacing w:after="0"/>
        <w:tabs>
          <w:tab w:leader="none" w:pos="992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ABOUT HONEYWELL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9"/>
          <w:szCs w:val="29"/>
          <w:color w:val="D7282F"/>
        </w:rPr>
        <w:t>REGULATIONS</w:t>
      </w:r>
    </w:p>
    <w:p>
      <w:pPr>
        <w:spacing w:after="0" w:line="25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Our operations are subject to various federal, state, local, and foreign government regulations, including requirements regarding the protection of human health and the environment. We design our policies, practices, and procedures to provide a safe operating environment, to prevent unreasonable risk of environmental damage, and of resulting financial liability, in connection with our business. Some risk of environmental damage is, however, inherent in some of our operations and products, as it is with other companies engaged in similar businesses.</w:t>
      </w:r>
    </w:p>
    <w:p>
      <w:pPr>
        <w:spacing w:after="0" w:line="6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engage in the handling, manufacturing, use, and disposal of many substances classified as hazardous by one or more regulatory agencies. We design policies, practices, and procedures to prevent unreasonable risk of personal injury or environmental damage, and to ensure that our handling, manufacture, use, and disposal of these substances meet or exceed environmental and safety laws and regulations. It is possible that future knowledge or other developments, such as improved capability to detect substances in the environment or increasingly strict environmental laws and standards and enforcement policies, could bring into question our current or past handling, manufacture, use, or disposal of these substances.</w:t>
      </w:r>
    </w:p>
    <w:p>
      <w:pPr>
        <w:spacing w:after="0" w:line="6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Among other environmental requirements, we are subject to the Federal Superfund and similar state and foreign laws and regulations, under which we have been designated as a potentially responsible party that may be liable for cleanup costs associated with current and former operating sites and various hazardous waste sites, some of which are on the U.S. Environmental Protection Agency’s National Priority List. While there is a possibility that a responsible party might be unable to obtain appropriate contribution from other responsible parties, we do not anticipate having to bear significantly more than our proportional share in multi-party situations taken as a whole.</w:t>
      </w:r>
    </w:p>
    <w:p>
      <w:pPr>
        <w:spacing w:after="0" w:line="6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do not believe that federal, state, and local provisions regulating the discharge of materials into the environment, or otherwise relating to the protection of the environment, or any existing or pending climate change legislation, regulation, or international treaties or accords are reasonably likely to have a material adverse effect in the foreseeable future on our business and we will continue to monitor emerging developments in this area.</w:t>
      </w:r>
    </w:p>
    <w:p>
      <w:pPr>
        <w:spacing w:after="0" w:line="70"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 xml:space="preserve">Beyond our compliance requirements with environmental regulations, compliance with other government regulations has not had, and based on laws and regulations currently in effect, is not expected to have a material effect on our capital expenditures, earnings, or competitive position. See the section titled </w:t>
      </w:r>
      <w:r>
        <w:rPr>
          <w:rFonts w:ascii="Arial" w:cs="Arial" w:eastAsia="Arial" w:hAnsi="Arial"/>
          <w:sz w:val="16"/>
          <w:szCs w:val="16"/>
          <w:u w:val="single" w:color="auto"/>
          <w:color w:val="0000FF"/>
        </w:rPr>
        <w:t>Risk Factors</w:t>
      </w:r>
      <w:r>
        <w:rPr>
          <w:rFonts w:ascii="Arial" w:cs="Arial" w:eastAsia="Arial" w:hAnsi="Arial"/>
          <w:sz w:val="16"/>
          <w:szCs w:val="16"/>
          <w:color w:val="0000FF"/>
        </w:rPr>
        <w:t xml:space="preserve"> </w:t>
      </w:r>
      <w:r>
        <w:rPr>
          <w:rFonts w:ascii="Arial" w:cs="Arial" w:eastAsia="Arial" w:hAnsi="Arial"/>
          <w:sz w:val="16"/>
          <w:szCs w:val="16"/>
          <w:color w:val="000000"/>
        </w:rPr>
        <w:t>for additional information on government regulation that could impact our business.</w:t>
      </w:r>
    </w:p>
    <w:p>
      <w:pPr>
        <w:spacing w:after="0" w:line="200" w:lineRule="exact"/>
        <w:rPr>
          <w:sz w:val="20"/>
          <w:szCs w:val="20"/>
          <w:color w:val="auto"/>
        </w:rPr>
      </w:pPr>
    </w:p>
    <w:p>
      <w:pPr>
        <w:spacing w:after="0" w:line="216" w:lineRule="exact"/>
        <w:rPr>
          <w:sz w:val="20"/>
          <w:szCs w:val="20"/>
          <w:color w:val="auto"/>
        </w:rPr>
      </w:pPr>
    </w:p>
    <w:p>
      <w:pPr>
        <w:ind w:left="300" w:hanging="292"/>
        <w:spacing w:after="0"/>
        <w:tabs>
          <w:tab w:leader="none" w:pos="300" w:val="left"/>
        </w:tabs>
        <w:numPr>
          <w:ilvl w:val="0"/>
          <w:numId w:val="35"/>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11" w:name="page12"/>
    <w:bookmarkEnd w:id="11"/>
    <w:p>
      <w:pPr>
        <w:ind w:left="20"/>
        <w:spacing w:after="0"/>
        <w:tabs>
          <w:tab w:leader="none" w:pos="992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ABOUT HONEYWELL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9"/>
          <w:szCs w:val="29"/>
          <w:color w:val="D7282F"/>
        </w:rPr>
        <w:t>SUSTAINABILITY COMMITMENTS</w:t>
      </w:r>
    </w:p>
    <w:p>
      <w:pPr>
        <w:spacing w:after="0" w:line="25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Our commitment to being environmentally responsible is reflected in the extensive work we do to reduce greenhouse gas (GHG) emissions, increase energy efficiency, conserve water, minimize waste, manage air emissions, and drive efficiency throughout our operations. Our operating system – which drives sustainable improvements and the elimination of waste in our manufacturing operations – is a critical component in how we approach environmental stewardship within Honeywell.</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color w:val="auto"/>
        </w:rPr>
        <w:t>We commit resources each year to projects that support these objectives:</w:t>
      </w:r>
    </w:p>
    <w:p>
      <w:pPr>
        <w:spacing w:after="0" w:line="127" w:lineRule="exact"/>
        <w:rPr>
          <w:sz w:val="20"/>
          <w:szCs w:val="20"/>
          <w:color w:val="auto"/>
        </w:rPr>
      </w:pPr>
    </w:p>
    <w:p>
      <w:pPr>
        <w:jc w:val="both"/>
        <w:ind w:left="660" w:hanging="328"/>
        <w:spacing w:after="0" w:line="260" w:lineRule="auto"/>
        <w:tabs>
          <w:tab w:leader="none" w:pos="649" w:val="left"/>
        </w:tabs>
        <w:numPr>
          <w:ilvl w:val="0"/>
          <w:numId w:val="36"/>
        </w:numPr>
        <w:rPr>
          <w:rFonts w:ascii="Arial" w:cs="Arial" w:eastAsia="Arial" w:hAnsi="Arial"/>
          <w:sz w:val="16"/>
          <w:szCs w:val="16"/>
          <w:color w:val="D7282F"/>
        </w:rPr>
      </w:pPr>
      <w:r>
        <w:rPr>
          <w:rFonts w:ascii="Arial" w:cs="Arial" w:eastAsia="Arial" w:hAnsi="Arial"/>
          <w:sz w:val="16"/>
          <w:szCs w:val="16"/>
          <w:b w:val="1"/>
          <w:bCs w:val="1"/>
          <w:color w:val="auto"/>
        </w:rPr>
        <w:t xml:space="preserve">Energy Efficiency Improvements. </w:t>
      </w:r>
      <w:r>
        <w:rPr>
          <w:rFonts w:ascii="Arial" w:cs="Arial" w:eastAsia="Arial" w:hAnsi="Arial"/>
          <w:sz w:val="16"/>
          <w:szCs w:val="16"/>
          <w:color w:val="auto"/>
        </w:rPr>
        <w:t>We continue to implement sustainability projects at our facilities, including energy management and control</w:t>
      </w:r>
      <w:r>
        <w:rPr>
          <w:rFonts w:ascii="Arial" w:cs="Arial" w:eastAsia="Arial" w:hAnsi="Arial"/>
          <w:sz w:val="16"/>
          <w:szCs w:val="16"/>
          <w:b w:val="1"/>
          <w:bCs w:val="1"/>
          <w:color w:val="auto"/>
        </w:rPr>
        <w:t xml:space="preserve"> </w:t>
      </w:r>
      <w:r>
        <w:rPr>
          <w:rFonts w:ascii="Arial" w:cs="Arial" w:eastAsia="Arial" w:hAnsi="Arial"/>
          <w:sz w:val="16"/>
          <w:szCs w:val="16"/>
          <w:color w:val="auto"/>
        </w:rPr>
        <w:t>systems, automation systems for boilers, LED lighting, HVAC controls and refrigerants, variable frequency drives, occupancy sensors, metering, and renewable energy. We require our largest sites to identify their significant energy use in line with ISO 50001, obtain an energy audit on an established cycle, train personnel on energy management, and track identified projects via our standard database. This ensures a robust pipeline of both low-cost and capital projects that can be considered for execution.</w:t>
      </w:r>
    </w:p>
    <w:p>
      <w:pPr>
        <w:spacing w:after="0" w:line="42" w:lineRule="exact"/>
        <w:rPr>
          <w:rFonts w:ascii="Arial" w:cs="Arial" w:eastAsia="Arial" w:hAnsi="Arial"/>
          <w:sz w:val="16"/>
          <w:szCs w:val="16"/>
          <w:color w:val="D7282F"/>
        </w:rPr>
      </w:pPr>
    </w:p>
    <w:p>
      <w:pPr>
        <w:jc w:val="both"/>
        <w:ind w:left="660" w:hanging="328"/>
        <w:spacing w:after="0" w:line="261" w:lineRule="auto"/>
        <w:tabs>
          <w:tab w:leader="none" w:pos="649" w:val="left"/>
        </w:tabs>
        <w:numPr>
          <w:ilvl w:val="0"/>
          <w:numId w:val="36"/>
        </w:numPr>
        <w:rPr>
          <w:rFonts w:ascii="Arial" w:cs="Arial" w:eastAsia="Arial" w:hAnsi="Arial"/>
          <w:sz w:val="16"/>
          <w:szCs w:val="16"/>
          <w:color w:val="D7282F"/>
        </w:rPr>
      </w:pPr>
      <w:r>
        <w:rPr>
          <w:rFonts w:ascii="Arial" w:cs="Arial" w:eastAsia="Arial" w:hAnsi="Arial"/>
          <w:sz w:val="16"/>
          <w:szCs w:val="16"/>
          <w:b w:val="1"/>
          <w:bCs w:val="1"/>
          <w:color w:val="auto"/>
        </w:rPr>
        <w:t xml:space="preserve">Managing Air Emissions. </w:t>
      </w:r>
      <w:r>
        <w:rPr>
          <w:rFonts w:ascii="Arial" w:cs="Arial" w:eastAsia="Arial" w:hAnsi="Arial"/>
          <w:sz w:val="16"/>
          <w:szCs w:val="16"/>
          <w:color w:val="auto"/>
        </w:rPr>
        <w:t>We manage air emissions in accordance with all regulatory requirements while also seeking to minimize our</w:t>
      </w:r>
      <w:r>
        <w:rPr>
          <w:rFonts w:ascii="Arial" w:cs="Arial" w:eastAsia="Arial" w:hAnsi="Arial"/>
          <w:sz w:val="16"/>
          <w:szCs w:val="16"/>
          <w:b w:val="1"/>
          <w:bCs w:val="1"/>
          <w:color w:val="auto"/>
        </w:rPr>
        <w:t xml:space="preserve"> </w:t>
      </w:r>
      <w:r>
        <w:rPr>
          <w:rFonts w:ascii="Arial" w:cs="Arial" w:eastAsia="Arial" w:hAnsi="Arial"/>
          <w:sz w:val="16"/>
          <w:szCs w:val="16"/>
          <w:color w:val="auto"/>
        </w:rPr>
        <w:t>environmental impact. We require all of our manufacturing locations to meet the requirements of our Air Emissions procedure that is part of the Health, Safety, Environment, Product Stewardship, and Sustainability (HSEPS) Management System. These requirements include, but are not limited to, identifying and detailing all emissions to air on an inventory that captures them, developing operational controls, and standardized compliance obligation tracking for permit conditions and regulatory requirements. Where there are industrial air emissions that do not have specific legal or permit requirements, we implement best management practices, where available.</w:t>
      </w:r>
    </w:p>
    <w:p>
      <w:pPr>
        <w:spacing w:after="0" w:line="41" w:lineRule="exact"/>
        <w:rPr>
          <w:rFonts w:ascii="Arial" w:cs="Arial" w:eastAsia="Arial" w:hAnsi="Arial"/>
          <w:sz w:val="16"/>
          <w:szCs w:val="16"/>
          <w:color w:val="D7282F"/>
        </w:rPr>
      </w:pPr>
    </w:p>
    <w:p>
      <w:pPr>
        <w:jc w:val="both"/>
        <w:ind w:left="660" w:hanging="328"/>
        <w:spacing w:after="0" w:line="260" w:lineRule="auto"/>
        <w:tabs>
          <w:tab w:leader="none" w:pos="649" w:val="left"/>
        </w:tabs>
        <w:numPr>
          <w:ilvl w:val="0"/>
          <w:numId w:val="36"/>
        </w:numPr>
        <w:rPr>
          <w:rFonts w:ascii="Arial" w:cs="Arial" w:eastAsia="Arial" w:hAnsi="Arial"/>
          <w:sz w:val="16"/>
          <w:szCs w:val="16"/>
          <w:color w:val="D7282F"/>
        </w:rPr>
      </w:pPr>
      <w:r>
        <w:rPr>
          <w:rFonts w:ascii="Arial" w:cs="Arial" w:eastAsia="Arial" w:hAnsi="Arial"/>
          <w:sz w:val="16"/>
          <w:szCs w:val="16"/>
          <w:b w:val="1"/>
          <w:bCs w:val="1"/>
          <w:color w:val="auto"/>
        </w:rPr>
        <w:t xml:space="preserve">Wastewater Management. </w:t>
      </w:r>
      <w:r>
        <w:rPr>
          <w:rFonts w:ascii="Arial" w:cs="Arial" w:eastAsia="Arial" w:hAnsi="Arial"/>
          <w:sz w:val="16"/>
          <w:szCs w:val="16"/>
          <w:color w:val="auto"/>
        </w:rPr>
        <w:t>We require our locations and functions to manage water use and wastewater effluent in accordance with our HSEPS</w:t>
      </w:r>
      <w:r>
        <w:rPr>
          <w:rFonts w:ascii="Arial" w:cs="Arial" w:eastAsia="Arial" w:hAnsi="Arial"/>
          <w:sz w:val="16"/>
          <w:szCs w:val="16"/>
          <w:b w:val="1"/>
          <w:bCs w:val="1"/>
          <w:color w:val="auto"/>
        </w:rPr>
        <w:t xml:space="preserve"> </w:t>
      </w:r>
      <w:r>
        <w:rPr>
          <w:rFonts w:ascii="Arial" w:cs="Arial" w:eastAsia="Arial" w:hAnsi="Arial"/>
          <w:sz w:val="16"/>
          <w:szCs w:val="16"/>
          <w:color w:val="auto"/>
        </w:rPr>
        <w:t>Management System. In addition to meeting all legal and regulatory requirements, the HSEPS Management System requires Honeywell manufacturing locations to complete actions such as maintain an inventory of its uses, discharges, and consumption of water, develop location-specific operation controls to manage wastewater, and provide training for employees and contractors who perform critical activities related to wastewater.</w:t>
      </w:r>
    </w:p>
    <w:p>
      <w:pPr>
        <w:spacing w:after="0" w:line="42" w:lineRule="exact"/>
        <w:rPr>
          <w:rFonts w:ascii="Arial" w:cs="Arial" w:eastAsia="Arial" w:hAnsi="Arial"/>
          <w:sz w:val="16"/>
          <w:szCs w:val="16"/>
          <w:color w:val="D7282F"/>
        </w:rPr>
      </w:pPr>
    </w:p>
    <w:p>
      <w:pPr>
        <w:jc w:val="both"/>
        <w:ind w:left="660" w:hanging="328"/>
        <w:spacing w:after="0" w:line="265" w:lineRule="auto"/>
        <w:tabs>
          <w:tab w:leader="none" w:pos="649" w:val="left"/>
        </w:tabs>
        <w:numPr>
          <w:ilvl w:val="0"/>
          <w:numId w:val="36"/>
        </w:numPr>
        <w:rPr>
          <w:rFonts w:ascii="Arial" w:cs="Arial" w:eastAsia="Arial" w:hAnsi="Arial"/>
          <w:sz w:val="16"/>
          <w:szCs w:val="16"/>
          <w:color w:val="D7282F"/>
        </w:rPr>
      </w:pPr>
      <w:r>
        <w:rPr>
          <w:rFonts w:ascii="Arial" w:cs="Arial" w:eastAsia="Arial" w:hAnsi="Arial"/>
          <w:sz w:val="16"/>
          <w:szCs w:val="16"/>
          <w:b w:val="1"/>
          <w:bCs w:val="1"/>
          <w:color w:val="auto"/>
        </w:rPr>
        <w:t xml:space="preserve">Environmental Remediation. </w:t>
      </w:r>
      <w:r>
        <w:rPr>
          <w:rFonts w:ascii="Arial" w:cs="Arial" w:eastAsia="Arial" w:hAnsi="Arial"/>
          <w:sz w:val="16"/>
          <w:szCs w:val="16"/>
          <w:color w:val="auto"/>
        </w:rPr>
        <w:t>We recognize idle properties as assets that can be revitalized to mutually benefit communities and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The properties that emerge from this approach ignite civic pride and catalyze further community development initiatives. Using cutting-edge science, design, and engineering to protect human health and the environment, we work cooperatively with governments and engage with local communities and other external stakeholders to implement effective solutions.</w:t>
      </w:r>
    </w:p>
    <w:p>
      <w:pPr>
        <w:spacing w:after="0" w:line="37" w:lineRule="exact"/>
        <w:rPr>
          <w:rFonts w:ascii="Arial" w:cs="Arial" w:eastAsia="Arial" w:hAnsi="Arial"/>
          <w:sz w:val="16"/>
          <w:szCs w:val="16"/>
          <w:color w:val="D7282F"/>
        </w:rPr>
      </w:pPr>
    </w:p>
    <w:p>
      <w:pPr>
        <w:jc w:val="both"/>
        <w:ind w:left="660" w:hanging="328"/>
        <w:spacing w:after="0" w:line="275" w:lineRule="auto"/>
        <w:tabs>
          <w:tab w:leader="none" w:pos="649" w:val="left"/>
        </w:tabs>
        <w:numPr>
          <w:ilvl w:val="0"/>
          <w:numId w:val="36"/>
        </w:numPr>
        <w:rPr>
          <w:rFonts w:ascii="Arial" w:cs="Arial" w:eastAsia="Arial" w:hAnsi="Arial"/>
          <w:sz w:val="16"/>
          <w:szCs w:val="16"/>
          <w:color w:val="D7282F"/>
        </w:rPr>
      </w:pPr>
      <w:r>
        <w:rPr>
          <w:rFonts w:ascii="Arial" w:cs="Arial" w:eastAsia="Arial" w:hAnsi="Arial"/>
          <w:sz w:val="16"/>
          <w:szCs w:val="16"/>
          <w:b w:val="1"/>
          <w:bCs w:val="1"/>
          <w:color w:val="auto"/>
        </w:rPr>
        <w:t>Reducing Greenhouse Gas Emissions</w:t>
      </w:r>
      <w:r>
        <w:rPr>
          <w:rFonts w:ascii="Arial" w:cs="Arial" w:eastAsia="Arial" w:hAnsi="Arial"/>
          <w:sz w:val="16"/>
          <w:szCs w:val="16"/>
          <w:color w:val="auto"/>
        </w:rPr>
        <w:t>. As part of our commitment to reduce GHG emissions, we have been implementing solar projects to</w:t>
      </w:r>
      <w:r>
        <w:rPr>
          <w:rFonts w:ascii="Arial" w:cs="Arial" w:eastAsia="Arial" w:hAnsi="Arial"/>
          <w:sz w:val="16"/>
          <w:szCs w:val="16"/>
          <w:b w:val="1"/>
          <w:bCs w:val="1"/>
          <w:color w:val="auto"/>
        </w:rPr>
        <w:t xml:space="preserve"> </w:t>
      </w:r>
      <w:r>
        <w:rPr>
          <w:rFonts w:ascii="Arial" w:cs="Arial" w:eastAsia="Arial" w:hAnsi="Arial"/>
          <w:sz w:val="16"/>
          <w:szCs w:val="16"/>
          <w:color w:val="auto"/>
        </w:rPr>
        <w:t>reduce dependency on conventional power sources, including installing rooftop and carport solar systems at various facilities to offset the sites' energy usage.</w:t>
      </w:r>
    </w:p>
    <w:p>
      <w:pPr>
        <w:spacing w:after="0" w:line="29" w:lineRule="exact"/>
        <w:rPr>
          <w:rFonts w:ascii="Arial" w:cs="Arial" w:eastAsia="Arial" w:hAnsi="Arial"/>
          <w:sz w:val="16"/>
          <w:szCs w:val="16"/>
          <w:color w:val="D7282F"/>
        </w:rPr>
      </w:pPr>
    </w:p>
    <w:p>
      <w:pPr>
        <w:jc w:val="both"/>
        <w:ind w:left="660" w:right="20" w:hanging="328"/>
        <w:spacing w:after="0" w:line="266" w:lineRule="auto"/>
        <w:tabs>
          <w:tab w:leader="none" w:pos="649" w:val="left"/>
        </w:tabs>
        <w:numPr>
          <w:ilvl w:val="0"/>
          <w:numId w:val="36"/>
        </w:numPr>
        <w:rPr>
          <w:rFonts w:ascii="Arial" w:cs="Arial" w:eastAsia="Arial" w:hAnsi="Arial"/>
          <w:sz w:val="16"/>
          <w:szCs w:val="16"/>
          <w:color w:val="D7282F"/>
        </w:rPr>
      </w:pPr>
      <w:r>
        <w:rPr>
          <w:rFonts w:ascii="Arial" w:cs="Arial" w:eastAsia="Arial" w:hAnsi="Arial"/>
          <w:sz w:val="16"/>
          <w:szCs w:val="16"/>
          <w:b w:val="1"/>
          <w:bCs w:val="1"/>
          <w:color w:val="auto"/>
        </w:rPr>
        <w:t>Minimizing Waste</w:t>
      </w:r>
      <w:r>
        <w:rPr>
          <w:rFonts w:ascii="Arial" w:cs="Arial" w:eastAsia="Arial" w:hAnsi="Arial"/>
          <w:sz w:val="16"/>
          <w:szCs w:val="16"/>
          <w:color w:val="auto"/>
        </w:rPr>
        <w:t>. We require all of our locations and functions to handle waste in accordance with our HSEPS Management System, which</w:t>
      </w:r>
      <w:r>
        <w:rPr>
          <w:rFonts w:ascii="Arial" w:cs="Arial" w:eastAsia="Arial" w:hAnsi="Arial"/>
          <w:sz w:val="16"/>
          <w:szCs w:val="16"/>
          <w:b w:val="1"/>
          <w:bCs w:val="1"/>
          <w:color w:val="auto"/>
        </w:rPr>
        <w:t xml:space="preserve"> </w:t>
      </w:r>
      <w:r>
        <w:rPr>
          <w:rFonts w:ascii="Arial" w:cs="Arial" w:eastAsia="Arial" w:hAnsi="Arial"/>
          <w:sz w:val="16"/>
          <w:szCs w:val="16"/>
          <w:color w:val="auto"/>
        </w:rPr>
        <w:t>includes but is not limited to, detailed characterization and classification for all waste streams, process of due diligence and impact assessment for all facilities receiving hazardous waste from our operations, and annual training for employees and contractors who perform waste-related activities.</w:t>
      </w:r>
    </w:p>
    <w:p>
      <w:pPr>
        <w:spacing w:after="0" w:line="67"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uphold our commitment to be carbon neutral by 2035 in our facilities and operations</w:t>
      </w:r>
      <w:r>
        <w:rPr>
          <w:rFonts w:ascii="Arial" w:cs="Arial" w:eastAsia="Arial" w:hAnsi="Arial"/>
          <w:sz w:val="21"/>
          <w:szCs w:val="21"/>
          <w:color w:val="auto"/>
          <w:vertAlign w:val="superscript"/>
        </w:rPr>
        <w:t>1</w:t>
      </w:r>
      <w:r>
        <w:rPr>
          <w:rFonts w:ascii="Arial" w:cs="Arial" w:eastAsia="Arial" w:hAnsi="Arial"/>
          <w:sz w:val="16"/>
          <w:szCs w:val="16"/>
          <w:color w:val="auto"/>
        </w:rPr>
        <w:t>. Our GHG reduction program initially began in 2004, setting us well on our way to achieving this commitment. In addition to being on a path to achieve our carbon neutrality goals, in 2023, we exceeded our 10-10-10 commitments that we established in 2019 to (i) reduce Scope 1 and 2 GHG emissions intensity by 10% from a 2018 baseline, (ii) deploy at least 10 renewable energy opportunities, and (iii) achieve certification to ISO 50001 Energy Management Standard at 10 facilities. In 2022, we joined the U.S. Department of Energy's Better Climate Challenge, pledging to reduce U.S. Scope 1 and 2 GHG emissions by 50% from a 2018 baseline. In addition, in 2023, our near-term science-based target, which includes Scope 3 emissions, was approved by the Science Based Target initiative (SBTi).</w:t>
      </w:r>
    </w:p>
    <w:p>
      <w:pPr>
        <w:spacing w:after="0" w:line="48" w:lineRule="exact"/>
        <w:rPr>
          <w:sz w:val="20"/>
          <w:szCs w:val="20"/>
          <w:color w:val="auto"/>
        </w:rPr>
      </w:pPr>
    </w:p>
    <w:p>
      <w:pPr>
        <w:ind w:left="360" w:hanging="334"/>
        <w:spacing w:after="0"/>
        <w:tabs>
          <w:tab w:leader="none" w:pos="360" w:val="left"/>
        </w:tabs>
        <w:numPr>
          <w:ilvl w:val="0"/>
          <w:numId w:val="37"/>
        </w:numPr>
        <w:rPr>
          <w:rFonts w:ascii="Arial" w:cs="Arial" w:eastAsia="Arial" w:hAnsi="Arial"/>
          <w:sz w:val="25"/>
          <w:szCs w:val="25"/>
          <w:color w:val="auto"/>
          <w:vertAlign w:val="superscript"/>
        </w:rPr>
      </w:pPr>
      <w:r>
        <w:rPr>
          <w:rFonts w:ascii="Arial" w:cs="Arial" w:eastAsia="Arial" w:hAnsi="Arial"/>
          <w:sz w:val="13"/>
          <w:szCs w:val="13"/>
          <w:color w:val="auto"/>
        </w:rPr>
        <w:t>Methodology for identifying sustainability-oriented offerings is available at investor.honeywell.com (see “ESG/ESG Information/Identification of Sustainability-Oriented Offerings”).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00" w:hanging="392"/>
        <w:spacing w:after="0"/>
        <w:tabs>
          <w:tab w:leader="none" w:pos="400" w:val="left"/>
        </w:tabs>
        <w:numPr>
          <w:ilvl w:val="0"/>
          <w:numId w:val="38"/>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12" w:name="page13"/>
    <w:bookmarkEnd w:id="12"/>
    <w:p>
      <w:pPr>
        <w:ind w:left="20"/>
        <w:spacing w:after="0"/>
        <w:tabs>
          <w:tab w:leader="none" w:pos="992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ABOUT HONEYWELL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SUSTAINABILITY-ORIENTED SOLUTIONS</w:t>
      </w:r>
    </w:p>
    <w:p>
      <w:pPr>
        <w:spacing w:after="0" w:line="128" w:lineRule="exact"/>
        <w:rPr>
          <w:sz w:val="20"/>
          <w:szCs w:val="20"/>
          <w:color w:val="auto"/>
        </w:rPr>
      </w:pPr>
    </w:p>
    <w:p>
      <w:pPr>
        <w:jc w:val="both"/>
        <w:spacing w:after="0"/>
        <w:rPr>
          <w:sz w:val="20"/>
          <w:szCs w:val="20"/>
          <w:color w:val="auto"/>
        </w:rPr>
      </w:pPr>
      <w:r>
        <w:rPr>
          <w:rFonts w:ascii="Arial" w:cs="Arial" w:eastAsia="Arial" w:hAnsi="Arial"/>
          <w:sz w:val="16"/>
          <w:szCs w:val="16"/>
          <w:color w:val="auto"/>
        </w:rPr>
        <w:t>We strive to lead the marketplace in sustainable technology development and help our customers meet their sustainability goals. We are innovating to improve our operations as we progress toward carbon neutrality</w:t>
      </w:r>
      <w:r>
        <w:rPr>
          <w:rFonts w:ascii="Arial" w:cs="Arial" w:eastAsia="Arial" w:hAnsi="Arial"/>
          <w:sz w:val="21"/>
          <w:szCs w:val="21"/>
          <w:color w:val="auto"/>
          <w:vertAlign w:val="superscript"/>
        </w:rPr>
        <w:t>1</w:t>
      </w:r>
      <w:r>
        <w:rPr>
          <w:rFonts w:ascii="Arial" w:cs="Arial" w:eastAsia="Arial" w:hAnsi="Arial"/>
          <w:sz w:val="16"/>
          <w:szCs w:val="16"/>
          <w:color w:val="auto"/>
        </w:rPr>
        <w:t>. These innovations contribute to improvements in health, safety, security, environmental impact, and resiliency to help our customers with their most complex challenges in these areas. The graphic below demonstrates our multitude of sustainability-oriented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71120</wp:posOffset>
            </wp:positionV>
            <wp:extent cx="5349240" cy="40716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349240" cy="4071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60" w:hanging="334"/>
        <w:spacing w:after="0"/>
        <w:tabs>
          <w:tab w:leader="none" w:pos="360" w:val="left"/>
        </w:tabs>
        <w:numPr>
          <w:ilvl w:val="0"/>
          <w:numId w:val="39"/>
        </w:numPr>
        <w:rPr>
          <w:rFonts w:ascii="Arial" w:cs="Arial" w:eastAsia="Arial" w:hAnsi="Arial"/>
          <w:sz w:val="25"/>
          <w:szCs w:val="25"/>
          <w:color w:val="auto"/>
          <w:vertAlign w:val="superscript"/>
        </w:rPr>
      </w:pPr>
      <w:r>
        <w:rPr>
          <w:rFonts w:ascii="Arial" w:cs="Arial" w:eastAsia="Arial" w:hAnsi="Arial"/>
          <w:sz w:val="13"/>
          <w:szCs w:val="13"/>
          <w:color w:val="auto"/>
        </w:rPr>
        <w:t>Methodology for identifying sustainability-oriented offerings is available at investor.honeywell.com (see “ESG/ESG Information/Identification of Sustainability-Oriented Offerings”).</w:t>
      </w:r>
    </w:p>
    <w:p>
      <w:pPr>
        <w:spacing w:after="0" w:line="21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Additional information regarding our sustainability initiatives and strategy is included in our 2024 Impact Report, which can be found on our website (honeywell.com); this report is not incorporated into this Form 10-K by reference and should not be considered part of this Form 10-K.</w:t>
      </w:r>
    </w:p>
    <w:p>
      <w:pPr>
        <w:spacing w:after="0" w:line="400" w:lineRule="exact"/>
        <w:rPr>
          <w:sz w:val="20"/>
          <w:szCs w:val="20"/>
          <w:color w:val="auto"/>
        </w:rPr>
      </w:pPr>
    </w:p>
    <w:p>
      <w:pPr>
        <w:ind w:left="400" w:hanging="392"/>
        <w:spacing w:after="0"/>
        <w:tabs>
          <w:tab w:leader="none" w:pos="400" w:val="left"/>
        </w:tabs>
        <w:numPr>
          <w:ilvl w:val="0"/>
          <w:numId w:val="40"/>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13" w:name="page14"/>
    <w:bookmarkEnd w:id="13"/>
    <w:p>
      <w:pPr>
        <w:ind w:left="20"/>
        <w:spacing w:after="0"/>
        <w:tabs>
          <w:tab w:leader="none" w:pos="992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ABOUT HONEYWELL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9"/>
          <w:szCs w:val="29"/>
          <w:color w:val="D7282F"/>
        </w:rPr>
        <w:t>HUMAN CAPITAL MANAGEMENT</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believe investment in human capital management enables better decision-making, helps us build competitive advantage, and furthers our long-term success. Human capital management is the key driver of our performance culture, which enables our workforce to respond to the fast-changing needs of our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132320" cy="145732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45732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60"/>
        <w:spacing w:after="0" w:line="268" w:lineRule="auto"/>
        <w:rPr>
          <w:sz w:val="20"/>
          <w:szCs w:val="20"/>
          <w:color w:val="auto"/>
        </w:rPr>
      </w:pPr>
      <w:r>
        <w:rPr>
          <w:rFonts w:ascii="Arial" w:cs="Arial" w:eastAsia="Arial" w:hAnsi="Arial"/>
          <w:sz w:val="16"/>
          <w:szCs w:val="16"/>
          <w:color w:val="auto"/>
        </w:rPr>
        <w:t xml:space="preserve">As of </w:t>
      </w:r>
      <w:r>
        <w:rPr>
          <w:rFonts w:ascii="Arial" w:cs="Arial" w:eastAsia="Arial" w:hAnsi="Arial"/>
          <w:sz w:val="16"/>
          <w:szCs w:val="16"/>
          <w:b w:val="1"/>
          <w:bCs w:val="1"/>
          <w:color w:val="auto"/>
        </w:rPr>
        <w:t>December 31, 2024</w:t>
      </w:r>
      <w:r>
        <w:rPr>
          <w:rFonts w:ascii="Arial" w:cs="Arial" w:eastAsia="Arial" w:hAnsi="Arial"/>
          <w:sz w:val="16"/>
          <w:szCs w:val="16"/>
          <w:color w:val="auto"/>
        </w:rPr>
        <w:t>, we employed approximately</w:t>
      </w:r>
    </w:p>
    <w:p>
      <w:pPr>
        <w:spacing w:after="0" w:line="24" w:lineRule="exact"/>
        <w:rPr>
          <w:sz w:val="20"/>
          <w:szCs w:val="20"/>
          <w:color w:val="auto"/>
        </w:rPr>
      </w:pPr>
    </w:p>
    <w:p>
      <w:pPr>
        <w:ind w:left="360" w:right="540"/>
        <w:spacing w:after="0" w:line="293" w:lineRule="auto"/>
        <w:rPr>
          <w:sz w:val="20"/>
          <w:szCs w:val="20"/>
          <w:color w:val="auto"/>
        </w:rPr>
      </w:pPr>
      <w:r>
        <w:rPr>
          <w:rFonts w:ascii="Arial" w:cs="Arial" w:eastAsia="Arial" w:hAnsi="Arial"/>
          <w:sz w:val="35"/>
          <w:szCs w:val="35"/>
          <w:b w:val="1"/>
          <w:bCs w:val="1"/>
          <w:color w:val="D7282F"/>
        </w:rPr>
        <w:t>102,000 EMPLOYEES</w:t>
      </w:r>
      <w:r>
        <w:rPr>
          <w:rFonts w:ascii="Arial" w:cs="Arial" w:eastAsia="Arial" w:hAnsi="Arial"/>
          <w:sz w:val="45"/>
          <w:szCs w:val="45"/>
          <w:b w:val="1"/>
          <w:bCs w:val="1"/>
          <w:color w:val="D7282F"/>
          <w:vertAlign w:val="superscript"/>
        </w:rPr>
        <w:t>1</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6"/>
        </w:trPr>
        <w:tc>
          <w:tcPr>
            <w:tcW w:w="240" w:type="dxa"/>
            <w:vAlign w:val="bottom"/>
            <w:tcBorders>
              <w:right w:val="single" w:sz="8" w:color="EBEBEC"/>
            </w:tcBorders>
            <w:shd w:val="clear" w:color="auto" w:fill="EBEBEC"/>
          </w:tcPr>
          <w:p>
            <w:pPr>
              <w:spacing w:after="0"/>
              <w:rPr>
                <w:sz w:val="15"/>
                <w:szCs w:val="15"/>
                <w:color w:val="auto"/>
              </w:rPr>
            </w:pPr>
          </w:p>
        </w:tc>
        <w:tc>
          <w:tcPr>
            <w:tcW w:w="220" w:type="dxa"/>
            <w:vAlign w:val="bottom"/>
            <w:shd w:val="clear" w:color="auto" w:fill="EBEBEC"/>
          </w:tcPr>
          <w:p>
            <w:pPr>
              <w:spacing w:after="0"/>
              <w:rPr>
                <w:sz w:val="15"/>
                <w:szCs w:val="15"/>
                <w:color w:val="auto"/>
              </w:rPr>
            </w:pPr>
          </w:p>
        </w:tc>
        <w:tc>
          <w:tcPr>
            <w:tcW w:w="3540" w:type="dxa"/>
            <w:vAlign w:val="bottom"/>
            <w:vMerge w:val="restart"/>
            <w:shd w:val="clear" w:color="auto" w:fill="EBEBEC"/>
          </w:tcPr>
          <w:p>
            <w:pPr>
              <w:ind w:left="20"/>
              <w:spacing w:after="0"/>
              <w:rPr>
                <w:sz w:val="20"/>
                <w:szCs w:val="20"/>
                <w:color w:val="auto"/>
              </w:rPr>
            </w:pPr>
            <w:r>
              <w:rPr>
                <w:rFonts w:ascii="Arial" w:cs="Arial" w:eastAsia="Arial" w:hAnsi="Arial"/>
                <w:sz w:val="16"/>
                <w:szCs w:val="16"/>
                <w:color w:val="auto"/>
              </w:rPr>
              <w:t>across</w:t>
            </w:r>
          </w:p>
        </w:tc>
        <w:tc>
          <w:tcPr>
            <w:tcW w:w="220" w:type="dxa"/>
            <w:vAlign w:val="bottom"/>
            <w:tcBorders>
              <w:left w:val="single" w:sz="8" w:color="EBEBEC"/>
            </w:tcBorders>
            <w:shd w:val="clear" w:color="auto" w:fill="EBEBEC"/>
          </w:tcPr>
          <w:p>
            <w:pPr>
              <w:spacing w:after="0"/>
              <w:rPr>
                <w:sz w:val="15"/>
                <w:szCs w:val="15"/>
                <w:color w:val="auto"/>
              </w:rPr>
            </w:pPr>
          </w:p>
        </w:tc>
        <w:tc>
          <w:tcPr>
            <w:tcW w:w="3500" w:type="dxa"/>
            <w:vAlign w:val="bottom"/>
            <w:vMerge w:val="restart"/>
            <w:shd w:val="clear" w:color="auto" w:fill="EBEBEC"/>
          </w:tcPr>
          <w:p>
            <w:pPr>
              <w:ind w:left="20"/>
              <w:spacing w:after="0"/>
              <w:rPr>
                <w:sz w:val="20"/>
                <w:szCs w:val="20"/>
                <w:color w:val="auto"/>
              </w:rPr>
            </w:pPr>
            <w:r>
              <w:rPr>
                <w:rFonts w:ascii="Arial" w:cs="Arial" w:eastAsia="Arial" w:hAnsi="Arial"/>
                <w:sz w:val="36"/>
                <w:szCs w:val="36"/>
                <w:b w:val="1"/>
                <w:bCs w:val="1"/>
                <w:color w:val="D7282F"/>
              </w:rPr>
              <w:t>~38,000</w:t>
            </w:r>
            <w:r>
              <w:rPr>
                <w:rFonts w:ascii="Arial" w:cs="Arial" w:eastAsia="Arial" w:hAnsi="Arial"/>
                <w:sz w:val="46"/>
                <w:szCs w:val="46"/>
                <w:b w:val="1"/>
                <w:bCs w:val="1"/>
                <w:color w:val="D7282F"/>
                <w:vertAlign w:val="superscript"/>
              </w:rPr>
              <w:t>1</w:t>
            </w:r>
          </w:p>
        </w:tc>
        <w:tc>
          <w:tcPr>
            <w:tcW w:w="0" w:type="dxa"/>
            <w:vAlign w:val="bottom"/>
          </w:tcPr>
          <w:p>
            <w:pPr>
              <w:spacing w:after="0"/>
              <w:rPr>
                <w:sz w:val="1"/>
                <w:szCs w:val="1"/>
                <w:color w:val="auto"/>
              </w:rPr>
            </w:pPr>
          </w:p>
        </w:tc>
      </w:tr>
      <w:tr>
        <w:trPr>
          <w:trHeight w:val="1066"/>
        </w:trPr>
        <w:tc>
          <w:tcPr>
            <w:tcW w:w="240" w:type="dxa"/>
            <w:vAlign w:val="bottom"/>
            <w:tcBorders>
              <w:right w:val="single" w:sz="8" w:color="D7282F"/>
            </w:tcBorders>
          </w:tcPr>
          <w:p>
            <w:pPr>
              <w:spacing w:after="0"/>
              <w:rPr>
                <w:sz w:val="24"/>
                <w:szCs w:val="24"/>
                <w:color w:val="auto"/>
              </w:rPr>
            </w:pPr>
          </w:p>
        </w:tc>
        <w:tc>
          <w:tcPr>
            <w:tcW w:w="220" w:type="dxa"/>
            <w:vAlign w:val="bottom"/>
            <w:shd w:val="clear" w:color="auto" w:fill="EBEBEC"/>
          </w:tcPr>
          <w:p>
            <w:pPr>
              <w:spacing w:after="0"/>
              <w:rPr>
                <w:sz w:val="24"/>
                <w:szCs w:val="24"/>
                <w:color w:val="auto"/>
              </w:rPr>
            </w:pPr>
          </w:p>
        </w:tc>
        <w:tc>
          <w:tcPr>
            <w:tcW w:w="3540" w:type="dxa"/>
            <w:vAlign w:val="bottom"/>
            <w:vMerge w:val="continue"/>
            <w:shd w:val="clear" w:color="auto" w:fill="EBEBEC"/>
          </w:tcPr>
          <w:p>
            <w:pPr>
              <w:spacing w:after="0"/>
              <w:rPr>
                <w:sz w:val="24"/>
                <w:szCs w:val="24"/>
                <w:color w:val="auto"/>
              </w:rPr>
            </w:pPr>
          </w:p>
        </w:tc>
        <w:tc>
          <w:tcPr>
            <w:tcW w:w="220" w:type="dxa"/>
            <w:vAlign w:val="bottom"/>
            <w:tcBorders>
              <w:left w:val="single" w:sz="8" w:color="D7282F"/>
            </w:tcBorders>
            <w:shd w:val="clear" w:color="auto" w:fill="EBEBEC"/>
          </w:tcPr>
          <w:p>
            <w:pPr>
              <w:spacing w:after="0"/>
              <w:rPr>
                <w:sz w:val="24"/>
                <w:szCs w:val="24"/>
                <w:color w:val="auto"/>
              </w:rPr>
            </w:pPr>
          </w:p>
        </w:tc>
        <w:tc>
          <w:tcPr>
            <w:tcW w:w="3500" w:type="dxa"/>
            <w:vAlign w:val="bottom"/>
            <w:vMerge w:val="continue"/>
            <w:shd w:val="clear" w:color="auto" w:fill="EBEBEC"/>
          </w:tcPr>
          <w:p>
            <w:pPr>
              <w:spacing w:after="0"/>
              <w:rPr>
                <w:sz w:val="24"/>
                <w:szCs w:val="24"/>
                <w:color w:val="auto"/>
              </w:rPr>
            </w:pPr>
          </w:p>
        </w:tc>
        <w:tc>
          <w:tcPr>
            <w:tcW w:w="0" w:type="dxa"/>
            <w:vAlign w:val="bottom"/>
          </w:tcPr>
          <w:p>
            <w:pPr>
              <w:spacing w:after="0"/>
              <w:rPr>
                <w:sz w:val="1"/>
                <w:szCs w:val="1"/>
                <w:color w:val="auto"/>
              </w:rPr>
            </w:pPr>
          </w:p>
        </w:tc>
      </w:tr>
      <w:tr>
        <w:trPr>
          <w:trHeight w:val="52"/>
        </w:trPr>
        <w:tc>
          <w:tcPr>
            <w:tcW w:w="240" w:type="dxa"/>
            <w:vAlign w:val="bottom"/>
            <w:tcBorders>
              <w:right w:val="single" w:sz="8" w:color="D7282F"/>
            </w:tcBorders>
          </w:tcPr>
          <w:p>
            <w:pPr>
              <w:spacing w:after="0"/>
              <w:rPr>
                <w:sz w:val="4"/>
                <w:szCs w:val="4"/>
                <w:color w:val="auto"/>
              </w:rPr>
            </w:pPr>
          </w:p>
        </w:tc>
        <w:tc>
          <w:tcPr>
            <w:tcW w:w="220" w:type="dxa"/>
            <w:vAlign w:val="bottom"/>
            <w:shd w:val="clear" w:color="auto" w:fill="EBEBEC"/>
          </w:tcPr>
          <w:p>
            <w:pPr>
              <w:spacing w:after="0"/>
              <w:rPr>
                <w:sz w:val="4"/>
                <w:szCs w:val="4"/>
                <w:color w:val="auto"/>
              </w:rPr>
            </w:pPr>
          </w:p>
        </w:tc>
        <w:tc>
          <w:tcPr>
            <w:tcW w:w="3540" w:type="dxa"/>
            <w:vAlign w:val="bottom"/>
            <w:vMerge w:val="continue"/>
            <w:shd w:val="clear" w:color="auto" w:fill="EBEBEC"/>
          </w:tcPr>
          <w:p>
            <w:pPr>
              <w:spacing w:after="0"/>
              <w:rPr>
                <w:sz w:val="4"/>
                <w:szCs w:val="4"/>
                <w:color w:val="auto"/>
              </w:rPr>
            </w:pPr>
          </w:p>
        </w:tc>
        <w:tc>
          <w:tcPr>
            <w:tcW w:w="220" w:type="dxa"/>
            <w:vAlign w:val="bottom"/>
            <w:tcBorders>
              <w:left w:val="single" w:sz="8" w:color="D7282F"/>
            </w:tcBorders>
            <w:shd w:val="clear" w:color="auto" w:fill="EBEBEC"/>
          </w:tcPr>
          <w:p>
            <w:pPr>
              <w:spacing w:after="0"/>
              <w:rPr>
                <w:sz w:val="4"/>
                <w:szCs w:val="4"/>
                <w:color w:val="auto"/>
              </w:rPr>
            </w:pPr>
          </w:p>
        </w:tc>
        <w:tc>
          <w:tcPr>
            <w:tcW w:w="3500" w:type="dxa"/>
            <w:vAlign w:val="bottom"/>
            <w:shd w:val="clear" w:color="auto" w:fill="EBEBEC"/>
          </w:tcPr>
          <w:p>
            <w:pPr>
              <w:spacing w:after="0"/>
              <w:rPr>
                <w:sz w:val="4"/>
                <w:szCs w:val="4"/>
                <w:color w:val="auto"/>
              </w:rPr>
            </w:pPr>
          </w:p>
        </w:tc>
        <w:tc>
          <w:tcPr>
            <w:tcW w:w="0" w:type="dxa"/>
            <w:vAlign w:val="bottom"/>
          </w:tcPr>
          <w:p>
            <w:pPr>
              <w:spacing w:after="0"/>
              <w:rPr>
                <w:sz w:val="1"/>
                <w:szCs w:val="1"/>
                <w:color w:val="auto"/>
              </w:rPr>
            </w:pPr>
          </w:p>
        </w:tc>
      </w:tr>
      <w:tr>
        <w:trPr>
          <w:trHeight w:val="541"/>
        </w:trPr>
        <w:tc>
          <w:tcPr>
            <w:tcW w:w="240" w:type="dxa"/>
            <w:vAlign w:val="bottom"/>
            <w:tcBorders>
              <w:right w:val="single" w:sz="8" w:color="D7282F"/>
            </w:tcBorders>
          </w:tcPr>
          <w:p>
            <w:pPr>
              <w:spacing w:after="0"/>
              <w:rPr>
                <w:sz w:val="24"/>
                <w:szCs w:val="24"/>
                <w:color w:val="auto"/>
              </w:rPr>
            </w:pPr>
          </w:p>
        </w:tc>
        <w:tc>
          <w:tcPr>
            <w:tcW w:w="220" w:type="dxa"/>
            <w:vAlign w:val="bottom"/>
            <w:shd w:val="clear" w:color="auto" w:fill="EBEBEC"/>
          </w:tcPr>
          <w:p>
            <w:pPr>
              <w:spacing w:after="0"/>
              <w:rPr>
                <w:sz w:val="24"/>
                <w:szCs w:val="24"/>
                <w:color w:val="auto"/>
              </w:rPr>
            </w:pPr>
          </w:p>
        </w:tc>
        <w:tc>
          <w:tcPr>
            <w:tcW w:w="3540" w:type="dxa"/>
            <w:vAlign w:val="bottom"/>
            <w:shd w:val="clear" w:color="auto" w:fill="EBEBEC"/>
          </w:tcPr>
          <w:p>
            <w:pPr>
              <w:ind w:left="20"/>
              <w:spacing w:after="0"/>
              <w:rPr>
                <w:sz w:val="20"/>
                <w:szCs w:val="20"/>
                <w:color w:val="auto"/>
              </w:rPr>
            </w:pPr>
            <w:r>
              <w:rPr>
                <w:rFonts w:ascii="Arial" w:cs="Arial" w:eastAsia="Arial" w:hAnsi="Arial"/>
                <w:sz w:val="36"/>
                <w:szCs w:val="36"/>
                <w:b w:val="1"/>
                <w:bCs w:val="1"/>
                <w:color w:val="D7282F"/>
              </w:rPr>
              <w:t>77 COUNTRIES</w:t>
            </w:r>
          </w:p>
        </w:tc>
        <w:tc>
          <w:tcPr>
            <w:tcW w:w="220" w:type="dxa"/>
            <w:vAlign w:val="bottom"/>
            <w:tcBorders>
              <w:left w:val="single" w:sz="8" w:color="D7282F"/>
            </w:tcBorders>
            <w:shd w:val="clear" w:color="auto" w:fill="EBEBEC"/>
          </w:tcPr>
          <w:p>
            <w:pPr>
              <w:spacing w:after="0"/>
              <w:rPr>
                <w:sz w:val="24"/>
                <w:szCs w:val="24"/>
                <w:color w:val="auto"/>
              </w:rPr>
            </w:pPr>
          </w:p>
        </w:tc>
        <w:tc>
          <w:tcPr>
            <w:tcW w:w="3500" w:type="dxa"/>
            <w:vAlign w:val="bottom"/>
            <w:shd w:val="clear" w:color="auto" w:fill="EBEBEC"/>
          </w:tcPr>
          <w:p>
            <w:pPr>
              <w:ind w:left="20"/>
              <w:spacing w:after="0"/>
              <w:rPr>
                <w:sz w:val="20"/>
                <w:szCs w:val="20"/>
                <w:color w:val="auto"/>
              </w:rPr>
            </w:pPr>
            <w:r>
              <w:rPr>
                <w:rFonts w:ascii="Arial" w:cs="Arial" w:eastAsia="Arial" w:hAnsi="Arial"/>
                <w:sz w:val="16"/>
                <w:szCs w:val="16"/>
                <w:color w:val="auto"/>
              </w:rPr>
              <w:t>of whom are in the United States.</w:t>
            </w:r>
          </w:p>
        </w:tc>
        <w:tc>
          <w:tcPr>
            <w:tcW w:w="0" w:type="dxa"/>
            <w:vAlign w:val="bottom"/>
          </w:tcPr>
          <w:p>
            <w:pPr>
              <w:spacing w:after="0"/>
              <w:rPr>
                <w:sz w:val="1"/>
                <w:szCs w:val="1"/>
                <w:color w:val="auto"/>
              </w:rPr>
            </w:pPr>
          </w:p>
        </w:tc>
      </w:tr>
      <w:tr>
        <w:trPr>
          <w:trHeight w:val="386"/>
        </w:trPr>
        <w:tc>
          <w:tcPr>
            <w:tcW w:w="240" w:type="dxa"/>
            <w:vAlign w:val="bottom"/>
            <w:tcBorders>
              <w:right w:val="single" w:sz="8" w:color="D7282F"/>
            </w:tcBorders>
          </w:tcPr>
          <w:p>
            <w:pPr>
              <w:spacing w:after="0"/>
              <w:rPr>
                <w:sz w:val="24"/>
                <w:szCs w:val="24"/>
                <w:color w:val="auto"/>
              </w:rPr>
            </w:pPr>
          </w:p>
        </w:tc>
        <w:tc>
          <w:tcPr>
            <w:tcW w:w="220" w:type="dxa"/>
            <w:vAlign w:val="bottom"/>
            <w:tcBorders>
              <w:bottom w:val="single" w:sz="8" w:color="EBEBEC"/>
            </w:tcBorders>
            <w:shd w:val="clear" w:color="auto" w:fill="EBEBEC"/>
          </w:tcPr>
          <w:p>
            <w:pPr>
              <w:spacing w:after="0"/>
              <w:rPr>
                <w:sz w:val="24"/>
                <w:szCs w:val="24"/>
                <w:color w:val="auto"/>
              </w:rPr>
            </w:pPr>
          </w:p>
        </w:tc>
        <w:tc>
          <w:tcPr>
            <w:tcW w:w="3540" w:type="dxa"/>
            <w:vAlign w:val="bottom"/>
            <w:tcBorders>
              <w:bottom w:val="single" w:sz="8" w:color="EBEBEC"/>
            </w:tcBorders>
            <w:shd w:val="clear" w:color="auto" w:fill="EBEBEC"/>
          </w:tcPr>
          <w:p>
            <w:pPr>
              <w:spacing w:after="0"/>
              <w:rPr>
                <w:sz w:val="24"/>
                <w:szCs w:val="24"/>
                <w:color w:val="auto"/>
              </w:rPr>
            </w:pPr>
          </w:p>
        </w:tc>
        <w:tc>
          <w:tcPr>
            <w:tcW w:w="220" w:type="dxa"/>
            <w:vAlign w:val="bottom"/>
            <w:tcBorders>
              <w:left w:val="single" w:sz="8" w:color="D7282F"/>
              <w:bottom w:val="single" w:sz="8" w:color="EBEBEC"/>
            </w:tcBorders>
            <w:shd w:val="clear" w:color="auto" w:fill="EBEBEC"/>
          </w:tcPr>
          <w:p>
            <w:pPr>
              <w:spacing w:after="0"/>
              <w:rPr>
                <w:sz w:val="24"/>
                <w:szCs w:val="24"/>
                <w:color w:val="auto"/>
              </w:rPr>
            </w:pPr>
          </w:p>
        </w:tc>
        <w:tc>
          <w:tcPr>
            <w:tcW w:w="3500" w:type="dxa"/>
            <w:vAlign w:val="bottom"/>
            <w:tcBorders>
              <w:bottom w:val="single" w:sz="8" w:color="EBEBEC"/>
            </w:tcBorders>
            <w:shd w:val="clear" w:color="auto" w:fill="EBEBE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298450</wp:posOffset>
            </wp:positionH>
            <wp:positionV relativeFrom="paragraph">
              <wp:posOffset>-1174115</wp:posOffset>
            </wp:positionV>
            <wp:extent cx="325755" cy="3257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clrChange>
                        <a:clrFrom>
                          <a:srgbClr val="000000"/>
                        </a:clrFrom>
                        <a:clrTo>
                          <a:srgbClr val="000000">
                            <a:alpha val="0"/>
                          </a:srgbClr>
                        </a:clrTo>
                      </a:clrChange>
                      <a:extLst>
                        <a:ext uri="{28A0092B-C50C-407E-A947-70E740481C1C}"/>
                      </a:extLst>
                    </a:blip>
                    <a:srcRect/>
                    <a:stretch>
                      <a:fillRect/>
                    </a:stretch>
                  </pic:blipFill>
                  <pic:spPr bwMode="auto">
                    <a:xfrm>
                      <a:off x="0" y="0"/>
                      <a:ext cx="325755" cy="325755"/>
                    </a:xfrm>
                    <a:prstGeom prst="rect">
                      <a:avLst/>
                    </a:prstGeom>
                    <a:noFill/>
                  </pic:spPr>
                </pic:pic>
              </a:graphicData>
            </a:graphic>
          </wp:anchor>
        </w:drawing>
        <w:drawing>
          <wp:anchor simplePos="0" relativeHeight="251657728" behindDoc="1" locked="0" layoutInCell="0" allowOverlap="1">
            <wp:simplePos x="0" y="0"/>
            <wp:positionH relativeFrom="column">
              <wp:posOffset>298450</wp:posOffset>
            </wp:positionH>
            <wp:positionV relativeFrom="paragraph">
              <wp:posOffset>-1174115</wp:posOffset>
            </wp:positionV>
            <wp:extent cx="325755" cy="3257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clrChange>
                        <a:clrFrom>
                          <a:srgbClr val="FFFFFF"/>
                        </a:clrFrom>
                        <a:clrTo>
                          <a:srgbClr val="FFFFFF">
                            <a:alpha val="0"/>
                          </a:srgbClr>
                        </a:clrTo>
                      </a:clrChange>
                      <a:extLst>
                        <a:ext uri="{28A0092B-C50C-407E-A947-70E740481C1C}"/>
                      </a:extLst>
                    </a:blip>
                    <a:srcRect/>
                    <a:stretch>
                      <a:fillRect/>
                    </a:stretch>
                  </pic:blipFill>
                  <pic:spPr bwMode="auto">
                    <a:xfrm>
                      <a:off x="0" y="0"/>
                      <a:ext cx="325755" cy="325755"/>
                    </a:xfrm>
                    <a:prstGeom prst="rect">
                      <a:avLst/>
                    </a:prstGeom>
                    <a:noFill/>
                  </pic:spPr>
                </pic:pic>
              </a:graphicData>
            </a:graphic>
          </wp:anchor>
        </w:drawing>
        <w:drawing>
          <wp:anchor simplePos="0" relativeHeight="251657728" behindDoc="1" locked="0" layoutInCell="0" allowOverlap="1">
            <wp:simplePos x="0" y="0"/>
            <wp:positionH relativeFrom="column">
              <wp:posOffset>2690495</wp:posOffset>
            </wp:positionH>
            <wp:positionV relativeFrom="paragraph">
              <wp:posOffset>-1165225</wp:posOffset>
            </wp:positionV>
            <wp:extent cx="480060" cy="3168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clrChange>
                        <a:clrFrom>
                          <a:srgbClr val="000000"/>
                        </a:clrFrom>
                        <a:clrTo>
                          <a:srgbClr val="000000">
                            <a:alpha val="0"/>
                          </a:srgbClr>
                        </a:clrTo>
                      </a:clrChange>
                      <a:extLst>
                        <a:ext uri="{28A0092B-C50C-407E-A947-70E740481C1C}"/>
                      </a:extLst>
                    </a:blip>
                    <a:srcRect/>
                    <a:stretch>
                      <a:fillRect/>
                    </a:stretch>
                  </pic:blipFill>
                  <pic:spPr bwMode="auto">
                    <a:xfrm>
                      <a:off x="0" y="0"/>
                      <a:ext cx="480060" cy="316865"/>
                    </a:xfrm>
                    <a:prstGeom prst="rect">
                      <a:avLst/>
                    </a:prstGeom>
                    <a:noFill/>
                  </pic:spPr>
                </pic:pic>
              </a:graphicData>
            </a:graphic>
          </wp:anchor>
        </w:drawing>
        <w:drawing>
          <wp:anchor simplePos="0" relativeHeight="251657728" behindDoc="1" locked="0" layoutInCell="0" allowOverlap="1">
            <wp:simplePos x="0" y="0"/>
            <wp:positionH relativeFrom="column">
              <wp:posOffset>2690495</wp:posOffset>
            </wp:positionH>
            <wp:positionV relativeFrom="paragraph">
              <wp:posOffset>-1165225</wp:posOffset>
            </wp:positionV>
            <wp:extent cx="480060" cy="3168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clrChange>
                        <a:clrFrom>
                          <a:srgbClr val="FFFFFF"/>
                        </a:clrFrom>
                        <a:clrTo>
                          <a:srgbClr val="FFFFFF">
                            <a:alpha val="0"/>
                          </a:srgbClr>
                        </a:clrTo>
                      </a:clrChange>
                      <a:extLst>
                        <a:ext uri="{28A0092B-C50C-407E-A947-70E740481C1C}"/>
                      </a:extLst>
                    </a:blip>
                    <a:srcRect/>
                    <a:stretch>
                      <a:fillRect/>
                    </a:stretch>
                  </pic:blipFill>
                  <pic:spPr bwMode="auto">
                    <a:xfrm>
                      <a:off x="0" y="0"/>
                      <a:ext cx="480060" cy="316865"/>
                    </a:xfrm>
                    <a:prstGeom prst="rect">
                      <a:avLst/>
                    </a:prstGeom>
                    <a:noFill/>
                  </pic:spPr>
                </pic:pic>
              </a:graphicData>
            </a:graphic>
          </wp:anchor>
        </w:drawing>
      </w:r>
    </w:p>
    <w:p>
      <w:pPr>
        <w:spacing w:after="0" w:line="130" w:lineRule="exact"/>
        <w:rPr>
          <w:sz w:val="20"/>
          <w:szCs w:val="20"/>
          <w:color w:val="auto"/>
        </w:rPr>
      </w:pPr>
    </w:p>
    <w:p>
      <w:pPr>
        <w:sectPr>
          <w:pgSz w:w="11900" w:h="16838" w:orient="portrait"/>
          <w:cols w:equalWidth="0" w:num="2">
            <w:col w:w="3260" w:space="260"/>
            <w:col w:w="7720"/>
          </w:cols>
          <w:pgMar w:left="320" w:top="270" w:right="339" w:bottom="1440" w:gutter="0" w:footer="0" w:header="0"/>
          <w:type w:val="continuous"/>
        </w:sectPr>
      </w:pPr>
    </w:p>
    <w:p>
      <w:pPr>
        <w:ind w:left="480" w:right="20" w:hanging="344"/>
        <w:spacing w:after="0" w:line="264" w:lineRule="auto"/>
        <w:tabs>
          <w:tab w:leader="none" w:pos="480" w:val="left"/>
        </w:tabs>
        <w:numPr>
          <w:ilvl w:val="0"/>
          <w:numId w:val="41"/>
        </w:numPr>
        <w:rPr>
          <w:rFonts w:ascii="Arial" w:cs="Arial" w:eastAsia="Arial" w:hAnsi="Arial"/>
          <w:sz w:val="13"/>
          <w:szCs w:val="13"/>
          <w:color w:val="auto"/>
        </w:rPr>
      </w:pPr>
      <w:r>
        <w:rPr>
          <w:rFonts w:ascii="Arial" w:cs="Arial" w:eastAsia="Arial" w:hAnsi="Arial"/>
          <w:sz w:val="13"/>
          <w:szCs w:val="13"/>
          <w:color w:val="auto"/>
        </w:rPr>
        <w:t>Excludes Sandia National Laboratories (Sandia) and Kansas City National Security Campus (KCNSC) work forces of approximately 24,000 employees. Sandia and KCNSC are U.S. Department of Energy facilities. Honeywell manages these facilities as a contract operator and does not establish or control their human resource policies.</w:t>
      </w:r>
    </w:p>
    <w:p>
      <w:pPr>
        <w:spacing w:after="0" w:line="32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OUR CULTURE</w:t>
      </w:r>
    </w:p>
    <w:p>
      <w:pPr>
        <w:spacing w:after="0" w:line="128"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Honeywell has built a reputation of “doing what we say.” At the center of that commitment to excellence is a high-performance culture rooted in our Foundational Principles and driven by the Six Honeywell Behaviors. The Six Behaviors reflect the bold, entrepreneurial spirit we seek to foster while emphasizing our goal to operate with speed and precision. At their foundation is a commitment to Safety Always, Integrity and Ethics, Inclusion and Diversity, and Workplace Respect, fundamental values that underlie everything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1393825</wp:posOffset>
            </wp:positionH>
            <wp:positionV relativeFrom="paragraph">
              <wp:posOffset>46990</wp:posOffset>
            </wp:positionV>
            <wp:extent cx="4354830" cy="40716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354830" cy="4071620"/>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00" w:hanging="392"/>
        <w:spacing w:after="0"/>
        <w:tabs>
          <w:tab w:leader="none" w:pos="400" w:val="left"/>
        </w:tabs>
        <w:numPr>
          <w:ilvl w:val="0"/>
          <w:numId w:val="42"/>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type w:val="continuous"/>
        </w:sectPr>
      </w:pPr>
    </w:p>
    <w:bookmarkStart w:id="14" w:name="page15"/>
    <w:bookmarkEnd w:id="14"/>
    <w:p>
      <w:pPr>
        <w:ind w:left="20"/>
        <w:spacing w:after="0"/>
        <w:tabs>
          <w:tab w:leader="none" w:pos="992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ABOUT HONEYWELL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Our Code of Business Conduct establishes the baseline requirements of our integrity and compliance program and promotes an environment where everyone is treated ethically and with respect. It outlines our pledge to recognize the dignity of each individual, respect each employee, provide compensation and benefits that are competitive, promote self-development through training, and value diversity of perspectives and ideas. All employees must complete Code of Business Conduct training and, where permitted by law, must also certify each year that they will comply with the Code.</w:t>
      </w:r>
    </w:p>
    <w:p>
      <w:pPr>
        <w:spacing w:after="0" w:line="7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Overall, we believe our culture, along with our internal tools and initiatives, enable us to effectively execute our human capital strategy. For discussion on the risks relating to the ability to attract and retain top-performing talent, please see the section titled </w:t>
      </w:r>
      <w:r>
        <w:rPr>
          <w:rFonts w:ascii="Arial" w:cs="Arial" w:eastAsia="Arial" w:hAnsi="Arial"/>
          <w:sz w:val="16"/>
          <w:szCs w:val="16"/>
          <w:u w:val="single" w:color="auto"/>
          <w:color w:val="0000FF"/>
        </w:rPr>
        <w:t>Risk Factors</w:t>
      </w:r>
      <w:r>
        <w:rPr>
          <w:rFonts w:ascii="Arial" w:cs="Arial" w:eastAsia="Arial" w:hAnsi="Arial"/>
          <w:sz w:val="16"/>
          <w:szCs w:val="16"/>
          <w:color w:val="auto"/>
        </w:rPr>
        <w:t>.</w:t>
      </w:r>
    </w:p>
    <w:p>
      <w:pPr>
        <w:spacing w:after="0" w:line="18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TALENT ACQUISITION AND MANAGEMENT</w:t>
      </w:r>
    </w:p>
    <w:p>
      <w:pPr>
        <w:spacing w:after="0" w:line="12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Our internal talent acquisition and management platform is a key component to recruiting, hiring, and developing top-performing talent. We provide our hiring managers with training and toolkits to reinforce their role in bringing top talent into the Company. Further, we partner with top academic institutions and external professional organizations to attract and retain top talent. Our talent review process requires our people managers to have semi-annual career discussions with each member of their teams to discuss the best opportunity for growth and development, which enhances our identification of candidates for internal promotion and succession planning.</w:t>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b w:val="1"/>
          <w:bCs w:val="1"/>
          <w:color w:val="D7282F"/>
        </w:rPr>
        <w:t>VOICE OF THE EMPLOYEE</w:t>
      </w:r>
    </w:p>
    <w:p>
      <w:pPr>
        <w:spacing w:after="0" w:line="131"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The Voice of the Employee feedback survey is conducted annually with all global employees with the commitment to listening, learning, and taking action to make Honeywell an even better place to work. The survey provides data and tools to leaders at all levels to best drive actionable plans around employee engagement and build our desired culture that attracts and retains top talent, improves performance, and distinguishes the Company as a great place to work.</w:t>
      </w:r>
    </w:p>
    <w:p>
      <w:pPr>
        <w:spacing w:after="0" w:line="346" w:lineRule="exact"/>
        <w:rPr>
          <w:sz w:val="20"/>
          <w:szCs w:val="20"/>
          <w:color w:val="auto"/>
        </w:rPr>
      </w:pPr>
    </w:p>
    <w:p>
      <w:pPr>
        <w:spacing w:after="0"/>
        <w:rPr>
          <w:sz w:val="20"/>
          <w:szCs w:val="20"/>
          <w:color w:val="auto"/>
        </w:rPr>
      </w:pPr>
      <w:r>
        <w:rPr>
          <w:rFonts w:ascii="Arial" w:cs="Arial" w:eastAsia="Arial" w:hAnsi="Arial"/>
          <w:sz w:val="20"/>
          <w:szCs w:val="20"/>
          <w:b w:val="1"/>
          <w:bCs w:val="1"/>
          <w:color w:val="D7282F"/>
        </w:rPr>
        <w:t>EMPLOYEE WELL-BEING</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Our well-being focus addresses physical, mental, financial, individual, and community needs, providing benefits and resources to help employees and their families be their best, both personally and professionally. We facilitated several campaigns to promote well-being and help provide visibility to resources and available benefits across a range of topics from health and wellness programs to caring for your family and taking care of finances. We promoted mental health globally during Mental Health Awareness month, during which we offered a variety of benefits and resources, hosted live webinars, and introduced a new global forum for managers on how to support employee well-being. We offer Employee Assistance Programs or therapy sessions to all employees and family members globally, comprehensive mental health benefits to those enrolled in the U.S. medical plan, virtual mental health options and navigation tools to improve access and speed of care, and preventive/mental health resilience programs.</w:t>
      </w:r>
    </w:p>
    <w:p>
      <w:pPr>
        <w:spacing w:after="0" w:line="200" w:lineRule="exact"/>
        <w:rPr>
          <w:sz w:val="20"/>
          <w:szCs w:val="20"/>
          <w:color w:val="auto"/>
        </w:rPr>
      </w:pPr>
    </w:p>
    <w:p>
      <w:pPr>
        <w:spacing w:after="0" w:line="205" w:lineRule="exact"/>
        <w:rPr>
          <w:sz w:val="20"/>
          <w:szCs w:val="20"/>
          <w:color w:val="auto"/>
        </w:rPr>
      </w:pPr>
    </w:p>
    <w:p>
      <w:pPr>
        <w:ind w:left="400" w:hanging="392"/>
        <w:spacing w:after="0"/>
        <w:tabs>
          <w:tab w:leader="none" w:pos="400" w:val="left"/>
        </w:tabs>
        <w:numPr>
          <w:ilvl w:val="0"/>
          <w:numId w:val="43"/>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15" w:name="page16"/>
    <w:bookmarkEnd w:id="15"/>
    <w:p>
      <w:pPr>
        <w:ind w:left="20"/>
        <w:spacing w:after="0"/>
        <w:tabs>
          <w:tab w:leader="none" w:pos="992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ABOUT HONEYWELL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TRAINING AND LEADERSHIP DEVELOPMENT</w:t>
      </w:r>
    </w:p>
    <w:p>
      <w:pPr>
        <w:spacing w:after="0" w:line="12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Investing in continuous learning and leadership development is at the core of our culture and long-term business growth strategy. Learning and training underscores our culture of development, continuous improvement, and integrity and compliance. We offer and encourage career and leadership development programs and learning available on Honeywell Accelerator.</w:t>
      </w:r>
    </w:p>
    <w:p>
      <w:pPr>
        <w:spacing w:after="0" w:line="89" w:lineRule="exact"/>
        <w:rPr>
          <w:sz w:val="20"/>
          <w:szCs w:val="20"/>
          <w:color w:val="auto"/>
        </w:rPr>
      </w:pPr>
    </w:p>
    <w:p>
      <w:pPr>
        <w:ind w:left="100"/>
        <w:spacing w:after="0"/>
        <w:rPr>
          <w:sz w:val="20"/>
          <w:szCs w:val="20"/>
          <w:color w:val="auto"/>
        </w:rPr>
      </w:pPr>
      <w:r>
        <w:rPr>
          <w:rFonts w:ascii="Arial" w:cs="Arial" w:eastAsia="Arial" w:hAnsi="Arial"/>
          <w:sz w:val="43"/>
          <w:szCs w:val="43"/>
          <w:b w:val="1"/>
          <w:bCs w:val="1"/>
          <w:color w:val="D7282F"/>
        </w:rPr>
        <w:t>HONEYWELL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-171450</wp:posOffset>
            </wp:positionV>
            <wp:extent cx="3291840" cy="32918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291840" cy="3291840"/>
                    </a:xfrm>
                    <a:prstGeom prst="rect">
                      <a:avLst/>
                    </a:prstGeom>
                    <a:noFill/>
                  </pic:spPr>
                </pic:pic>
              </a:graphicData>
            </a:graphic>
          </wp:anchor>
        </w:drawing>
      </w:r>
    </w:p>
    <w:p>
      <w:pPr>
        <w:ind w:left="100"/>
        <w:spacing w:after="0"/>
        <w:rPr>
          <w:sz w:val="20"/>
          <w:szCs w:val="20"/>
          <w:color w:val="auto"/>
        </w:rPr>
      </w:pPr>
      <w:r>
        <w:rPr>
          <w:rFonts w:ascii="Arial" w:cs="Arial" w:eastAsia="Arial" w:hAnsi="Arial"/>
          <w:sz w:val="43"/>
          <w:szCs w:val="43"/>
          <w:b w:val="1"/>
          <w:bCs w:val="1"/>
          <w:color w:val="auto"/>
        </w:rPr>
        <w:t>ACCELERATOR</w:t>
      </w:r>
    </w:p>
    <w:p>
      <w:pPr>
        <w:spacing w:after="0" w:line="112" w:lineRule="exact"/>
        <w:rPr>
          <w:sz w:val="20"/>
          <w:szCs w:val="20"/>
          <w:color w:val="auto"/>
        </w:rPr>
      </w:pPr>
    </w:p>
    <w:p>
      <w:pPr>
        <w:jc w:val="both"/>
        <w:ind w:left="100" w:right="6700"/>
        <w:spacing w:after="0" w:line="258" w:lineRule="auto"/>
        <w:rPr>
          <w:sz w:val="20"/>
          <w:szCs w:val="20"/>
          <w:color w:val="auto"/>
        </w:rPr>
      </w:pPr>
      <w:r>
        <w:rPr>
          <w:rFonts w:ascii="Arial" w:cs="Arial" w:eastAsia="Arial" w:hAnsi="Arial"/>
          <w:sz w:val="16"/>
          <w:szCs w:val="16"/>
          <w:color w:val="auto"/>
        </w:rPr>
        <w:t>Honeywell Accelerator is the framework for how we think, run, and grow our business. It provides a unified approach to drive transformation and continuous improvement to give our teams the capabilities needed to win in the marketplace. This is accomplished by understanding our markets and our four dominant business models and how to most effectively operate them to grow. We design end-to-end digitized business processes, underpinned by global design models, lean and Six Sigma principles, 80/20 rules, and Digital Operations.</w:t>
      </w:r>
    </w:p>
    <w:p>
      <w:pPr>
        <w:spacing w:after="0" w:line="74" w:lineRule="exact"/>
        <w:rPr>
          <w:sz w:val="20"/>
          <w:szCs w:val="20"/>
          <w:color w:val="auto"/>
        </w:rPr>
      </w:pPr>
    </w:p>
    <w:p>
      <w:pPr>
        <w:jc w:val="both"/>
        <w:ind w:left="100" w:right="6700"/>
        <w:spacing w:after="0" w:line="265" w:lineRule="auto"/>
        <w:rPr>
          <w:sz w:val="20"/>
          <w:szCs w:val="20"/>
          <w:color w:val="auto"/>
        </w:rPr>
      </w:pPr>
      <w:r>
        <w:rPr>
          <w:rFonts w:ascii="Arial" w:cs="Arial" w:eastAsia="Arial" w:hAnsi="Arial"/>
          <w:sz w:val="16"/>
          <w:szCs w:val="16"/>
          <w:color w:val="auto"/>
        </w:rPr>
        <w:t>Our contemporary, interactive, and accessible learning platform, Accelerator Learning, serves as a central source of information and supports our commitment to continuous learning, which is core to our culture and long-term business growth strategy.</w:t>
      </w:r>
    </w:p>
    <w:p>
      <w:pPr>
        <w:spacing w:after="0" w:line="64" w:lineRule="exact"/>
        <w:rPr>
          <w:sz w:val="20"/>
          <w:szCs w:val="20"/>
          <w:color w:val="auto"/>
        </w:rPr>
      </w:pPr>
    </w:p>
    <w:p>
      <w:pPr>
        <w:jc w:val="both"/>
        <w:ind w:left="100" w:right="6700"/>
        <w:spacing w:after="0" w:line="265" w:lineRule="auto"/>
        <w:rPr>
          <w:sz w:val="20"/>
          <w:szCs w:val="20"/>
          <w:color w:val="auto"/>
        </w:rPr>
      </w:pPr>
      <w:r>
        <w:rPr>
          <w:rFonts w:ascii="Arial" w:cs="Arial" w:eastAsia="Arial" w:hAnsi="Arial"/>
          <w:sz w:val="16"/>
          <w:szCs w:val="16"/>
          <w:color w:val="auto"/>
        </w:rPr>
        <w:t>With over 600 virtual learning modules, this digital learning center creates common knowledge across the enterprise, helping new-joiner and long-time employees leverage the Honeywell operating system to make immediate, positive impacts.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expect our people managers to model behaviors that promote a culture that is open and inclusive for all employees. We help managers develop this skill as they do any other leadership skill through training programs, interactive learning, and real-time events, including the hiring and talent review processes. Our broad portfolio of leadership development programs provide training in core management skills to leaders across the organization. We deploy unconscious bias and inclusive leadership training to our global workforce to educate and influence behavior.</w:t>
      </w:r>
    </w:p>
    <w:p>
      <w:pPr>
        <w:spacing w:after="0" w:line="20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INCLUSION AND DIVERSITY</w:t>
      </w:r>
    </w:p>
    <w:p>
      <w:pPr>
        <w:spacing w:after="0" w:line="128"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As a global enterprise serving customers from all backgrounds, in almost every geography, and in a wide array of end markets, Inclusion and Diversity is a fundamental value that enables our long-term strategy. We strive for an inclusive environment where all employees feel valued and respected, and can innovate to solve the world's most challenging problems. With our global programs and inclusive culture, we recruit, develop, retain, and promote top talent around the world. We continue to build partnerships and develop resources to support our employees globally.</w:t>
      </w:r>
    </w:p>
    <w:p>
      <w:pPr>
        <w:spacing w:after="0" w:line="60"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Our commitment to Inclusion and Diversity starts at the top with a diverse Board of Directors (the Board) and executive management team, who represent a broad spectrum of backgrounds and perspectives. We believe that the diversity of the Board and the diversity of Honeywell’s executive leadership supports our evolving business strategy and is a testament to Honeywell’s ongoing commitment to the merit-based hiring of diverse talent, and the development and retention of that talent.</w:t>
      </w:r>
    </w:p>
    <w:p>
      <w:pPr>
        <w:spacing w:after="0" w:line="7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Our Global Inclusion and Diversity Steering Committee is co-sponsored by our Chairman and CEO, Senior Vice President and General Counsel, and Senior Vice President and Chief Human Resources Officer. The committee fortifies our inclusion and diversity governance structure and is augmented by the councils embedded in each of our business groups. The governance structure provides a scalable model that supports our nine employee networks. Each of our employee networks are open to all employees and participation is voluntary. Through our networks, we foster collaboration and belonging, enabling everyone to share and learn from one another and fully contribute at work and in the community in an inclusive and supportive environment.</w:t>
      </w:r>
    </w:p>
    <w:p>
      <w:pPr>
        <w:spacing w:after="0" w:line="200" w:lineRule="exact"/>
        <w:rPr>
          <w:sz w:val="20"/>
          <w:szCs w:val="20"/>
          <w:color w:val="auto"/>
        </w:rPr>
      </w:pPr>
    </w:p>
    <w:p>
      <w:pPr>
        <w:spacing w:after="0" w:line="223" w:lineRule="exact"/>
        <w:rPr>
          <w:sz w:val="20"/>
          <w:szCs w:val="20"/>
          <w:color w:val="auto"/>
        </w:rPr>
      </w:pPr>
    </w:p>
    <w:p>
      <w:pPr>
        <w:ind w:left="400" w:hanging="392"/>
        <w:spacing w:after="0"/>
        <w:tabs>
          <w:tab w:leader="none" w:pos="400" w:val="left"/>
        </w:tabs>
        <w:numPr>
          <w:ilvl w:val="0"/>
          <w:numId w:val="44"/>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16" w:name="page17"/>
    <w:bookmarkEnd w:id="16"/>
    <w:p>
      <w:pPr>
        <w:ind w:left="20"/>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540"/>
        <w:spacing w:after="0" w:line="297" w:lineRule="auto"/>
        <w:rPr>
          <w:sz w:val="20"/>
          <w:szCs w:val="20"/>
          <w:color w:val="auto"/>
        </w:rPr>
      </w:pPr>
      <w:r>
        <w:rPr>
          <w:rFonts w:ascii="Arial" w:cs="Arial" w:eastAsia="Arial" w:hAnsi="Arial"/>
          <w:sz w:val="36"/>
          <w:szCs w:val="36"/>
          <w:b w:val="1"/>
          <w:bCs w:val="1"/>
          <w:color w:val="auto"/>
        </w:rPr>
        <w:t>MANAGEMENT'S DISCUSSION AND ANALYSIS OF FINANCIAL CONDITION AND RESULTS OF OPERATIONS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(Dollars in tables and graphs in millions, except per share amounts)</w:t>
      </w:r>
    </w:p>
    <w:p>
      <w:pPr>
        <w:spacing w:after="0" w:line="11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 xml:space="preserve">The following Management’s Discussion and Analysis of Financial Condition and Results of Operations is intended to help the reader understand the results of operations and financial condition of Honeywell International Inc. and its consolidated subsidiaries (Honeywell, we, us, our, or the Company) for the three years ended December 31, 2024. All references to Notes relate to Notes to Consolidated Financial Statements in the section titled </w:t>
      </w:r>
      <w:r>
        <w:rPr>
          <w:rFonts w:ascii="Arial" w:cs="Arial" w:eastAsia="Arial" w:hAnsi="Arial"/>
          <w:sz w:val="16"/>
          <w:szCs w:val="16"/>
          <w:u w:val="single" w:color="auto"/>
          <w:color w:val="0000FF"/>
        </w:rPr>
        <w:t>Financial Statements and</w:t>
      </w:r>
      <w:r>
        <w:rPr>
          <w:rFonts w:ascii="Arial" w:cs="Arial" w:eastAsia="Arial" w:hAnsi="Arial"/>
          <w:sz w:val="16"/>
          <w:szCs w:val="16"/>
          <w:color w:val="auto"/>
        </w:rPr>
        <w:t xml:space="preserve"> </w:t>
      </w:r>
      <w:r>
        <w:rPr>
          <w:rFonts w:ascii="Arial" w:cs="Arial" w:eastAsia="Arial" w:hAnsi="Arial"/>
          <w:sz w:val="16"/>
          <w:szCs w:val="16"/>
          <w:u w:val="single" w:color="auto"/>
          <w:color w:val="0000FF"/>
        </w:rPr>
        <w:t>Supplementary Data</w:t>
      </w:r>
      <w:r>
        <w:rPr>
          <w:rFonts w:ascii="Arial" w:cs="Arial" w:eastAsia="Arial" w:hAnsi="Arial"/>
          <w:sz w:val="16"/>
          <w:szCs w:val="16"/>
          <w:color w:val="000000"/>
        </w:rPr>
        <w:t>.</w:t>
      </w:r>
    </w:p>
    <w:p>
      <w:pPr>
        <w:spacing w:after="0" w:line="78" w:lineRule="exact"/>
        <w:rPr>
          <w:sz w:val="20"/>
          <w:szCs w:val="20"/>
          <w:color w:val="auto"/>
        </w:rPr>
      </w:pPr>
    </w:p>
    <w:p>
      <w:pPr>
        <w:jc w:val="both"/>
        <w:spacing w:after="0" w:line="269" w:lineRule="auto"/>
        <w:rPr>
          <w:rFonts w:ascii="Arial" w:cs="Arial" w:eastAsia="Arial" w:hAnsi="Arial"/>
          <w:sz w:val="16"/>
          <w:szCs w:val="16"/>
          <w:color w:val="auto"/>
        </w:rPr>
      </w:pPr>
      <w:r>
        <w:rPr>
          <w:rFonts w:ascii="Arial" w:cs="Arial" w:eastAsia="Arial" w:hAnsi="Arial"/>
          <w:sz w:val="16"/>
          <w:szCs w:val="16"/>
          <w:color w:val="auto"/>
        </w:rPr>
        <w:t xml:space="preserve">A detailed discussion of the prior year 2023 to 2022 year-over-year changes is not included herein and can be found in the Management's Discussion and Analysis of Financial Condition and Results of Operations section in </w:t>
      </w:r>
      <w:hyperlink r:id="rId85">
        <w:r>
          <w:rPr>
            <w:rFonts w:ascii="Arial" w:cs="Arial" w:eastAsia="Arial" w:hAnsi="Arial"/>
            <w:sz w:val="16"/>
            <w:szCs w:val="16"/>
            <w:b w:val="1"/>
            <w:bCs w:val="1"/>
            <w:color w:val="auto"/>
          </w:rPr>
          <w:t>Exhibit 99.1 to the Current Report on Form 8-K filed April 25, 2024</w:t>
        </w:r>
      </w:hyperlink>
      <w:r>
        <w:rPr>
          <w:rFonts w:ascii="Arial" w:cs="Arial" w:eastAsia="Arial" w:hAnsi="Arial"/>
          <w:sz w:val="16"/>
          <w:szCs w:val="16"/>
          <w:color w:val="auto"/>
        </w:rPr>
        <w:t>, which updated our Form 10-K for the year ended December 31, 2023, by recasting historical segment information to reflect the realignment of certain of the Company's business units effective the first quarter of 2024 and impacted the composition of the Company's reportable segments</w:t>
      </w:r>
      <w:r>
        <w:rPr>
          <w:rFonts w:ascii="Arial" w:cs="Arial" w:eastAsia="Arial" w:hAnsi="Arial"/>
          <w:sz w:val="16"/>
          <w:szCs w:val="16"/>
          <w:b w:val="1"/>
          <w:bCs w:val="1"/>
          <w:color w:val="auto"/>
        </w:rPr>
        <w:t>.</w:t>
      </w:r>
    </w:p>
    <w:p>
      <w:pPr>
        <w:spacing w:after="0" w:line="224" w:lineRule="exact"/>
        <w:rPr>
          <w:sz w:val="20"/>
          <w:szCs w:val="20"/>
          <w:color w:val="auto"/>
        </w:rPr>
      </w:pPr>
    </w:p>
    <w:p>
      <w:pPr>
        <w:spacing w:after="0"/>
        <w:rPr>
          <w:sz w:val="20"/>
          <w:szCs w:val="20"/>
          <w:color w:val="auto"/>
        </w:rPr>
      </w:pPr>
      <w:r>
        <w:rPr>
          <w:rFonts w:ascii="Arial" w:cs="Arial" w:eastAsia="Arial" w:hAnsi="Arial"/>
          <w:sz w:val="29"/>
          <w:szCs w:val="29"/>
          <w:color w:val="D7282F"/>
        </w:rPr>
        <w:t>BUSINESS UPDATE</w:t>
      </w:r>
    </w:p>
    <w:p>
      <w:pPr>
        <w:spacing w:after="0" w:line="26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MACROECONOMIC CONDITIONS</w:t>
      </w:r>
    </w:p>
    <w:p>
      <w:pPr>
        <w:spacing w:after="0" w:line="128"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We continue to monitor the impacts of ongoing macroeconomic conditions and geopolitical events. An escalation of geopolitical tensions or the implementation of global trade restrictions could impede disinflation and negatively impact growth prospects. Global conflicts, tariffs, labor disruptions, and regulations continue to create volatility in global markets and contribute to supply chain shortages and pricing volatility. We continue to actively collaborate with our suppliers to minimize shortages and reduce supply and price volatility. Global growth in the economy is projected to remain stable with further easing of inflation.</w:t>
      </w:r>
    </w:p>
    <w:p>
      <w:pPr>
        <w:spacing w:after="0" w:line="26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Our mitigation strategies include pricing actions and hedging strategies, longer term planning for constrained materials, new supplier development, material supply tracking tools, and direct engagement with key suppliers to meet customer demand. Our continued relationships with strategic primary and secondary suppliers allow us to reliably source key components and raw materials, which include considering altering existing products, developing new products, and committing our own resources to assist certain suppliers. We believe these mitigation strategies enable us to reduce supply risk, accelerate new product innovation, and expand our penetration in the markets we serve. Additionally, due to the strenuous quality controls and product qualification we perform on a new or altered product, these mitigation strategies have not impacted, and we do not expect them to impact, product quality or reliability.</w:t>
      </w:r>
    </w:p>
    <w:p>
      <w:pPr>
        <w:spacing w:after="0" w:line="68"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To date, our strategies successfully mitigated our exposure to these conditions. However, if we are not successful in sustaining or executing these strategies, these macroeconomic conditions could have a material adverse effect on our consolidated results of operations or operating cash flows.</w:t>
      </w:r>
    </w:p>
    <w:p>
      <w:pPr>
        <w:spacing w:after="0" w:line="33"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 xml:space="preserve">See the section titled </w:t>
      </w:r>
      <w:r>
        <w:rPr>
          <w:rFonts w:ascii="Arial" w:cs="Arial" w:eastAsia="Arial" w:hAnsi="Arial"/>
          <w:sz w:val="16"/>
          <w:szCs w:val="16"/>
          <w:u w:val="single" w:color="auto"/>
          <w:color w:val="0000FF"/>
        </w:rPr>
        <w:t>Risk Factors</w:t>
      </w:r>
      <w:r>
        <w:rPr>
          <w:rFonts w:ascii="Arial" w:cs="Arial" w:eastAsia="Arial" w:hAnsi="Arial"/>
          <w:sz w:val="16"/>
          <w:szCs w:val="16"/>
          <w:color w:val="auto"/>
        </w:rPr>
        <w:t xml:space="preserve"> for a discussion of risks associated with the potential adverse effects of inflationary cost pressures, supply chain disruptions, and labor shortages to our businesses.</w:t>
      </w:r>
    </w:p>
    <w:p>
      <w:pPr>
        <w:spacing w:after="0" w:line="17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SPIN-OFF OF ADVANCED MATERIALS</w:t>
      </w:r>
    </w:p>
    <w:p>
      <w:pPr>
        <w:spacing w:after="0" w:line="12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On October 8, 2024, the Company announced its intention to spin off its Advanced Materials business into an independent, U.S. publicly traded company, which is targeted to be completed by the end of 2025 or early 2026. The planned spin-off is intended to be a tax-free spin to Honeywell shareowners for U.S. federal income tax purposes. The spin-off will be subject to the satisfaction of a number of customary conditions, including, among others, finalization of the financial statements of the Advanced Materials business, the filing and effectiveness of applicable filings (including a Form 10 registration statement) with the SEC, assurance that the spin-off of the Advanced Materials business will be tax-free to Honeywell’s shareowners, receipt of applicable regulatory approvals and final approval by Honeywell’s Board of Directors. The proposed spin-off is complex in nature, and may be affected by unanticipated developments, credit and equity markets, or changes in market conditions.</w:t>
      </w:r>
    </w:p>
    <w:p>
      <w:pPr>
        <w:spacing w:after="0" w:line="200" w:lineRule="exact"/>
        <w:rPr>
          <w:sz w:val="20"/>
          <w:szCs w:val="20"/>
          <w:color w:val="auto"/>
        </w:rPr>
      </w:pPr>
    </w:p>
    <w:p>
      <w:pPr>
        <w:spacing w:after="0" w:line="221" w:lineRule="exact"/>
        <w:rPr>
          <w:sz w:val="20"/>
          <w:szCs w:val="20"/>
          <w:color w:val="auto"/>
        </w:rPr>
      </w:pPr>
    </w:p>
    <w:p>
      <w:pPr>
        <w:ind w:left="400" w:hanging="392"/>
        <w:spacing w:after="0"/>
        <w:tabs>
          <w:tab w:leader="none" w:pos="400" w:val="left"/>
        </w:tabs>
        <w:numPr>
          <w:ilvl w:val="0"/>
          <w:numId w:val="45"/>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7" w:name="page18"/>
    <w:bookmarkEnd w:id="17"/>
    <w:tbl>
      <w:tblPr>
        <w:tblLayout w:type="fixed"/>
        <w:tblInd w:w="20" w:type="dxa"/>
        <w:tblCellMar>
          <w:top w:w="0" w:type="dxa"/>
          <w:left w:w="0" w:type="dxa"/>
          <w:bottom w:w="0" w:type="dxa"/>
          <w:right w:w="0" w:type="dxa"/>
        </w:tblCellMar>
      </w:tblPr>
      <w:tr>
        <w:trPr>
          <w:trHeight w:val="156"/>
        </w:trPr>
        <w:tc>
          <w:tcPr>
            <w:tcW w:w="4380" w:type="dxa"/>
            <w:vAlign w:val="bottom"/>
            <w:gridSpan w:val="2"/>
          </w:tcPr>
          <w:p>
            <w:pPr>
              <w:spacing w:after="0"/>
              <w:rPr>
                <w:sz w:val="20"/>
                <w:szCs w:val="20"/>
                <w:color w:val="auto"/>
              </w:rPr>
            </w:pPr>
            <w:r>
              <w:rPr>
                <w:rFonts w:ascii="Arial" w:cs="Arial" w:eastAsia="Arial" w:hAnsi="Arial"/>
                <w:sz w:val="13"/>
                <w:szCs w:val="13"/>
                <w:b w:val="1"/>
                <w:bCs w:val="1"/>
                <w:color w:val="0000FF"/>
              </w:rPr>
              <w:t>TABLE OF CONTENTS</w:t>
            </w:r>
          </w:p>
        </w:tc>
        <w:tc>
          <w:tcPr>
            <w:tcW w:w="6820" w:type="dxa"/>
            <w:vAlign w:val="bottom"/>
          </w:tcPr>
          <w:p>
            <w:pPr>
              <w:ind w:left="3040"/>
              <w:spacing w:after="0"/>
              <w:rPr>
                <w:sz w:val="20"/>
                <w:szCs w:val="20"/>
                <w:color w:val="auto"/>
              </w:rPr>
            </w:pPr>
            <w:r>
              <w:rPr>
                <w:rFonts w:ascii="Arial" w:cs="Arial" w:eastAsia="Arial" w:hAnsi="Arial"/>
                <w:sz w:val="13"/>
                <w:szCs w:val="13"/>
                <w:b w:val="1"/>
                <w:bCs w:val="1"/>
                <w:color w:val="D7282F"/>
                <w:w w:val="96"/>
              </w:rPr>
              <w:t>MANAGEMENT’S DISCUSSION AND ANALYSIS OF FINANCIAL</w:t>
            </w:r>
          </w:p>
        </w:tc>
      </w:tr>
      <w:tr>
        <w:trPr>
          <w:trHeight w:val="145"/>
        </w:trPr>
        <w:tc>
          <w:tcPr>
            <w:tcW w:w="1360" w:type="dxa"/>
            <w:vAlign w:val="bottom"/>
            <w:tcBorders>
              <w:top w:val="single" w:sz="8" w:color="0000FF"/>
            </w:tcBorders>
          </w:tcPr>
          <w:p>
            <w:pPr>
              <w:spacing w:after="0"/>
              <w:rPr>
                <w:sz w:val="12"/>
                <w:szCs w:val="12"/>
                <w:color w:val="auto"/>
              </w:rPr>
            </w:pPr>
          </w:p>
        </w:tc>
        <w:tc>
          <w:tcPr>
            <w:tcW w:w="3020" w:type="dxa"/>
            <w:vAlign w:val="bottom"/>
          </w:tcPr>
          <w:p>
            <w:pPr>
              <w:spacing w:after="0"/>
              <w:rPr>
                <w:sz w:val="12"/>
                <w:szCs w:val="12"/>
                <w:color w:val="auto"/>
              </w:rPr>
            </w:pPr>
          </w:p>
        </w:tc>
        <w:tc>
          <w:tcPr>
            <w:tcW w:w="6820" w:type="dxa"/>
            <w:vAlign w:val="bottom"/>
          </w:tcPr>
          <w:p>
            <w:pPr>
              <w:ind w:left="4120"/>
              <w:spacing w:after="0" w:line="145" w:lineRule="exact"/>
              <w:rPr>
                <w:sz w:val="20"/>
                <w:szCs w:val="20"/>
                <w:color w:val="auto"/>
              </w:rPr>
            </w:pPr>
            <w:r>
              <w:rPr>
                <w:rFonts w:ascii="Arial" w:cs="Arial" w:eastAsia="Arial" w:hAnsi="Arial"/>
                <w:sz w:val="13"/>
                <w:szCs w:val="13"/>
                <w:b w:val="1"/>
                <w:bCs w:val="1"/>
                <w:color w:val="D7282F"/>
                <w:w w:val="95"/>
              </w:rPr>
              <w:t>CONDITION AND RESULTS OF OPERATIONS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SEPARATION OF AUTOMATION AND AEROSPACE TECHNOLOGIES</w:t>
      </w:r>
    </w:p>
    <w:p>
      <w:pPr>
        <w:spacing w:after="0" w:line="12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On February 6, 2025, the Company announced its intention to pursue a separation of its Automation and Aerospace Technologies businesses into independent, U.S. publicly traded companies, which is targeted to be completed in the second half of 2026. The planned separation is intended to be a tax-free separation to Honeywell shareowners for U.S. federal income tax purposes. The separation will be subject to the satisfaction of a number of customary conditions, including, among others, finalization of the financial statements of the Automation and Aerospace Technologies businesses, the filing and effectiveness of applicable filings (including a Form 10 registration statement) with the SEC, assurance that the separation of the businesses will be tax-free to Honeywell’s shareowners, receipt of applicable regulatory approvals and final approval by Honeywell’s Board of Directors. The proposed separation is complex in nature, and may be affected by unanticipated developments, credit and equity markets, or changes in market conditions.</w:t>
      </w:r>
    </w:p>
    <w:p>
      <w:pPr>
        <w:spacing w:after="0" w:line="239" w:lineRule="exact"/>
        <w:rPr>
          <w:sz w:val="20"/>
          <w:szCs w:val="20"/>
          <w:color w:val="auto"/>
        </w:rPr>
      </w:pPr>
    </w:p>
    <w:p>
      <w:pPr>
        <w:spacing w:after="0"/>
        <w:rPr>
          <w:sz w:val="20"/>
          <w:szCs w:val="20"/>
          <w:color w:val="auto"/>
        </w:rPr>
      </w:pPr>
      <w:r>
        <w:rPr>
          <w:rFonts w:ascii="Arial" w:cs="Arial" w:eastAsia="Arial" w:hAnsi="Arial"/>
          <w:sz w:val="29"/>
          <w:szCs w:val="29"/>
          <w:color w:val="D7282F"/>
        </w:rPr>
        <w:t>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80645</wp:posOffset>
            </wp:positionV>
            <wp:extent cx="5829300" cy="25717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5829300" cy="257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Sales by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80645</wp:posOffset>
            </wp:positionV>
            <wp:extent cx="5829300" cy="25717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5829300" cy="2571750"/>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00" w:hanging="392"/>
        <w:spacing w:after="0"/>
        <w:tabs>
          <w:tab w:leader="none" w:pos="400" w:val="left"/>
        </w:tabs>
        <w:numPr>
          <w:ilvl w:val="0"/>
          <w:numId w:val="46"/>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type w:val="continuous"/>
        </w:sectPr>
      </w:pPr>
    </w:p>
    <w:bookmarkStart w:id="18" w:name="page19"/>
    <w:bookmarkEnd w:id="18"/>
    <w:tbl>
      <w:tblPr>
        <w:tblLayout w:type="fixed"/>
        <w:tblInd w:w="20" w:type="dxa"/>
        <w:tblCellMar>
          <w:top w:w="0" w:type="dxa"/>
          <w:left w:w="0" w:type="dxa"/>
          <w:bottom w:w="0" w:type="dxa"/>
          <w:right w:w="0" w:type="dxa"/>
        </w:tblCellMar>
      </w:tblPr>
      <w:tr>
        <w:trPr>
          <w:trHeight w:val="156"/>
        </w:trPr>
        <w:tc>
          <w:tcPr>
            <w:tcW w:w="4380" w:type="dxa"/>
            <w:vAlign w:val="bottom"/>
            <w:gridSpan w:val="2"/>
          </w:tcPr>
          <w:p>
            <w:pPr>
              <w:spacing w:after="0"/>
              <w:rPr>
                <w:sz w:val="20"/>
                <w:szCs w:val="20"/>
                <w:color w:val="auto"/>
              </w:rPr>
            </w:pPr>
            <w:r>
              <w:rPr>
                <w:rFonts w:ascii="Arial" w:cs="Arial" w:eastAsia="Arial" w:hAnsi="Arial"/>
                <w:sz w:val="13"/>
                <w:szCs w:val="13"/>
                <w:b w:val="1"/>
                <w:bCs w:val="1"/>
                <w:color w:val="0000FF"/>
              </w:rPr>
              <w:t>TABLE OF CONTENTS</w:t>
            </w:r>
          </w:p>
        </w:tc>
        <w:tc>
          <w:tcPr>
            <w:tcW w:w="6820" w:type="dxa"/>
            <w:vAlign w:val="bottom"/>
          </w:tcPr>
          <w:p>
            <w:pPr>
              <w:ind w:left="3040"/>
              <w:spacing w:after="0"/>
              <w:rPr>
                <w:sz w:val="20"/>
                <w:szCs w:val="20"/>
                <w:color w:val="auto"/>
              </w:rPr>
            </w:pPr>
            <w:r>
              <w:rPr>
                <w:rFonts w:ascii="Arial" w:cs="Arial" w:eastAsia="Arial" w:hAnsi="Arial"/>
                <w:sz w:val="13"/>
                <w:szCs w:val="13"/>
                <w:b w:val="1"/>
                <w:bCs w:val="1"/>
                <w:color w:val="D7282F"/>
                <w:w w:val="96"/>
              </w:rPr>
              <w:t>MANAGEMENT’S DISCUSSION AND ANALYSIS OF FINANCIAL</w:t>
            </w:r>
          </w:p>
        </w:tc>
      </w:tr>
      <w:tr>
        <w:trPr>
          <w:trHeight w:val="145"/>
        </w:trPr>
        <w:tc>
          <w:tcPr>
            <w:tcW w:w="1360" w:type="dxa"/>
            <w:vAlign w:val="bottom"/>
            <w:tcBorders>
              <w:top w:val="single" w:sz="8" w:color="0000FF"/>
            </w:tcBorders>
          </w:tcPr>
          <w:p>
            <w:pPr>
              <w:spacing w:after="0"/>
              <w:rPr>
                <w:sz w:val="12"/>
                <w:szCs w:val="12"/>
                <w:color w:val="auto"/>
              </w:rPr>
            </w:pPr>
          </w:p>
        </w:tc>
        <w:tc>
          <w:tcPr>
            <w:tcW w:w="3020" w:type="dxa"/>
            <w:vAlign w:val="bottom"/>
          </w:tcPr>
          <w:p>
            <w:pPr>
              <w:spacing w:after="0"/>
              <w:rPr>
                <w:sz w:val="12"/>
                <w:szCs w:val="12"/>
                <w:color w:val="auto"/>
              </w:rPr>
            </w:pPr>
          </w:p>
        </w:tc>
        <w:tc>
          <w:tcPr>
            <w:tcW w:w="6820" w:type="dxa"/>
            <w:vAlign w:val="bottom"/>
          </w:tcPr>
          <w:p>
            <w:pPr>
              <w:ind w:left="4120"/>
              <w:spacing w:after="0" w:line="145" w:lineRule="exact"/>
              <w:rPr>
                <w:sz w:val="20"/>
                <w:szCs w:val="20"/>
                <w:color w:val="auto"/>
              </w:rPr>
            </w:pPr>
            <w:r>
              <w:rPr>
                <w:rFonts w:ascii="Arial" w:cs="Arial" w:eastAsia="Arial" w:hAnsi="Arial"/>
                <w:sz w:val="13"/>
                <w:szCs w:val="13"/>
                <w:b w:val="1"/>
                <w:bCs w:val="1"/>
                <w:color w:val="D7282F"/>
                <w:w w:val="95"/>
              </w:rPr>
              <w:t>CONDITION AND RESULTS OF OPERATIONS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Segment Profit by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80645</wp:posOffset>
            </wp:positionV>
            <wp:extent cx="5829300" cy="25717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5829300" cy="257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29"/>
          <w:szCs w:val="29"/>
          <w:color w:val="D7282F"/>
        </w:rPr>
        <w:t>CONSOLIDATED OPERATING RESULTS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2070735</wp:posOffset>
            </wp:positionH>
            <wp:positionV relativeFrom="paragraph">
              <wp:posOffset>80645</wp:posOffset>
            </wp:positionV>
            <wp:extent cx="3000375" cy="214312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3000375"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color w:val="auto"/>
        </w:rPr>
        <w:t>The increase in Net sales was attributable to the following:</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120" w:type="dxa"/>
            <w:vAlign w:val="bottom"/>
            <w:tcBorders>
              <w:bottom w:val="single" w:sz="8" w:color="D7282F"/>
            </w:tcBorders>
          </w:tcPr>
          <w:p>
            <w:pPr>
              <w:spacing w:after="0"/>
              <w:rPr>
                <w:sz w:val="17"/>
                <w:szCs w:val="17"/>
                <w:color w:val="auto"/>
              </w:rPr>
            </w:pPr>
          </w:p>
        </w:tc>
        <w:tc>
          <w:tcPr>
            <w:tcW w:w="4140" w:type="dxa"/>
            <w:vAlign w:val="bottom"/>
            <w:tcBorders>
              <w:bottom w:val="single" w:sz="8" w:color="D7282F"/>
            </w:tcBorders>
          </w:tcPr>
          <w:p>
            <w:pPr>
              <w:ind w:left="2560"/>
              <w:spacing w:after="0"/>
              <w:rPr>
                <w:sz w:val="20"/>
                <w:szCs w:val="20"/>
                <w:color w:val="auto"/>
              </w:rPr>
            </w:pPr>
            <w:r>
              <w:rPr>
                <w:rFonts w:ascii="Arial" w:cs="Arial" w:eastAsia="Arial" w:hAnsi="Arial"/>
                <w:sz w:val="14"/>
                <w:szCs w:val="14"/>
                <w:b w:val="1"/>
                <w:bCs w:val="1"/>
                <w:color w:val="auto"/>
              </w:rPr>
              <w:t>2024 Versus 2023</w:t>
            </w:r>
          </w:p>
        </w:tc>
        <w:tc>
          <w:tcPr>
            <w:tcW w:w="1980" w:type="dxa"/>
            <w:vAlign w:val="bottom"/>
            <w:tcBorders>
              <w:bottom w:val="single" w:sz="8" w:color="D7282F"/>
            </w:tcBorders>
          </w:tcPr>
          <w:p>
            <w:pPr>
              <w:ind w:left="400"/>
              <w:spacing w:after="0"/>
              <w:rPr>
                <w:sz w:val="20"/>
                <w:szCs w:val="20"/>
                <w:color w:val="auto"/>
              </w:rPr>
            </w:pPr>
            <w:r>
              <w:rPr>
                <w:rFonts w:ascii="Arial" w:cs="Arial" w:eastAsia="Arial" w:hAnsi="Arial"/>
                <w:sz w:val="14"/>
                <w:szCs w:val="14"/>
                <w:b w:val="1"/>
                <w:bCs w:val="1"/>
                <w:color w:val="auto"/>
              </w:rPr>
              <w:t>2023 Versus 2022</w:t>
            </w:r>
          </w:p>
        </w:tc>
      </w:tr>
      <w:tr>
        <w:trPr>
          <w:trHeight w:val="193"/>
        </w:trPr>
        <w:tc>
          <w:tcPr>
            <w:tcW w:w="512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Volume</w:t>
            </w:r>
          </w:p>
        </w:tc>
        <w:tc>
          <w:tcPr>
            <w:tcW w:w="4140" w:type="dxa"/>
            <w:vAlign w:val="bottom"/>
            <w:tcBorders>
              <w:bottom w:val="single" w:sz="8" w:color="888B8D"/>
            </w:tcBorders>
          </w:tcPr>
          <w:p>
            <w:pPr>
              <w:jc w:val="center"/>
              <w:ind w:left="2088"/>
              <w:spacing w:after="0"/>
              <w:rPr>
                <w:sz w:val="20"/>
                <w:szCs w:val="20"/>
                <w:color w:val="auto"/>
              </w:rPr>
            </w:pPr>
            <w:r>
              <w:rPr>
                <w:rFonts w:ascii="Arial" w:cs="Arial" w:eastAsia="Arial" w:hAnsi="Arial"/>
                <w:sz w:val="14"/>
                <w:szCs w:val="14"/>
                <w:color w:val="auto"/>
              </w:rPr>
              <w:t>1 %</w:t>
            </w:r>
          </w:p>
        </w:tc>
        <w:tc>
          <w:tcPr>
            <w:tcW w:w="1980" w:type="dxa"/>
            <w:vAlign w:val="bottom"/>
            <w:tcBorders>
              <w:bottom w:val="single" w:sz="8" w:color="888B8D"/>
            </w:tcBorders>
          </w:tcPr>
          <w:p>
            <w:pPr>
              <w:jc w:val="center"/>
              <w:spacing w:after="0"/>
              <w:rPr>
                <w:sz w:val="20"/>
                <w:szCs w:val="20"/>
                <w:color w:val="auto"/>
              </w:rPr>
            </w:pPr>
            <w:r>
              <w:rPr>
                <w:rFonts w:ascii="Arial" w:cs="Arial" w:eastAsia="Arial" w:hAnsi="Arial"/>
                <w:sz w:val="14"/>
                <w:szCs w:val="14"/>
                <w:color w:val="auto"/>
                <w:w w:val="98"/>
              </w:rPr>
              <w:t>—%</w:t>
            </w:r>
          </w:p>
        </w:tc>
      </w:tr>
      <w:tr>
        <w:trPr>
          <w:trHeight w:val="196"/>
        </w:trPr>
        <w:tc>
          <w:tcPr>
            <w:tcW w:w="512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Price</w:t>
            </w:r>
          </w:p>
        </w:tc>
        <w:tc>
          <w:tcPr>
            <w:tcW w:w="4140" w:type="dxa"/>
            <w:vAlign w:val="bottom"/>
            <w:tcBorders>
              <w:bottom w:val="single" w:sz="8" w:color="888B8D"/>
            </w:tcBorders>
          </w:tcPr>
          <w:p>
            <w:pPr>
              <w:jc w:val="center"/>
              <w:ind w:left="2088"/>
              <w:spacing w:after="0"/>
              <w:rPr>
                <w:sz w:val="20"/>
                <w:szCs w:val="20"/>
                <w:color w:val="auto"/>
              </w:rPr>
            </w:pPr>
            <w:r>
              <w:rPr>
                <w:rFonts w:ascii="Arial" w:cs="Arial" w:eastAsia="Arial" w:hAnsi="Arial"/>
                <w:sz w:val="14"/>
                <w:szCs w:val="14"/>
                <w:color w:val="auto"/>
              </w:rPr>
              <w:t>2 %</w:t>
            </w:r>
          </w:p>
        </w:tc>
        <w:tc>
          <w:tcPr>
            <w:tcW w:w="1980" w:type="dxa"/>
            <w:vAlign w:val="bottom"/>
            <w:tcBorders>
              <w:bottom w:val="single" w:sz="8" w:color="888B8D"/>
            </w:tcBorders>
          </w:tcPr>
          <w:p>
            <w:pPr>
              <w:jc w:val="center"/>
              <w:spacing w:after="0"/>
              <w:rPr>
                <w:sz w:val="20"/>
                <w:szCs w:val="20"/>
                <w:color w:val="auto"/>
              </w:rPr>
            </w:pPr>
            <w:r>
              <w:rPr>
                <w:rFonts w:ascii="Arial" w:cs="Arial" w:eastAsia="Arial" w:hAnsi="Arial"/>
                <w:sz w:val="14"/>
                <w:szCs w:val="14"/>
                <w:color w:val="auto"/>
              </w:rPr>
              <w:t>4 %</w:t>
            </w:r>
          </w:p>
        </w:tc>
      </w:tr>
      <w:tr>
        <w:trPr>
          <w:trHeight w:val="196"/>
        </w:trPr>
        <w:tc>
          <w:tcPr>
            <w:tcW w:w="512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Foreign currency translation</w:t>
            </w:r>
          </w:p>
        </w:tc>
        <w:tc>
          <w:tcPr>
            <w:tcW w:w="4140" w:type="dxa"/>
            <w:vAlign w:val="bottom"/>
            <w:tcBorders>
              <w:bottom w:val="single" w:sz="8" w:color="888B8D"/>
            </w:tcBorders>
          </w:tcPr>
          <w:p>
            <w:pPr>
              <w:jc w:val="center"/>
              <w:ind w:left="2088"/>
              <w:spacing w:after="0"/>
              <w:rPr>
                <w:sz w:val="20"/>
                <w:szCs w:val="20"/>
                <w:color w:val="auto"/>
              </w:rPr>
            </w:pPr>
            <w:r>
              <w:rPr>
                <w:rFonts w:ascii="Arial" w:cs="Arial" w:eastAsia="Arial" w:hAnsi="Arial"/>
                <w:sz w:val="14"/>
                <w:szCs w:val="14"/>
                <w:color w:val="auto"/>
                <w:w w:val="98"/>
              </w:rPr>
              <w:t>—%</w:t>
            </w:r>
          </w:p>
        </w:tc>
        <w:tc>
          <w:tcPr>
            <w:tcW w:w="1980" w:type="dxa"/>
            <w:vAlign w:val="bottom"/>
            <w:tcBorders>
              <w:bottom w:val="single" w:sz="8" w:color="888B8D"/>
            </w:tcBorders>
          </w:tcPr>
          <w:p>
            <w:pPr>
              <w:jc w:val="center"/>
              <w:spacing w:after="0"/>
              <w:rPr>
                <w:sz w:val="20"/>
                <w:szCs w:val="20"/>
                <w:color w:val="auto"/>
              </w:rPr>
            </w:pPr>
            <w:r>
              <w:rPr>
                <w:rFonts w:ascii="Arial" w:cs="Arial" w:eastAsia="Arial" w:hAnsi="Arial"/>
                <w:sz w:val="14"/>
                <w:szCs w:val="14"/>
                <w:color w:val="auto"/>
              </w:rPr>
              <w:t>(1 %)</w:t>
            </w:r>
          </w:p>
        </w:tc>
      </w:tr>
      <w:tr>
        <w:trPr>
          <w:trHeight w:val="196"/>
        </w:trPr>
        <w:tc>
          <w:tcPr>
            <w:tcW w:w="512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Acquisitions, divestitures, and other, net</w:t>
            </w:r>
          </w:p>
        </w:tc>
        <w:tc>
          <w:tcPr>
            <w:tcW w:w="4140" w:type="dxa"/>
            <w:vAlign w:val="bottom"/>
            <w:tcBorders>
              <w:bottom w:val="single" w:sz="8" w:color="D7282F"/>
            </w:tcBorders>
          </w:tcPr>
          <w:p>
            <w:pPr>
              <w:jc w:val="center"/>
              <w:ind w:left="2088"/>
              <w:spacing w:after="0"/>
              <w:rPr>
                <w:sz w:val="20"/>
                <w:szCs w:val="20"/>
                <w:color w:val="auto"/>
              </w:rPr>
            </w:pPr>
            <w:r>
              <w:rPr>
                <w:rFonts w:ascii="Arial" w:cs="Arial" w:eastAsia="Arial" w:hAnsi="Arial"/>
                <w:sz w:val="14"/>
                <w:szCs w:val="14"/>
                <w:color w:val="auto"/>
              </w:rPr>
              <w:t>2 %</w:t>
            </w:r>
          </w:p>
        </w:tc>
        <w:tc>
          <w:tcPr>
            <w:tcW w:w="1980" w:type="dxa"/>
            <w:vAlign w:val="bottom"/>
            <w:tcBorders>
              <w:bottom w:val="single" w:sz="8" w:color="D7282F"/>
            </w:tcBorders>
          </w:tcPr>
          <w:p>
            <w:pPr>
              <w:jc w:val="center"/>
              <w:spacing w:after="0"/>
              <w:rPr>
                <w:sz w:val="20"/>
                <w:szCs w:val="20"/>
                <w:color w:val="auto"/>
              </w:rPr>
            </w:pPr>
            <w:r>
              <w:rPr>
                <w:rFonts w:ascii="Arial" w:cs="Arial" w:eastAsia="Arial" w:hAnsi="Arial"/>
                <w:sz w:val="14"/>
                <w:szCs w:val="14"/>
                <w:color w:val="auto"/>
                <w:w w:val="98"/>
              </w:rPr>
              <w:t>—%</w:t>
            </w:r>
          </w:p>
        </w:tc>
      </w:tr>
      <w:tr>
        <w:trPr>
          <w:trHeight w:val="199"/>
        </w:trPr>
        <w:tc>
          <w:tcPr>
            <w:tcW w:w="512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 change in Net sales</w:t>
            </w:r>
          </w:p>
        </w:tc>
        <w:tc>
          <w:tcPr>
            <w:tcW w:w="4140" w:type="dxa"/>
            <w:vAlign w:val="bottom"/>
            <w:tcBorders>
              <w:bottom w:val="single" w:sz="8" w:color="D7282F"/>
            </w:tcBorders>
          </w:tcPr>
          <w:p>
            <w:pPr>
              <w:jc w:val="center"/>
              <w:ind w:left="2088"/>
              <w:spacing w:after="0"/>
              <w:rPr>
                <w:sz w:val="20"/>
                <w:szCs w:val="20"/>
                <w:color w:val="auto"/>
              </w:rPr>
            </w:pPr>
            <w:r>
              <w:rPr>
                <w:rFonts w:ascii="Arial" w:cs="Arial" w:eastAsia="Arial" w:hAnsi="Arial"/>
                <w:sz w:val="14"/>
                <w:szCs w:val="14"/>
                <w:b w:val="1"/>
                <w:bCs w:val="1"/>
                <w:color w:val="auto"/>
              </w:rPr>
              <w:t>5 %</w:t>
            </w:r>
          </w:p>
        </w:tc>
        <w:tc>
          <w:tcPr>
            <w:tcW w:w="1980" w:type="dxa"/>
            <w:vAlign w:val="bottom"/>
            <w:tcBorders>
              <w:bottom w:val="single" w:sz="8" w:color="D7282F"/>
            </w:tcBorders>
          </w:tcPr>
          <w:p>
            <w:pPr>
              <w:jc w:val="center"/>
              <w:spacing w:after="0"/>
              <w:rPr>
                <w:sz w:val="20"/>
                <w:szCs w:val="20"/>
                <w:color w:val="auto"/>
              </w:rPr>
            </w:pPr>
            <w:r>
              <w:rPr>
                <w:rFonts w:ascii="Arial" w:cs="Arial" w:eastAsia="Arial" w:hAnsi="Arial"/>
                <w:sz w:val="14"/>
                <w:szCs w:val="14"/>
                <w:b w:val="1"/>
                <w:bCs w:val="1"/>
                <w:color w:val="auto"/>
              </w:rPr>
              <w:t>3 %</w:t>
            </w:r>
          </w:p>
        </w:tc>
      </w:tr>
    </w:tbl>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A discussion of Net sales by reportable business segment can be found in the </w:t>
      </w:r>
      <w:r>
        <w:rPr>
          <w:rFonts w:ascii="Arial" w:cs="Arial" w:eastAsia="Arial" w:hAnsi="Arial"/>
          <w:sz w:val="16"/>
          <w:szCs w:val="16"/>
          <w:u w:val="single" w:color="auto"/>
          <w:color w:val="0000FF"/>
        </w:rPr>
        <w:t>Review of Business Segments</w:t>
      </w:r>
      <w:r>
        <w:rPr>
          <w:rFonts w:ascii="Arial" w:cs="Arial" w:eastAsia="Arial" w:hAnsi="Arial"/>
          <w:sz w:val="16"/>
          <w:szCs w:val="16"/>
          <w:color w:val="auto"/>
        </w:rPr>
        <w:t xml:space="preserve"> section of Management's Discussion and Analysis.</w:t>
      </w:r>
    </w:p>
    <w:p>
      <w:pPr>
        <w:spacing w:after="0" w:line="400" w:lineRule="exact"/>
        <w:rPr>
          <w:sz w:val="20"/>
          <w:szCs w:val="20"/>
          <w:color w:val="auto"/>
        </w:rPr>
      </w:pPr>
    </w:p>
    <w:p>
      <w:pPr>
        <w:ind w:left="400" w:hanging="392"/>
        <w:spacing w:after="0"/>
        <w:tabs>
          <w:tab w:leader="none" w:pos="400" w:val="left"/>
        </w:tabs>
        <w:numPr>
          <w:ilvl w:val="0"/>
          <w:numId w:val="47"/>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9" w:name="page20"/>
    <w:bookmarkEnd w:id="19"/>
    <w:tbl>
      <w:tblPr>
        <w:tblLayout w:type="fixed"/>
        <w:tblInd w:w="20" w:type="dxa"/>
        <w:tblCellMar>
          <w:top w:w="0" w:type="dxa"/>
          <w:left w:w="0" w:type="dxa"/>
          <w:bottom w:w="0" w:type="dxa"/>
          <w:right w:w="0" w:type="dxa"/>
        </w:tblCellMar>
      </w:tblPr>
      <w:tr>
        <w:trPr>
          <w:trHeight w:val="156"/>
        </w:trPr>
        <w:tc>
          <w:tcPr>
            <w:tcW w:w="4380" w:type="dxa"/>
            <w:vAlign w:val="bottom"/>
            <w:gridSpan w:val="2"/>
          </w:tcPr>
          <w:p>
            <w:pPr>
              <w:spacing w:after="0"/>
              <w:rPr>
                <w:sz w:val="20"/>
                <w:szCs w:val="20"/>
                <w:color w:val="auto"/>
              </w:rPr>
            </w:pPr>
            <w:r>
              <w:rPr>
                <w:rFonts w:ascii="Arial" w:cs="Arial" w:eastAsia="Arial" w:hAnsi="Arial"/>
                <w:sz w:val="13"/>
                <w:szCs w:val="13"/>
                <w:b w:val="1"/>
                <w:bCs w:val="1"/>
                <w:color w:val="0000FF"/>
              </w:rPr>
              <w:t>TABLE OF CONTENTS</w:t>
            </w:r>
          </w:p>
        </w:tc>
        <w:tc>
          <w:tcPr>
            <w:tcW w:w="6820" w:type="dxa"/>
            <w:vAlign w:val="bottom"/>
          </w:tcPr>
          <w:p>
            <w:pPr>
              <w:ind w:left="3040"/>
              <w:spacing w:after="0"/>
              <w:rPr>
                <w:sz w:val="20"/>
                <w:szCs w:val="20"/>
                <w:color w:val="auto"/>
              </w:rPr>
            </w:pPr>
            <w:r>
              <w:rPr>
                <w:rFonts w:ascii="Arial" w:cs="Arial" w:eastAsia="Arial" w:hAnsi="Arial"/>
                <w:sz w:val="13"/>
                <w:szCs w:val="13"/>
                <w:b w:val="1"/>
                <w:bCs w:val="1"/>
                <w:color w:val="D7282F"/>
                <w:w w:val="96"/>
              </w:rPr>
              <w:t>MANAGEMENT’S DISCUSSION AND ANALYSIS OF FINANCIAL</w:t>
            </w:r>
          </w:p>
        </w:tc>
      </w:tr>
      <w:tr>
        <w:trPr>
          <w:trHeight w:val="145"/>
        </w:trPr>
        <w:tc>
          <w:tcPr>
            <w:tcW w:w="1360" w:type="dxa"/>
            <w:vAlign w:val="bottom"/>
            <w:tcBorders>
              <w:top w:val="single" w:sz="8" w:color="0000FF"/>
            </w:tcBorders>
          </w:tcPr>
          <w:p>
            <w:pPr>
              <w:spacing w:after="0"/>
              <w:rPr>
                <w:sz w:val="12"/>
                <w:szCs w:val="12"/>
                <w:color w:val="auto"/>
              </w:rPr>
            </w:pPr>
          </w:p>
        </w:tc>
        <w:tc>
          <w:tcPr>
            <w:tcW w:w="3020" w:type="dxa"/>
            <w:vAlign w:val="bottom"/>
          </w:tcPr>
          <w:p>
            <w:pPr>
              <w:spacing w:after="0"/>
              <w:rPr>
                <w:sz w:val="12"/>
                <w:szCs w:val="12"/>
                <w:color w:val="auto"/>
              </w:rPr>
            </w:pPr>
          </w:p>
        </w:tc>
        <w:tc>
          <w:tcPr>
            <w:tcW w:w="6820" w:type="dxa"/>
            <w:vAlign w:val="bottom"/>
          </w:tcPr>
          <w:p>
            <w:pPr>
              <w:ind w:left="4120"/>
              <w:spacing w:after="0" w:line="145" w:lineRule="exact"/>
              <w:rPr>
                <w:sz w:val="20"/>
                <w:szCs w:val="20"/>
                <w:color w:val="auto"/>
              </w:rPr>
            </w:pPr>
            <w:r>
              <w:rPr>
                <w:rFonts w:ascii="Arial" w:cs="Arial" w:eastAsia="Arial" w:hAnsi="Arial"/>
                <w:sz w:val="13"/>
                <w:szCs w:val="13"/>
                <w:b w:val="1"/>
                <w:bCs w:val="1"/>
                <w:color w:val="D7282F"/>
                <w:w w:val="95"/>
              </w:rPr>
              <w:t>CONDITION AND RESULTS OF OPERATIONS</w:t>
            </w:r>
          </w:p>
        </w:tc>
      </w:tr>
    </w:tbl>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2024 compared with 2023</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Net sales increased due to the following:</w:t>
      </w:r>
    </w:p>
    <w:p>
      <w:pPr>
        <w:spacing w:after="0" w:line="111" w:lineRule="exact"/>
        <w:rPr>
          <w:sz w:val="20"/>
          <w:szCs w:val="20"/>
          <w:color w:val="auto"/>
        </w:rPr>
      </w:pPr>
    </w:p>
    <w:p>
      <w:pPr>
        <w:ind w:left="200" w:hanging="192"/>
        <w:spacing w:after="0"/>
        <w:tabs>
          <w:tab w:leader="none" w:pos="200" w:val="left"/>
        </w:tabs>
        <w:numPr>
          <w:ilvl w:val="0"/>
          <w:numId w:val="48"/>
        </w:numPr>
        <w:rPr>
          <w:rFonts w:ascii="Arial" w:cs="Arial" w:eastAsia="Arial" w:hAnsi="Arial"/>
          <w:sz w:val="16"/>
          <w:szCs w:val="16"/>
          <w:color w:val="D7282F"/>
        </w:rPr>
      </w:pPr>
      <w:r>
        <w:rPr>
          <w:rFonts w:ascii="Arial" w:cs="Arial" w:eastAsia="Arial" w:hAnsi="Arial"/>
          <w:sz w:val="16"/>
          <w:szCs w:val="16"/>
          <w:color w:val="auto"/>
        </w:rPr>
        <w:t>Incremental sales from recent acquisitions,</w:t>
      </w:r>
    </w:p>
    <w:p>
      <w:pPr>
        <w:spacing w:after="0" w:line="86" w:lineRule="exact"/>
        <w:rPr>
          <w:rFonts w:ascii="Arial" w:cs="Arial" w:eastAsia="Arial" w:hAnsi="Arial"/>
          <w:sz w:val="16"/>
          <w:szCs w:val="16"/>
          <w:color w:val="D7282F"/>
        </w:rPr>
      </w:pPr>
    </w:p>
    <w:p>
      <w:pPr>
        <w:ind w:left="200" w:hanging="192"/>
        <w:spacing w:after="0"/>
        <w:tabs>
          <w:tab w:leader="none" w:pos="200" w:val="left"/>
        </w:tabs>
        <w:numPr>
          <w:ilvl w:val="0"/>
          <w:numId w:val="48"/>
        </w:numPr>
        <w:rPr>
          <w:rFonts w:ascii="Arial" w:cs="Arial" w:eastAsia="Arial" w:hAnsi="Arial"/>
          <w:sz w:val="16"/>
          <w:szCs w:val="16"/>
          <w:color w:val="D7282F"/>
        </w:rPr>
      </w:pPr>
      <w:r>
        <w:rPr>
          <w:rFonts w:ascii="Arial" w:cs="Arial" w:eastAsia="Arial" w:hAnsi="Arial"/>
          <w:sz w:val="16"/>
          <w:szCs w:val="16"/>
          <w:color w:val="auto"/>
        </w:rPr>
        <w:t>Increased pricing and price adjustments to offset inflation, and</w:t>
      </w:r>
    </w:p>
    <w:p>
      <w:pPr>
        <w:spacing w:after="0" w:line="72" w:lineRule="exact"/>
        <w:rPr>
          <w:rFonts w:ascii="Arial" w:cs="Arial" w:eastAsia="Arial" w:hAnsi="Arial"/>
          <w:sz w:val="16"/>
          <w:szCs w:val="16"/>
          <w:color w:val="D7282F"/>
        </w:rPr>
      </w:pPr>
    </w:p>
    <w:p>
      <w:pPr>
        <w:ind w:left="200" w:hanging="192"/>
        <w:spacing w:after="0"/>
        <w:tabs>
          <w:tab w:leader="none" w:pos="200" w:val="left"/>
        </w:tabs>
        <w:numPr>
          <w:ilvl w:val="0"/>
          <w:numId w:val="48"/>
        </w:numPr>
        <w:rPr>
          <w:rFonts w:ascii="Arial" w:cs="Arial" w:eastAsia="Arial" w:hAnsi="Arial"/>
          <w:sz w:val="16"/>
          <w:szCs w:val="16"/>
          <w:color w:val="D7282F"/>
        </w:rPr>
      </w:pPr>
      <w:r>
        <w:rPr>
          <w:rFonts w:ascii="Arial" w:cs="Arial" w:eastAsia="Arial" w:hAnsi="Arial"/>
          <w:sz w:val="16"/>
          <w:szCs w:val="16"/>
          <w:color w:val="auto"/>
        </w:rPr>
        <w:t>Higher sales volumes.</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Cost of Products and Services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2070735</wp:posOffset>
            </wp:positionH>
            <wp:positionV relativeFrom="paragraph">
              <wp:posOffset>80645</wp:posOffset>
            </wp:positionV>
            <wp:extent cx="3000375" cy="214312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3000375"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2024 compared with 2023</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Cost of products and services sold increased due to the following:</w:t>
      </w:r>
    </w:p>
    <w:p>
      <w:pPr>
        <w:spacing w:after="0" w:line="97" w:lineRule="exact"/>
        <w:rPr>
          <w:sz w:val="20"/>
          <w:szCs w:val="20"/>
          <w:color w:val="auto"/>
        </w:rPr>
      </w:pPr>
    </w:p>
    <w:p>
      <w:pPr>
        <w:ind w:left="200" w:hanging="192"/>
        <w:spacing w:after="0"/>
        <w:tabs>
          <w:tab w:leader="none" w:pos="200" w:val="left"/>
        </w:tabs>
        <w:numPr>
          <w:ilvl w:val="0"/>
          <w:numId w:val="49"/>
        </w:numPr>
        <w:rPr>
          <w:rFonts w:ascii="Arial" w:cs="Arial" w:eastAsia="Arial" w:hAnsi="Arial"/>
          <w:sz w:val="16"/>
          <w:szCs w:val="16"/>
          <w:color w:val="D7282F"/>
        </w:rPr>
      </w:pPr>
      <w:r>
        <w:rPr>
          <w:rFonts w:ascii="Arial" w:cs="Arial" w:eastAsia="Arial" w:hAnsi="Arial"/>
          <w:sz w:val="16"/>
          <w:szCs w:val="16"/>
          <w:color w:val="auto"/>
        </w:rPr>
        <w:t>Higher direct and indirect material costs and higher labor costs of approximately $0.8 billion or 3%, and</w:t>
      </w:r>
    </w:p>
    <w:p>
      <w:pPr>
        <w:spacing w:after="0" w:line="86" w:lineRule="exact"/>
        <w:rPr>
          <w:rFonts w:ascii="Arial" w:cs="Arial" w:eastAsia="Arial" w:hAnsi="Arial"/>
          <w:sz w:val="16"/>
          <w:szCs w:val="16"/>
          <w:color w:val="D7282F"/>
        </w:rPr>
      </w:pPr>
    </w:p>
    <w:p>
      <w:pPr>
        <w:ind w:left="200" w:hanging="192"/>
        <w:spacing w:after="0"/>
        <w:tabs>
          <w:tab w:leader="none" w:pos="200" w:val="left"/>
        </w:tabs>
        <w:numPr>
          <w:ilvl w:val="0"/>
          <w:numId w:val="49"/>
        </w:numPr>
        <w:rPr>
          <w:rFonts w:ascii="Arial" w:cs="Arial" w:eastAsia="Arial" w:hAnsi="Arial"/>
          <w:sz w:val="16"/>
          <w:szCs w:val="16"/>
          <w:color w:val="D7282F"/>
        </w:rPr>
      </w:pPr>
      <w:r>
        <w:rPr>
          <w:rFonts w:ascii="Arial" w:cs="Arial" w:eastAsia="Arial" w:hAnsi="Arial"/>
          <w:sz w:val="16"/>
          <w:szCs w:val="16"/>
          <w:color w:val="auto"/>
        </w:rPr>
        <w:t>Incremental costs from recent acquisitions of approximately $0.5 billion or 2%,</w:t>
      </w:r>
    </w:p>
    <w:p>
      <w:pPr>
        <w:spacing w:after="0" w:line="86" w:lineRule="exact"/>
        <w:rPr>
          <w:rFonts w:ascii="Arial" w:cs="Arial" w:eastAsia="Arial" w:hAnsi="Arial"/>
          <w:sz w:val="16"/>
          <w:szCs w:val="16"/>
          <w:color w:val="D7282F"/>
        </w:rPr>
      </w:pPr>
    </w:p>
    <w:p>
      <w:pPr>
        <w:ind w:left="200" w:hanging="192"/>
        <w:spacing w:after="0"/>
        <w:tabs>
          <w:tab w:leader="none" w:pos="200" w:val="left"/>
        </w:tabs>
        <w:numPr>
          <w:ilvl w:val="0"/>
          <w:numId w:val="49"/>
        </w:numPr>
        <w:rPr>
          <w:rFonts w:ascii="Arial" w:cs="Arial" w:eastAsia="Arial" w:hAnsi="Arial"/>
          <w:sz w:val="16"/>
          <w:szCs w:val="16"/>
          <w:color w:val="D7282F"/>
        </w:rPr>
      </w:pPr>
      <w:r>
        <w:rPr>
          <w:rFonts w:ascii="Arial" w:cs="Arial" w:eastAsia="Arial" w:hAnsi="Arial"/>
          <w:sz w:val="16"/>
          <w:szCs w:val="16"/>
          <w:color w:val="auto"/>
        </w:rPr>
        <w:t>Partially offset by higher productivity of approximately $0.4 billion or 2%.</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Gross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2070735</wp:posOffset>
            </wp:positionH>
            <wp:positionV relativeFrom="paragraph">
              <wp:posOffset>89535</wp:posOffset>
            </wp:positionV>
            <wp:extent cx="3000375" cy="21342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3000375" cy="2134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2024 compared with 2023</w:t>
      </w:r>
    </w:p>
    <w:p>
      <w:pPr>
        <w:spacing w:after="0" w:line="35"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Gross margin increased by approximately $1.0 billion and gross margin percentage increased 80 basis points to 38.1% compared to 37.3% for the same period of 2023.</w:t>
      </w:r>
    </w:p>
    <w:p>
      <w:pPr>
        <w:spacing w:after="0" w:line="200" w:lineRule="exact"/>
        <w:rPr>
          <w:sz w:val="20"/>
          <w:szCs w:val="20"/>
          <w:color w:val="auto"/>
        </w:rPr>
      </w:pPr>
    </w:p>
    <w:p>
      <w:pPr>
        <w:spacing w:after="0" w:line="203" w:lineRule="exact"/>
        <w:rPr>
          <w:sz w:val="20"/>
          <w:szCs w:val="20"/>
          <w:color w:val="auto"/>
        </w:rPr>
      </w:pPr>
    </w:p>
    <w:p>
      <w:pPr>
        <w:ind w:left="400" w:hanging="392"/>
        <w:spacing w:after="0"/>
        <w:tabs>
          <w:tab w:leader="none" w:pos="400" w:val="left"/>
        </w:tabs>
        <w:numPr>
          <w:ilvl w:val="0"/>
          <w:numId w:val="50"/>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20" w:name="page21"/>
    <w:bookmarkEnd w:id="20"/>
    <w:tbl>
      <w:tblPr>
        <w:tblLayout w:type="fixed"/>
        <w:tblInd w:w="20" w:type="dxa"/>
        <w:tblCellMar>
          <w:top w:w="0" w:type="dxa"/>
          <w:left w:w="0" w:type="dxa"/>
          <w:bottom w:w="0" w:type="dxa"/>
          <w:right w:w="0" w:type="dxa"/>
        </w:tblCellMar>
      </w:tblPr>
      <w:tr>
        <w:trPr>
          <w:trHeight w:val="156"/>
        </w:trPr>
        <w:tc>
          <w:tcPr>
            <w:tcW w:w="4380" w:type="dxa"/>
            <w:vAlign w:val="bottom"/>
            <w:gridSpan w:val="2"/>
          </w:tcPr>
          <w:p>
            <w:pPr>
              <w:spacing w:after="0"/>
              <w:rPr>
                <w:sz w:val="20"/>
                <w:szCs w:val="20"/>
                <w:color w:val="auto"/>
              </w:rPr>
            </w:pPr>
            <w:r>
              <w:rPr>
                <w:rFonts w:ascii="Arial" w:cs="Arial" w:eastAsia="Arial" w:hAnsi="Arial"/>
                <w:sz w:val="13"/>
                <w:szCs w:val="13"/>
                <w:b w:val="1"/>
                <w:bCs w:val="1"/>
                <w:color w:val="0000FF"/>
              </w:rPr>
              <w:t>TABLE OF CONTENTS</w:t>
            </w:r>
          </w:p>
        </w:tc>
        <w:tc>
          <w:tcPr>
            <w:tcW w:w="6820" w:type="dxa"/>
            <w:vAlign w:val="bottom"/>
          </w:tcPr>
          <w:p>
            <w:pPr>
              <w:ind w:left="3040"/>
              <w:spacing w:after="0"/>
              <w:rPr>
                <w:sz w:val="20"/>
                <w:szCs w:val="20"/>
                <w:color w:val="auto"/>
              </w:rPr>
            </w:pPr>
            <w:r>
              <w:rPr>
                <w:rFonts w:ascii="Arial" w:cs="Arial" w:eastAsia="Arial" w:hAnsi="Arial"/>
                <w:sz w:val="13"/>
                <w:szCs w:val="13"/>
                <w:b w:val="1"/>
                <w:bCs w:val="1"/>
                <w:color w:val="D7282F"/>
                <w:w w:val="96"/>
              </w:rPr>
              <w:t>MANAGEMENT’S DISCUSSION AND ANALYSIS OF FINANCIAL</w:t>
            </w:r>
          </w:p>
        </w:tc>
      </w:tr>
      <w:tr>
        <w:trPr>
          <w:trHeight w:val="145"/>
        </w:trPr>
        <w:tc>
          <w:tcPr>
            <w:tcW w:w="1360" w:type="dxa"/>
            <w:vAlign w:val="bottom"/>
            <w:tcBorders>
              <w:top w:val="single" w:sz="8" w:color="0000FF"/>
            </w:tcBorders>
          </w:tcPr>
          <w:p>
            <w:pPr>
              <w:spacing w:after="0"/>
              <w:rPr>
                <w:sz w:val="12"/>
                <w:szCs w:val="12"/>
                <w:color w:val="auto"/>
              </w:rPr>
            </w:pPr>
          </w:p>
        </w:tc>
        <w:tc>
          <w:tcPr>
            <w:tcW w:w="3020" w:type="dxa"/>
            <w:vAlign w:val="bottom"/>
          </w:tcPr>
          <w:p>
            <w:pPr>
              <w:spacing w:after="0"/>
              <w:rPr>
                <w:sz w:val="12"/>
                <w:szCs w:val="12"/>
                <w:color w:val="auto"/>
              </w:rPr>
            </w:pPr>
          </w:p>
        </w:tc>
        <w:tc>
          <w:tcPr>
            <w:tcW w:w="6820" w:type="dxa"/>
            <w:vAlign w:val="bottom"/>
          </w:tcPr>
          <w:p>
            <w:pPr>
              <w:ind w:left="4120"/>
              <w:spacing w:after="0" w:line="145" w:lineRule="exact"/>
              <w:rPr>
                <w:sz w:val="20"/>
                <w:szCs w:val="20"/>
                <w:color w:val="auto"/>
              </w:rPr>
            </w:pPr>
            <w:r>
              <w:rPr>
                <w:rFonts w:ascii="Arial" w:cs="Arial" w:eastAsia="Arial" w:hAnsi="Arial"/>
                <w:sz w:val="13"/>
                <w:szCs w:val="13"/>
                <w:b w:val="1"/>
                <w:bCs w:val="1"/>
                <w:color w:val="D7282F"/>
                <w:w w:val="95"/>
              </w:rPr>
              <w:t>CONDITION AND RESULTS OF OPERATIONS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Research and Development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2070735</wp:posOffset>
            </wp:positionH>
            <wp:positionV relativeFrom="paragraph">
              <wp:posOffset>80645</wp:posOffset>
            </wp:positionV>
            <wp:extent cx="3000375" cy="24688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3000375" cy="2468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2024 compared with 2023</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Research and development expenses slightly increased but were flat as a percentage of Net sales.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A summary of our research and development costs for the years ended December 31, 2024, 2023, and 2022, is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860" w:type="dxa"/>
            <w:vAlign w:val="bottom"/>
            <w:tcBorders>
              <w:bottom w:val="single" w:sz="8" w:color="D7282F"/>
            </w:tcBorders>
          </w:tcPr>
          <w:p>
            <w:pPr>
              <w:spacing w:after="0"/>
              <w:rPr>
                <w:sz w:val="17"/>
                <w:szCs w:val="17"/>
                <w:color w:val="auto"/>
              </w:rPr>
            </w:pPr>
          </w:p>
        </w:tc>
        <w:tc>
          <w:tcPr>
            <w:tcW w:w="252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jc w:val="right"/>
              <w:ind w:right="288"/>
              <w:spacing w:after="0"/>
              <w:rPr>
                <w:sz w:val="20"/>
                <w:szCs w:val="20"/>
                <w:color w:val="auto"/>
              </w:rPr>
            </w:pPr>
            <w:r>
              <w:rPr>
                <w:rFonts w:ascii="Arial" w:cs="Arial" w:eastAsia="Arial" w:hAnsi="Arial"/>
                <w:sz w:val="14"/>
                <w:szCs w:val="14"/>
                <w:b w:val="1"/>
                <w:bCs w:val="1"/>
                <w:color w:val="auto"/>
              </w:rPr>
              <w:t>2024</w:t>
            </w:r>
          </w:p>
        </w:tc>
        <w:tc>
          <w:tcPr>
            <w:tcW w:w="32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288"/>
              <w:spacing w:after="0"/>
              <w:rPr>
                <w:sz w:val="20"/>
                <w:szCs w:val="20"/>
                <w:color w:val="auto"/>
              </w:rPr>
            </w:pPr>
            <w:r>
              <w:rPr>
                <w:rFonts w:ascii="Arial" w:cs="Arial" w:eastAsia="Arial" w:hAnsi="Arial"/>
                <w:sz w:val="14"/>
                <w:szCs w:val="14"/>
                <w:b w:val="1"/>
                <w:bCs w:val="1"/>
                <w:color w:val="auto"/>
              </w:rPr>
              <w:t>2023</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2022</w:t>
            </w:r>
          </w:p>
        </w:tc>
      </w:tr>
      <w:tr>
        <w:trPr>
          <w:trHeight w:val="193"/>
        </w:trPr>
        <w:tc>
          <w:tcPr>
            <w:tcW w:w="586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Company funded research and development expenses</w:t>
            </w:r>
          </w:p>
        </w:tc>
        <w:tc>
          <w:tcPr>
            <w:tcW w:w="252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1,536</w:t>
            </w:r>
          </w:p>
        </w:tc>
        <w:tc>
          <w:tcPr>
            <w:tcW w:w="32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1,456</w:t>
            </w:r>
          </w:p>
        </w:tc>
        <w:tc>
          <w:tcPr>
            <w:tcW w:w="32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1,478</w:t>
            </w:r>
          </w:p>
        </w:tc>
      </w:tr>
      <w:tr>
        <w:trPr>
          <w:trHeight w:val="196"/>
        </w:trPr>
        <w:tc>
          <w:tcPr>
            <w:tcW w:w="586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Customer-sponsored research and development</w:t>
            </w:r>
            <w:r>
              <w:rPr>
                <w:rFonts w:ascii="Arial" w:cs="Arial" w:eastAsia="Arial" w:hAnsi="Arial"/>
                <w:sz w:val="9"/>
                <w:szCs w:val="9"/>
                <w:color w:val="auto"/>
              </w:rPr>
              <w:t>1</w:t>
            </w:r>
          </w:p>
        </w:tc>
        <w:tc>
          <w:tcPr>
            <w:tcW w:w="252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1,105</w:t>
            </w:r>
          </w:p>
        </w:tc>
        <w:tc>
          <w:tcPr>
            <w:tcW w:w="32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1,145</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1,102</w:t>
            </w:r>
          </w:p>
        </w:tc>
      </w:tr>
      <w:tr>
        <w:trPr>
          <w:trHeight w:val="199"/>
        </w:trPr>
        <w:tc>
          <w:tcPr>
            <w:tcW w:w="586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Research and development costs</w:t>
            </w:r>
          </w:p>
        </w:tc>
        <w:tc>
          <w:tcPr>
            <w:tcW w:w="252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2,641</w:t>
            </w:r>
          </w:p>
        </w:tc>
        <w:tc>
          <w:tcPr>
            <w:tcW w:w="32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2,601</w:t>
            </w:r>
          </w:p>
        </w:tc>
        <w:tc>
          <w:tcPr>
            <w:tcW w:w="32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2,580</w:t>
            </w:r>
          </w:p>
        </w:tc>
      </w:tr>
    </w:tbl>
    <w:p>
      <w:pPr>
        <w:spacing w:after="0" w:line="117" w:lineRule="exact"/>
        <w:rPr>
          <w:sz w:val="20"/>
          <w:szCs w:val="20"/>
          <w:color w:val="auto"/>
        </w:rPr>
      </w:pPr>
    </w:p>
    <w:p>
      <w:pPr>
        <w:ind w:left="360" w:right="60" w:hanging="334"/>
        <w:spacing w:after="0" w:line="264" w:lineRule="auto"/>
        <w:tabs>
          <w:tab w:leader="none" w:pos="360" w:val="left"/>
        </w:tabs>
        <w:numPr>
          <w:ilvl w:val="0"/>
          <w:numId w:val="51"/>
        </w:numPr>
        <w:rPr>
          <w:rFonts w:ascii="Arial" w:cs="Arial" w:eastAsia="Arial" w:hAnsi="Arial"/>
          <w:sz w:val="13"/>
          <w:szCs w:val="13"/>
          <w:color w:val="auto"/>
        </w:rPr>
      </w:pPr>
      <w:r>
        <w:rPr>
          <w:rFonts w:ascii="Arial" w:cs="Arial" w:eastAsia="Arial" w:hAnsi="Arial"/>
          <w:sz w:val="13"/>
          <w:szCs w:val="13"/>
          <w:color w:val="auto"/>
        </w:rPr>
        <w:t>Includes deferred customer funded nonrecurring engineering and development activities and expenditures on customer programs with a significant engineering performance obligation, included in Cost of products and services sold in the Consolidated Statement of Operations.</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Selling, General and 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2070735</wp:posOffset>
            </wp:positionH>
            <wp:positionV relativeFrom="paragraph">
              <wp:posOffset>80645</wp:posOffset>
            </wp:positionV>
            <wp:extent cx="3000375" cy="214312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3000375"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2024 compared with 2023</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Selling, general and administrative expenses increased due to the following:</w:t>
      </w:r>
    </w:p>
    <w:p>
      <w:pPr>
        <w:spacing w:after="0" w:line="97" w:lineRule="exact"/>
        <w:rPr>
          <w:sz w:val="20"/>
          <w:szCs w:val="20"/>
          <w:color w:val="auto"/>
        </w:rPr>
      </w:pPr>
    </w:p>
    <w:p>
      <w:pPr>
        <w:ind w:left="200" w:hanging="192"/>
        <w:spacing w:after="0"/>
        <w:tabs>
          <w:tab w:leader="none" w:pos="200" w:val="left"/>
        </w:tabs>
        <w:numPr>
          <w:ilvl w:val="0"/>
          <w:numId w:val="52"/>
        </w:numPr>
        <w:rPr>
          <w:rFonts w:ascii="Arial" w:cs="Arial" w:eastAsia="Arial" w:hAnsi="Arial"/>
          <w:sz w:val="16"/>
          <w:szCs w:val="16"/>
          <w:color w:val="D7282F"/>
        </w:rPr>
      </w:pPr>
      <w:r>
        <w:rPr>
          <w:rFonts w:ascii="Arial" w:cs="Arial" w:eastAsia="Arial" w:hAnsi="Arial"/>
          <w:sz w:val="16"/>
          <w:szCs w:val="16"/>
          <w:color w:val="auto"/>
        </w:rPr>
        <w:t>Higher labor costs of approximately $0.2 billion or 4%, and</w:t>
      </w:r>
    </w:p>
    <w:p>
      <w:pPr>
        <w:spacing w:after="0" w:line="86" w:lineRule="exact"/>
        <w:rPr>
          <w:rFonts w:ascii="Arial" w:cs="Arial" w:eastAsia="Arial" w:hAnsi="Arial"/>
          <w:sz w:val="16"/>
          <w:szCs w:val="16"/>
          <w:color w:val="D7282F"/>
        </w:rPr>
      </w:pPr>
    </w:p>
    <w:p>
      <w:pPr>
        <w:ind w:left="200" w:hanging="192"/>
        <w:spacing w:after="0"/>
        <w:tabs>
          <w:tab w:leader="none" w:pos="200" w:val="left"/>
        </w:tabs>
        <w:numPr>
          <w:ilvl w:val="0"/>
          <w:numId w:val="52"/>
        </w:numPr>
        <w:rPr>
          <w:rFonts w:ascii="Arial" w:cs="Arial" w:eastAsia="Arial" w:hAnsi="Arial"/>
          <w:sz w:val="16"/>
          <w:szCs w:val="16"/>
          <w:color w:val="D7282F"/>
        </w:rPr>
      </w:pPr>
      <w:r>
        <w:rPr>
          <w:rFonts w:ascii="Arial" w:cs="Arial" w:eastAsia="Arial" w:hAnsi="Arial"/>
          <w:sz w:val="16"/>
          <w:szCs w:val="16"/>
          <w:color w:val="auto"/>
        </w:rPr>
        <w:t>Incremental costs from acquisitions of approximately $0.2 billion or 4%,</w:t>
      </w:r>
    </w:p>
    <w:p>
      <w:pPr>
        <w:spacing w:after="0" w:line="86" w:lineRule="exact"/>
        <w:rPr>
          <w:rFonts w:ascii="Arial" w:cs="Arial" w:eastAsia="Arial" w:hAnsi="Arial"/>
          <w:sz w:val="16"/>
          <w:szCs w:val="16"/>
          <w:color w:val="D7282F"/>
        </w:rPr>
      </w:pPr>
    </w:p>
    <w:p>
      <w:pPr>
        <w:ind w:left="200" w:hanging="192"/>
        <w:spacing w:after="0"/>
        <w:tabs>
          <w:tab w:leader="none" w:pos="200" w:val="left"/>
        </w:tabs>
        <w:numPr>
          <w:ilvl w:val="0"/>
          <w:numId w:val="52"/>
        </w:numPr>
        <w:rPr>
          <w:rFonts w:ascii="Arial" w:cs="Arial" w:eastAsia="Arial" w:hAnsi="Arial"/>
          <w:sz w:val="16"/>
          <w:szCs w:val="16"/>
          <w:color w:val="D7282F"/>
        </w:rPr>
      </w:pPr>
      <w:r>
        <w:rPr>
          <w:rFonts w:ascii="Arial" w:cs="Arial" w:eastAsia="Arial" w:hAnsi="Arial"/>
          <w:sz w:val="16"/>
          <w:szCs w:val="16"/>
          <w:color w:val="auto"/>
        </w:rPr>
        <w:t>Partially offset by higher productivity of approximately $0.1 billion or 2%.</w:t>
      </w:r>
    </w:p>
    <w:p>
      <w:pPr>
        <w:sectPr>
          <w:pgSz w:w="11900" w:h="16838" w:orient="portrait"/>
          <w:cols w:equalWidth="0" w:num="1">
            <w:col w:w="11240"/>
          </w:cols>
          <w:pgMar w:left="320" w:top="247" w:right="339" w:bottom="1440" w:gutter="0" w:footer="0" w:header="0"/>
        </w:sectPr>
      </w:pPr>
    </w:p>
    <w:p>
      <w:pPr>
        <w:spacing w:after="0" w:line="200" w:lineRule="exact"/>
        <w:rPr>
          <w:sz w:val="20"/>
          <w:szCs w:val="20"/>
          <w:color w:val="auto"/>
        </w:rPr>
      </w:pPr>
    </w:p>
    <w:p>
      <w:pPr>
        <w:spacing w:after="0" w:line="225" w:lineRule="exact"/>
        <w:rPr>
          <w:sz w:val="20"/>
          <w:szCs w:val="20"/>
          <w:color w:val="auto"/>
        </w:rPr>
      </w:pPr>
    </w:p>
    <w:p>
      <w:pPr>
        <w:ind w:left="400" w:hanging="392"/>
        <w:spacing w:after="0"/>
        <w:tabs>
          <w:tab w:leader="none" w:pos="400" w:val="left"/>
        </w:tabs>
        <w:numPr>
          <w:ilvl w:val="0"/>
          <w:numId w:val="53"/>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type w:val="continuous"/>
        </w:sectPr>
      </w:pPr>
    </w:p>
    <w:bookmarkStart w:id="21" w:name="page22"/>
    <w:bookmarkEnd w:id="21"/>
    <w:tbl>
      <w:tblPr>
        <w:tblLayout w:type="fixed"/>
        <w:tblInd w:w="20" w:type="dxa"/>
        <w:tblCellMar>
          <w:top w:w="0" w:type="dxa"/>
          <w:left w:w="0" w:type="dxa"/>
          <w:bottom w:w="0" w:type="dxa"/>
          <w:right w:w="0" w:type="dxa"/>
        </w:tblCellMar>
      </w:tblPr>
      <w:tr>
        <w:trPr>
          <w:trHeight w:val="156"/>
        </w:trPr>
        <w:tc>
          <w:tcPr>
            <w:tcW w:w="4380" w:type="dxa"/>
            <w:vAlign w:val="bottom"/>
            <w:gridSpan w:val="2"/>
          </w:tcPr>
          <w:p>
            <w:pPr>
              <w:spacing w:after="0"/>
              <w:rPr>
                <w:sz w:val="20"/>
                <w:szCs w:val="20"/>
                <w:color w:val="auto"/>
              </w:rPr>
            </w:pPr>
            <w:r>
              <w:rPr>
                <w:rFonts w:ascii="Arial" w:cs="Arial" w:eastAsia="Arial" w:hAnsi="Arial"/>
                <w:sz w:val="13"/>
                <w:szCs w:val="13"/>
                <w:b w:val="1"/>
                <w:bCs w:val="1"/>
                <w:color w:val="0000FF"/>
              </w:rPr>
              <w:t>TABLE OF CONTENTS</w:t>
            </w:r>
          </w:p>
        </w:tc>
        <w:tc>
          <w:tcPr>
            <w:tcW w:w="6820" w:type="dxa"/>
            <w:vAlign w:val="bottom"/>
          </w:tcPr>
          <w:p>
            <w:pPr>
              <w:ind w:left="3040"/>
              <w:spacing w:after="0"/>
              <w:rPr>
                <w:sz w:val="20"/>
                <w:szCs w:val="20"/>
                <w:color w:val="auto"/>
              </w:rPr>
            </w:pPr>
            <w:r>
              <w:rPr>
                <w:rFonts w:ascii="Arial" w:cs="Arial" w:eastAsia="Arial" w:hAnsi="Arial"/>
                <w:sz w:val="13"/>
                <w:szCs w:val="13"/>
                <w:b w:val="1"/>
                <w:bCs w:val="1"/>
                <w:color w:val="D7282F"/>
                <w:w w:val="96"/>
              </w:rPr>
              <w:t>MANAGEMENT’S DISCUSSION AND ANALYSIS OF FINANCIAL</w:t>
            </w:r>
          </w:p>
        </w:tc>
      </w:tr>
      <w:tr>
        <w:trPr>
          <w:trHeight w:val="145"/>
        </w:trPr>
        <w:tc>
          <w:tcPr>
            <w:tcW w:w="1360" w:type="dxa"/>
            <w:vAlign w:val="bottom"/>
            <w:tcBorders>
              <w:top w:val="single" w:sz="8" w:color="0000FF"/>
            </w:tcBorders>
          </w:tcPr>
          <w:p>
            <w:pPr>
              <w:spacing w:after="0"/>
              <w:rPr>
                <w:sz w:val="12"/>
                <w:szCs w:val="12"/>
                <w:color w:val="auto"/>
              </w:rPr>
            </w:pPr>
          </w:p>
        </w:tc>
        <w:tc>
          <w:tcPr>
            <w:tcW w:w="3020" w:type="dxa"/>
            <w:vAlign w:val="bottom"/>
          </w:tcPr>
          <w:p>
            <w:pPr>
              <w:spacing w:after="0"/>
              <w:rPr>
                <w:sz w:val="12"/>
                <w:szCs w:val="12"/>
                <w:color w:val="auto"/>
              </w:rPr>
            </w:pPr>
          </w:p>
        </w:tc>
        <w:tc>
          <w:tcPr>
            <w:tcW w:w="6820" w:type="dxa"/>
            <w:vAlign w:val="bottom"/>
          </w:tcPr>
          <w:p>
            <w:pPr>
              <w:ind w:left="4120"/>
              <w:spacing w:after="0" w:line="145" w:lineRule="exact"/>
              <w:rPr>
                <w:sz w:val="20"/>
                <w:szCs w:val="20"/>
                <w:color w:val="auto"/>
              </w:rPr>
            </w:pPr>
            <w:r>
              <w:rPr>
                <w:rFonts w:ascii="Arial" w:cs="Arial" w:eastAsia="Arial" w:hAnsi="Arial"/>
                <w:sz w:val="13"/>
                <w:szCs w:val="13"/>
                <w:b w:val="1"/>
                <w:bCs w:val="1"/>
                <w:color w:val="D7282F"/>
                <w:w w:val="95"/>
              </w:rPr>
              <w:t>CONDITION AND RESULTS OF OPERATIONS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Impairment of Assets Held for Sale</w:t>
      </w:r>
    </w:p>
    <w:p>
      <w:pPr>
        <w:spacing w:after="0" w:line="158" w:lineRule="exact"/>
        <w:rPr>
          <w:sz w:val="20"/>
          <w:szCs w:val="20"/>
          <w:color w:val="auto"/>
        </w:rPr>
      </w:pPr>
    </w:p>
    <w:p>
      <w:pPr>
        <w:ind w:left="8460"/>
        <w:spacing w:after="0"/>
        <w:tabs>
          <w:tab w:leader="none" w:pos="9540" w:val="left"/>
          <w:tab w:leader="none" w:pos="10620" w:val="left"/>
        </w:tabs>
        <w:rPr>
          <w:sz w:val="20"/>
          <w:szCs w:val="20"/>
          <w:color w:val="auto"/>
        </w:rPr>
      </w:pPr>
      <w:r>
        <w:rPr>
          <w:rFonts w:ascii="Arial" w:cs="Arial" w:eastAsia="Arial" w:hAnsi="Arial"/>
          <w:sz w:val="14"/>
          <w:szCs w:val="14"/>
          <w:b w:val="1"/>
          <w:bCs w:val="1"/>
          <w:color w:val="auto"/>
        </w:rPr>
        <w:t>2024</w:t>
      </w:r>
      <w:r>
        <w:rPr>
          <w:sz w:val="20"/>
          <w:szCs w:val="20"/>
          <w:color w:val="auto"/>
        </w:rPr>
        <w:tab/>
      </w:r>
      <w:r>
        <w:rPr>
          <w:rFonts w:ascii="Arial" w:cs="Arial" w:eastAsia="Arial" w:hAnsi="Arial"/>
          <w:sz w:val="14"/>
          <w:szCs w:val="14"/>
          <w:b w:val="1"/>
          <w:bCs w:val="1"/>
          <w:color w:val="auto"/>
        </w:rPr>
        <w:t>2023</w:t>
      </w:r>
      <w:r>
        <w:rPr>
          <w:sz w:val="20"/>
          <w:szCs w:val="20"/>
          <w:color w:val="auto"/>
        </w:rPr>
        <w:tab/>
      </w:r>
      <w:r>
        <w:rPr>
          <w:rFonts w:ascii="Arial" w:cs="Arial" w:eastAsia="Arial" w:hAnsi="Arial"/>
          <w:sz w:val="14"/>
          <w:szCs w:val="14"/>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 w:lineRule="exact"/>
        <w:rPr>
          <w:sz w:val="20"/>
          <w:szCs w:val="20"/>
          <w:color w:val="auto"/>
        </w:rPr>
      </w:pPr>
    </w:p>
    <w:p>
      <w:pPr>
        <w:ind w:left="20"/>
        <w:spacing w:after="0"/>
        <w:tabs>
          <w:tab w:leader="none" w:pos="8180" w:val="left"/>
          <w:tab w:leader="none" w:pos="8720" w:val="left"/>
          <w:tab w:leader="none" w:pos="9280" w:val="left"/>
          <w:tab w:leader="none" w:pos="9920" w:val="left"/>
          <w:tab w:leader="none" w:pos="10380" w:val="left"/>
          <w:tab w:leader="none" w:pos="11000" w:val="left"/>
        </w:tabs>
        <w:rPr>
          <w:sz w:val="20"/>
          <w:szCs w:val="20"/>
          <w:color w:val="auto"/>
        </w:rPr>
      </w:pPr>
      <w:r>
        <w:rPr>
          <w:rFonts w:ascii="Arial" w:cs="Arial" w:eastAsia="Arial" w:hAnsi="Arial"/>
          <w:sz w:val="14"/>
          <w:szCs w:val="14"/>
          <w:color w:val="auto"/>
        </w:rPr>
        <w:t>Impairment of assets held for sale</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219</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2024 compared with 2023</w:t>
      </w:r>
    </w:p>
    <w:p>
      <w:pPr>
        <w:spacing w:after="0" w:line="21"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An impairment charge was recorded on assets held for sale related to the personal protective equipment business during the twelve months ended December 31, 2024.</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(Income) Expense</w:t>
      </w:r>
    </w:p>
    <w:p>
      <w:pPr>
        <w:spacing w:after="0" w:line="172" w:lineRule="exact"/>
        <w:rPr>
          <w:sz w:val="20"/>
          <w:szCs w:val="20"/>
          <w:color w:val="auto"/>
        </w:rPr>
      </w:pPr>
    </w:p>
    <w:p>
      <w:pPr>
        <w:ind w:left="8460"/>
        <w:spacing w:after="0"/>
        <w:tabs>
          <w:tab w:leader="none" w:pos="9540" w:val="left"/>
          <w:tab w:leader="none" w:pos="10620" w:val="left"/>
        </w:tabs>
        <w:rPr>
          <w:sz w:val="20"/>
          <w:szCs w:val="20"/>
          <w:color w:val="auto"/>
        </w:rPr>
      </w:pPr>
      <w:r>
        <w:rPr>
          <w:rFonts w:ascii="Arial" w:cs="Arial" w:eastAsia="Arial" w:hAnsi="Arial"/>
          <w:sz w:val="14"/>
          <w:szCs w:val="14"/>
          <w:b w:val="1"/>
          <w:bCs w:val="1"/>
          <w:color w:val="auto"/>
        </w:rPr>
        <w:t>2024</w:t>
      </w:r>
      <w:r>
        <w:rPr>
          <w:sz w:val="20"/>
          <w:szCs w:val="20"/>
          <w:color w:val="auto"/>
        </w:rPr>
        <w:tab/>
      </w:r>
      <w:r>
        <w:rPr>
          <w:rFonts w:ascii="Arial" w:cs="Arial" w:eastAsia="Arial" w:hAnsi="Arial"/>
          <w:sz w:val="14"/>
          <w:szCs w:val="14"/>
          <w:b w:val="1"/>
          <w:bCs w:val="1"/>
          <w:color w:val="auto"/>
        </w:rPr>
        <w:t>2023</w:t>
      </w:r>
      <w:r>
        <w:rPr>
          <w:sz w:val="20"/>
          <w:szCs w:val="20"/>
          <w:color w:val="auto"/>
        </w:rPr>
        <w:tab/>
      </w:r>
      <w:r>
        <w:rPr>
          <w:rFonts w:ascii="Arial" w:cs="Arial" w:eastAsia="Arial" w:hAnsi="Arial"/>
          <w:sz w:val="14"/>
          <w:szCs w:val="14"/>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 w:lineRule="exact"/>
        <w:rPr>
          <w:sz w:val="20"/>
          <w:szCs w:val="20"/>
          <w:color w:val="auto"/>
        </w:rPr>
      </w:pPr>
    </w:p>
    <w:p>
      <w:pPr>
        <w:ind w:left="20"/>
        <w:spacing w:after="0"/>
        <w:tabs>
          <w:tab w:leader="none" w:pos="8180" w:val="left"/>
          <w:tab w:leader="none" w:pos="8680" w:val="left"/>
          <w:tab w:leader="none" w:pos="9280" w:val="left"/>
          <w:tab w:leader="none" w:pos="9760" w:val="left"/>
          <w:tab w:leader="none" w:pos="10380" w:val="left"/>
          <w:tab w:leader="none" w:pos="10860" w:val="left"/>
        </w:tabs>
        <w:rPr>
          <w:sz w:val="20"/>
          <w:szCs w:val="20"/>
          <w:color w:val="auto"/>
        </w:rPr>
      </w:pPr>
      <w:r>
        <w:rPr>
          <w:rFonts w:ascii="Arial" w:cs="Arial" w:eastAsia="Arial" w:hAnsi="Arial"/>
          <w:sz w:val="14"/>
          <w:szCs w:val="14"/>
          <w:color w:val="auto"/>
        </w:rPr>
        <w:t>Other (income) expense</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(830)</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(840)</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(366)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2024 compared with 2023</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Other income was flat due to the following:</w:t>
      </w:r>
    </w:p>
    <w:p>
      <w:pPr>
        <w:spacing w:after="0" w:line="97" w:lineRule="exact"/>
        <w:rPr>
          <w:sz w:val="20"/>
          <w:szCs w:val="20"/>
          <w:color w:val="auto"/>
        </w:rPr>
      </w:pPr>
    </w:p>
    <w:p>
      <w:pPr>
        <w:ind w:left="200" w:hanging="192"/>
        <w:spacing w:after="0"/>
        <w:tabs>
          <w:tab w:leader="none" w:pos="200" w:val="left"/>
        </w:tabs>
        <w:numPr>
          <w:ilvl w:val="0"/>
          <w:numId w:val="54"/>
        </w:numPr>
        <w:rPr>
          <w:rFonts w:ascii="Arial" w:cs="Arial" w:eastAsia="Arial" w:hAnsi="Arial"/>
          <w:sz w:val="16"/>
          <w:szCs w:val="16"/>
          <w:color w:val="D7282F"/>
        </w:rPr>
      </w:pPr>
      <w:r>
        <w:rPr>
          <w:rFonts w:ascii="Arial" w:cs="Arial" w:eastAsia="Arial" w:hAnsi="Arial"/>
          <w:sz w:val="16"/>
          <w:szCs w:val="16"/>
          <w:color w:val="auto"/>
        </w:rPr>
        <w:t>Higher interest income of approximately $0.1 billion, and</w:t>
      </w:r>
    </w:p>
    <w:p>
      <w:pPr>
        <w:spacing w:after="0" w:line="86" w:lineRule="exact"/>
        <w:rPr>
          <w:rFonts w:ascii="Arial" w:cs="Arial" w:eastAsia="Arial" w:hAnsi="Arial"/>
          <w:sz w:val="16"/>
          <w:szCs w:val="16"/>
          <w:color w:val="D7282F"/>
        </w:rPr>
      </w:pPr>
    </w:p>
    <w:p>
      <w:pPr>
        <w:ind w:left="200" w:hanging="192"/>
        <w:spacing w:after="0"/>
        <w:tabs>
          <w:tab w:leader="none" w:pos="200" w:val="left"/>
        </w:tabs>
        <w:numPr>
          <w:ilvl w:val="0"/>
          <w:numId w:val="54"/>
        </w:numPr>
        <w:rPr>
          <w:rFonts w:ascii="Arial" w:cs="Arial" w:eastAsia="Arial" w:hAnsi="Arial"/>
          <w:sz w:val="16"/>
          <w:szCs w:val="16"/>
          <w:color w:val="D7282F"/>
        </w:rPr>
      </w:pPr>
      <w:r>
        <w:rPr>
          <w:rFonts w:ascii="Arial" w:cs="Arial" w:eastAsia="Arial" w:hAnsi="Arial"/>
          <w:sz w:val="16"/>
          <w:szCs w:val="16"/>
          <w:color w:val="auto"/>
        </w:rPr>
        <w:t>Higher pension and post-retirement income of $0.1 billion,</w:t>
      </w:r>
    </w:p>
    <w:p>
      <w:pPr>
        <w:spacing w:after="0" w:line="72" w:lineRule="exact"/>
        <w:rPr>
          <w:rFonts w:ascii="Arial" w:cs="Arial" w:eastAsia="Arial" w:hAnsi="Arial"/>
          <w:sz w:val="16"/>
          <w:szCs w:val="16"/>
          <w:color w:val="D7282F"/>
        </w:rPr>
      </w:pPr>
    </w:p>
    <w:p>
      <w:pPr>
        <w:ind w:left="200" w:hanging="192"/>
        <w:spacing w:after="0"/>
        <w:tabs>
          <w:tab w:leader="none" w:pos="200" w:val="left"/>
        </w:tabs>
        <w:numPr>
          <w:ilvl w:val="0"/>
          <w:numId w:val="54"/>
        </w:numPr>
        <w:rPr>
          <w:rFonts w:ascii="Arial" w:cs="Arial" w:eastAsia="Arial" w:hAnsi="Arial"/>
          <w:sz w:val="16"/>
          <w:szCs w:val="16"/>
          <w:color w:val="D7282F"/>
        </w:rPr>
      </w:pPr>
      <w:r>
        <w:rPr>
          <w:rFonts w:ascii="Arial" w:cs="Arial" w:eastAsia="Arial" w:hAnsi="Arial"/>
          <w:sz w:val="16"/>
          <w:szCs w:val="16"/>
          <w:color w:val="auto"/>
        </w:rPr>
        <w:t>Partially offset by higher acquisition-related costs of $0.1 billion.</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Interest and Other Financial Charges</w:t>
      </w:r>
    </w:p>
    <w:p>
      <w:pPr>
        <w:spacing w:after="0" w:line="158" w:lineRule="exact"/>
        <w:rPr>
          <w:sz w:val="20"/>
          <w:szCs w:val="20"/>
          <w:color w:val="auto"/>
        </w:rPr>
      </w:pPr>
    </w:p>
    <w:p>
      <w:pPr>
        <w:ind w:left="8460"/>
        <w:spacing w:after="0"/>
        <w:tabs>
          <w:tab w:leader="none" w:pos="9540" w:val="left"/>
          <w:tab w:leader="none" w:pos="10620" w:val="left"/>
        </w:tabs>
        <w:rPr>
          <w:sz w:val="20"/>
          <w:szCs w:val="20"/>
          <w:color w:val="auto"/>
        </w:rPr>
      </w:pPr>
      <w:r>
        <w:rPr>
          <w:rFonts w:ascii="Arial" w:cs="Arial" w:eastAsia="Arial" w:hAnsi="Arial"/>
          <w:sz w:val="14"/>
          <w:szCs w:val="14"/>
          <w:b w:val="1"/>
          <w:bCs w:val="1"/>
          <w:color w:val="auto"/>
        </w:rPr>
        <w:t>2024</w:t>
      </w:r>
      <w:r>
        <w:rPr>
          <w:sz w:val="20"/>
          <w:szCs w:val="20"/>
          <w:color w:val="auto"/>
        </w:rPr>
        <w:tab/>
      </w:r>
      <w:r>
        <w:rPr>
          <w:rFonts w:ascii="Arial" w:cs="Arial" w:eastAsia="Arial" w:hAnsi="Arial"/>
          <w:sz w:val="14"/>
          <w:szCs w:val="14"/>
          <w:b w:val="1"/>
          <w:bCs w:val="1"/>
          <w:color w:val="auto"/>
        </w:rPr>
        <w:t>2023</w:t>
      </w:r>
      <w:r>
        <w:rPr>
          <w:sz w:val="20"/>
          <w:szCs w:val="20"/>
          <w:color w:val="auto"/>
        </w:rPr>
        <w:tab/>
      </w:r>
      <w:r>
        <w:rPr>
          <w:rFonts w:ascii="Arial" w:cs="Arial" w:eastAsia="Arial" w:hAnsi="Arial"/>
          <w:sz w:val="14"/>
          <w:szCs w:val="14"/>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 w:lineRule="exact"/>
        <w:rPr>
          <w:sz w:val="20"/>
          <w:szCs w:val="20"/>
          <w:color w:val="auto"/>
        </w:rPr>
      </w:pPr>
    </w:p>
    <w:p>
      <w:pPr>
        <w:ind w:left="20"/>
        <w:spacing w:after="0"/>
        <w:tabs>
          <w:tab w:leader="none" w:pos="8180" w:val="left"/>
          <w:tab w:leader="none" w:pos="8600" w:val="left"/>
          <w:tab w:leader="none" w:pos="9280" w:val="left"/>
          <w:tab w:leader="none" w:pos="9820" w:val="left"/>
          <w:tab w:leader="none" w:pos="10380" w:val="left"/>
          <w:tab w:leader="none" w:pos="10920" w:val="left"/>
        </w:tabs>
        <w:rPr>
          <w:sz w:val="20"/>
          <w:szCs w:val="20"/>
          <w:color w:val="auto"/>
        </w:rPr>
      </w:pPr>
      <w:r>
        <w:rPr>
          <w:rFonts w:ascii="Arial" w:cs="Arial" w:eastAsia="Arial" w:hAnsi="Arial"/>
          <w:sz w:val="14"/>
          <w:szCs w:val="14"/>
          <w:color w:val="auto"/>
        </w:rPr>
        <w:t>Interest and other financial charges</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1,058</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765</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414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2024 compared with 2023</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Interest and other financial charges increased due to issuances of long-term debt during the twelve months ended December 31, 2024.</w:t>
      </w:r>
    </w:p>
    <w:p>
      <w:pPr>
        <w:spacing w:after="0" w:line="3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2070735</wp:posOffset>
            </wp:positionH>
            <wp:positionV relativeFrom="paragraph">
              <wp:posOffset>80645</wp:posOffset>
            </wp:positionV>
            <wp:extent cx="3000375" cy="214312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3000375"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2024 compared with U.S. Statutory Rate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The effective tax rate for 2024 was lower than the U.S. federal statutory rate of 21% as a result of the following:</w:t>
      </w:r>
    </w:p>
    <w:p>
      <w:pPr>
        <w:spacing w:after="0" w:line="111" w:lineRule="exact"/>
        <w:rPr>
          <w:sz w:val="20"/>
          <w:szCs w:val="20"/>
          <w:color w:val="auto"/>
        </w:rPr>
      </w:pPr>
    </w:p>
    <w:p>
      <w:pPr>
        <w:ind w:left="200" w:hanging="192"/>
        <w:spacing w:after="0"/>
        <w:tabs>
          <w:tab w:leader="none" w:pos="200" w:val="left"/>
        </w:tabs>
        <w:numPr>
          <w:ilvl w:val="0"/>
          <w:numId w:val="55"/>
        </w:numPr>
        <w:rPr>
          <w:rFonts w:ascii="Arial" w:cs="Arial" w:eastAsia="Arial" w:hAnsi="Arial"/>
          <w:sz w:val="16"/>
          <w:szCs w:val="16"/>
          <w:color w:val="BF2115"/>
        </w:rPr>
      </w:pPr>
      <w:r>
        <w:rPr>
          <w:rFonts w:ascii="Arial" w:cs="Arial" w:eastAsia="Arial" w:hAnsi="Arial"/>
          <w:sz w:val="16"/>
          <w:szCs w:val="16"/>
          <w:color w:val="auto"/>
        </w:rPr>
        <w:t>Tax credits, representing a 200 basis point decrease, and</w:t>
      </w:r>
    </w:p>
    <w:p>
      <w:pPr>
        <w:spacing w:after="0" w:line="72" w:lineRule="exact"/>
        <w:rPr>
          <w:rFonts w:ascii="Arial" w:cs="Arial" w:eastAsia="Arial" w:hAnsi="Arial"/>
          <w:sz w:val="16"/>
          <w:szCs w:val="16"/>
          <w:color w:val="BF2115"/>
        </w:rPr>
      </w:pPr>
    </w:p>
    <w:p>
      <w:pPr>
        <w:ind w:left="200" w:hanging="192"/>
        <w:spacing w:after="0"/>
        <w:tabs>
          <w:tab w:leader="none" w:pos="200" w:val="left"/>
        </w:tabs>
        <w:numPr>
          <w:ilvl w:val="0"/>
          <w:numId w:val="55"/>
        </w:numPr>
        <w:rPr>
          <w:rFonts w:ascii="Arial" w:cs="Arial" w:eastAsia="Arial" w:hAnsi="Arial"/>
          <w:sz w:val="16"/>
          <w:szCs w:val="16"/>
          <w:color w:val="D7282F"/>
        </w:rPr>
      </w:pPr>
      <w:r>
        <w:rPr>
          <w:rFonts w:ascii="Arial" w:cs="Arial" w:eastAsia="Arial" w:hAnsi="Arial"/>
          <w:sz w:val="16"/>
          <w:szCs w:val="16"/>
          <w:color w:val="auto"/>
        </w:rPr>
        <w:t>Tax benefits on non-U.S. earnings, representing a 140 basis point decrease,</w:t>
      </w:r>
    </w:p>
    <w:p>
      <w:pPr>
        <w:spacing w:after="0" w:line="86" w:lineRule="exact"/>
        <w:rPr>
          <w:rFonts w:ascii="Arial" w:cs="Arial" w:eastAsia="Arial" w:hAnsi="Arial"/>
          <w:sz w:val="16"/>
          <w:szCs w:val="16"/>
          <w:color w:val="D7282F"/>
        </w:rPr>
      </w:pPr>
    </w:p>
    <w:p>
      <w:pPr>
        <w:ind w:left="200" w:hanging="192"/>
        <w:spacing w:after="0"/>
        <w:tabs>
          <w:tab w:leader="none" w:pos="200" w:val="left"/>
        </w:tabs>
        <w:numPr>
          <w:ilvl w:val="0"/>
          <w:numId w:val="55"/>
        </w:numPr>
        <w:rPr>
          <w:rFonts w:ascii="Arial" w:cs="Arial" w:eastAsia="Arial" w:hAnsi="Arial"/>
          <w:sz w:val="16"/>
          <w:szCs w:val="16"/>
          <w:color w:val="D7282F"/>
        </w:rPr>
      </w:pPr>
      <w:r>
        <w:rPr>
          <w:rFonts w:ascii="Arial" w:cs="Arial" w:eastAsia="Arial" w:hAnsi="Arial"/>
          <w:sz w:val="16"/>
          <w:szCs w:val="16"/>
          <w:color w:val="auto"/>
        </w:rPr>
        <w:t>Partially offset by state, local, and global minimum taxes, representing a 170 basis point increase, and</w:t>
      </w:r>
    </w:p>
    <w:p>
      <w:pPr>
        <w:spacing w:after="0" w:line="86" w:lineRule="exact"/>
        <w:rPr>
          <w:rFonts w:ascii="Arial" w:cs="Arial" w:eastAsia="Arial" w:hAnsi="Arial"/>
          <w:sz w:val="16"/>
          <w:szCs w:val="16"/>
          <w:color w:val="D7282F"/>
        </w:rPr>
      </w:pPr>
    </w:p>
    <w:p>
      <w:pPr>
        <w:ind w:left="200" w:hanging="192"/>
        <w:spacing w:after="0"/>
        <w:tabs>
          <w:tab w:leader="none" w:pos="200" w:val="left"/>
        </w:tabs>
        <w:numPr>
          <w:ilvl w:val="0"/>
          <w:numId w:val="55"/>
        </w:numPr>
        <w:rPr>
          <w:rFonts w:ascii="Arial" w:cs="Arial" w:eastAsia="Arial" w:hAnsi="Arial"/>
          <w:sz w:val="16"/>
          <w:szCs w:val="16"/>
          <w:color w:val="D7282F"/>
        </w:rPr>
      </w:pPr>
      <w:r>
        <w:rPr>
          <w:rFonts w:ascii="Arial" w:cs="Arial" w:eastAsia="Arial" w:hAnsi="Arial"/>
          <w:sz w:val="16"/>
          <w:szCs w:val="16"/>
          <w:color w:val="auto"/>
        </w:rPr>
        <w:t>Change in accruals on global tax matters, representing a 120 basis point increase.</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See Note 5 </w:t>
      </w:r>
      <w:r>
        <w:rPr>
          <w:rFonts w:ascii="Arial" w:cs="Arial" w:eastAsia="Arial" w:hAnsi="Arial"/>
          <w:sz w:val="16"/>
          <w:szCs w:val="16"/>
          <w:u w:val="single" w:color="auto"/>
          <w:color w:val="0000FF"/>
        </w:rPr>
        <w:t>Income Taxes</w:t>
      </w:r>
      <w:r>
        <w:rPr>
          <w:rFonts w:ascii="Arial" w:cs="Arial" w:eastAsia="Arial" w:hAnsi="Arial"/>
          <w:sz w:val="16"/>
          <w:szCs w:val="16"/>
          <w:color w:val="auto"/>
        </w:rPr>
        <w:t xml:space="preserve"> of Notes to Consolidated Financial Statements for further discussion of changes in the effective tax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1179195</wp:posOffset>
            </wp:positionH>
            <wp:positionV relativeFrom="paragraph">
              <wp:posOffset>-107315</wp:posOffset>
            </wp:positionV>
            <wp:extent cx="4749165" cy="1200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4749165" cy="12001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p>
      <w:pPr>
        <w:spacing w:after="0" w:line="200" w:lineRule="exact"/>
        <w:rPr>
          <w:sz w:val="20"/>
          <w:szCs w:val="20"/>
          <w:color w:val="auto"/>
        </w:rPr>
      </w:pPr>
    </w:p>
    <w:p>
      <w:pPr>
        <w:spacing w:after="0" w:line="252" w:lineRule="exact"/>
        <w:rPr>
          <w:sz w:val="20"/>
          <w:szCs w:val="20"/>
          <w:color w:val="auto"/>
        </w:rPr>
      </w:pPr>
    </w:p>
    <w:p>
      <w:pPr>
        <w:ind w:left="400" w:hanging="392"/>
        <w:spacing w:after="0"/>
        <w:tabs>
          <w:tab w:leader="none" w:pos="400" w:val="left"/>
        </w:tabs>
        <w:numPr>
          <w:ilvl w:val="0"/>
          <w:numId w:val="56"/>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type w:val="continuous"/>
        </w:sectPr>
      </w:pPr>
    </w:p>
    <w:bookmarkStart w:id="22" w:name="page23"/>
    <w:bookmarkEnd w:id="22"/>
    <w:tbl>
      <w:tblPr>
        <w:tblLayout w:type="fixed"/>
        <w:tblInd w:w="20" w:type="dxa"/>
        <w:tblCellMar>
          <w:top w:w="0" w:type="dxa"/>
          <w:left w:w="0" w:type="dxa"/>
          <w:bottom w:w="0" w:type="dxa"/>
          <w:right w:w="0" w:type="dxa"/>
        </w:tblCellMar>
      </w:tblPr>
      <w:tr>
        <w:trPr>
          <w:trHeight w:val="156"/>
        </w:trPr>
        <w:tc>
          <w:tcPr>
            <w:tcW w:w="4380" w:type="dxa"/>
            <w:vAlign w:val="bottom"/>
            <w:gridSpan w:val="2"/>
          </w:tcPr>
          <w:p>
            <w:pPr>
              <w:spacing w:after="0"/>
              <w:rPr>
                <w:sz w:val="20"/>
                <w:szCs w:val="20"/>
                <w:color w:val="auto"/>
              </w:rPr>
            </w:pPr>
            <w:r>
              <w:rPr>
                <w:rFonts w:ascii="Arial" w:cs="Arial" w:eastAsia="Arial" w:hAnsi="Arial"/>
                <w:sz w:val="13"/>
                <w:szCs w:val="13"/>
                <w:b w:val="1"/>
                <w:bCs w:val="1"/>
                <w:color w:val="0000FF"/>
              </w:rPr>
              <w:t>TABLE OF CONTENTS</w:t>
            </w:r>
          </w:p>
        </w:tc>
        <w:tc>
          <w:tcPr>
            <w:tcW w:w="6820" w:type="dxa"/>
            <w:vAlign w:val="bottom"/>
          </w:tcPr>
          <w:p>
            <w:pPr>
              <w:ind w:left="3040"/>
              <w:spacing w:after="0"/>
              <w:rPr>
                <w:sz w:val="20"/>
                <w:szCs w:val="20"/>
                <w:color w:val="auto"/>
              </w:rPr>
            </w:pPr>
            <w:r>
              <w:rPr>
                <w:rFonts w:ascii="Arial" w:cs="Arial" w:eastAsia="Arial" w:hAnsi="Arial"/>
                <w:sz w:val="13"/>
                <w:szCs w:val="13"/>
                <w:b w:val="1"/>
                <w:bCs w:val="1"/>
                <w:color w:val="D7282F"/>
                <w:w w:val="96"/>
              </w:rPr>
              <w:t>MANAGEMENT’S DISCUSSION AND ANALYSIS OF FINANCIAL</w:t>
            </w:r>
          </w:p>
        </w:tc>
      </w:tr>
      <w:tr>
        <w:trPr>
          <w:trHeight w:val="145"/>
        </w:trPr>
        <w:tc>
          <w:tcPr>
            <w:tcW w:w="1360" w:type="dxa"/>
            <w:vAlign w:val="bottom"/>
            <w:tcBorders>
              <w:top w:val="single" w:sz="8" w:color="0000FF"/>
            </w:tcBorders>
          </w:tcPr>
          <w:p>
            <w:pPr>
              <w:spacing w:after="0"/>
              <w:rPr>
                <w:sz w:val="12"/>
                <w:szCs w:val="12"/>
                <w:color w:val="auto"/>
              </w:rPr>
            </w:pPr>
          </w:p>
        </w:tc>
        <w:tc>
          <w:tcPr>
            <w:tcW w:w="3020" w:type="dxa"/>
            <w:vAlign w:val="bottom"/>
          </w:tcPr>
          <w:p>
            <w:pPr>
              <w:spacing w:after="0"/>
              <w:rPr>
                <w:sz w:val="12"/>
                <w:szCs w:val="12"/>
                <w:color w:val="auto"/>
              </w:rPr>
            </w:pPr>
          </w:p>
        </w:tc>
        <w:tc>
          <w:tcPr>
            <w:tcW w:w="6820" w:type="dxa"/>
            <w:vAlign w:val="bottom"/>
          </w:tcPr>
          <w:p>
            <w:pPr>
              <w:ind w:left="4120"/>
              <w:spacing w:after="0" w:line="145" w:lineRule="exact"/>
              <w:rPr>
                <w:sz w:val="20"/>
                <w:szCs w:val="20"/>
                <w:color w:val="auto"/>
              </w:rPr>
            </w:pPr>
            <w:r>
              <w:rPr>
                <w:rFonts w:ascii="Arial" w:cs="Arial" w:eastAsia="Arial" w:hAnsi="Arial"/>
                <w:sz w:val="13"/>
                <w:szCs w:val="13"/>
                <w:b w:val="1"/>
                <w:bCs w:val="1"/>
                <w:color w:val="D7282F"/>
                <w:w w:val="95"/>
              </w:rPr>
              <w:t>CONDITION AND RESULTS OF OPERATIONS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Income Attributable to Honeywell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2070735</wp:posOffset>
            </wp:positionH>
            <wp:positionV relativeFrom="paragraph">
              <wp:posOffset>80645</wp:posOffset>
            </wp:positionV>
            <wp:extent cx="3000375" cy="214312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3000375"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2024 compared with 2023</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Earnings per share of common stock–assuming dilution increased due to the following:</w:t>
      </w:r>
    </w:p>
    <w:p>
      <w:pPr>
        <w:spacing w:after="0" w:line="111" w:lineRule="exact"/>
        <w:rPr>
          <w:sz w:val="20"/>
          <w:szCs w:val="20"/>
          <w:color w:val="auto"/>
        </w:rPr>
      </w:pPr>
    </w:p>
    <w:p>
      <w:pPr>
        <w:ind w:left="200" w:hanging="192"/>
        <w:spacing w:after="0"/>
        <w:tabs>
          <w:tab w:leader="none" w:pos="200" w:val="left"/>
        </w:tabs>
        <w:numPr>
          <w:ilvl w:val="0"/>
          <w:numId w:val="57"/>
        </w:numPr>
        <w:rPr>
          <w:rFonts w:ascii="Arial" w:cs="Arial" w:eastAsia="Arial" w:hAnsi="Arial"/>
          <w:sz w:val="16"/>
          <w:szCs w:val="16"/>
          <w:color w:val="D7282F"/>
        </w:rPr>
      </w:pPr>
      <w:r>
        <w:rPr>
          <w:rFonts w:ascii="Arial" w:cs="Arial" w:eastAsia="Arial" w:hAnsi="Arial"/>
          <w:sz w:val="16"/>
          <w:szCs w:val="16"/>
          <w:color w:val="auto"/>
        </w:rPr>
        <w:t>Lower repositioning and other charges ($0.73 after tax), and</w:t>
      </w:r>
    </w:p>
    <w:p>
      <w:pPr>
        <w:spacing w:after="0" w:line="86" w:lineRule="exact"/>
        <w:rPr>
          <w:rFonts w:ascii="Arial" w:cs="Arial" w:eastAsia="Arial" w:hAnsi="Arial"/>
          <w:sz w:val="16"/>
          <w:szCs w:val="16"/>
          <w:color w:val="D7282F"/>
        </w:rPr>
      </w:pPr>
    </w:p>
    <w:p>
      <w:pPr>
        <w:ind w:left="200" w:hanging="192"/>
        <w:spacing w:after="0"/>
        <w:tabs>
          <w:tab w:leader="none" w:pos="200" w:val="left"/>
        </w:tabs>
        <w:numPr>
          <w:ilvl w:val="0"/>
          <w:numId w:val="57"/>
        </w:numPr>
        <w:rPr>
          <w:rFonts w:ascii="Arial" w:cs="Arial" w:eastAsia="Arial" w:hAnsi="Arial"/>
          <w:sz w:val="16"/>
          <w:szCs w:val="16"/>
          <w:color w:val="D7282F"/>
        </w:rPr>
      </w:pPr>
      <w:r>
        <w:rPr>
          <w:rFonts w:ascii="Arial" w:cs="Arial" w:eastAsia="Arial" w:hAnsi="Arial"/>
          <w:sz w:val="16"/>
          <w:szCs w:val="16"/>
          <w:color w:val="auto"/>
        </w:rPr>
        <w:t>Lower share count ($0.17 after tax),</w:t>
      </w:r>
    </w:p>
    <w:p>
      <w:pPr>
        <w:spacing w:after="0" w:line="72" w:lineRule="exact"/>
        <w:rPr>
          <w:rFonts w:ascii="Arial" w:cs="Arial" w:eastAsia="Arial" w:hAnsi="Arial"/>
          <w:sz w:val="16"/>
          <w:szCs w:val="16"/>
          <w:color w:val="D7282F"/>
        </w:rPr>
      </w:pPr>
    </w:p>
    <w:p>
      <w:pPr>
        <w:ind w:left="200" w:hanging="192"/>
        <w:spacing w:after="0"/>
        <w:tabs>
          <w:tab w:leader="none" w:pos="200" w:val="left"/>
        </w:tabs>
        <w:numPr>
          <w:ilvl w:val="0"/>
          <w:numId w:val="57"/>
        </w:numPr>
        <w:rPr>
          <w:rFonts w:ascii="Arial" w:cs="Arial" w:eastAsia="Arial" w:hAnsi="Arial"/>
          <w:sz w:val="16"/>
          <w:szCs w:val="16"/>
          <w:color w:val="D7282F"/>
        </w:rPr>
      </w:pPr>
      <w:r>
        <w:rPr>
          <w:rFonts w:ascii="Arial" w:cs="Arial" w:eastAsia="Arial" w:hAnsi="Arial"/>
          <w:sz w:val="16"/>
          <w:szCs w:val="16"/>
          <w:color w:val="auto"/>
        </w:rPr>
        <w:t>Partially offset by higher interest expense ($0.35 after tax), and</w:t>
      </w:r>
    </w:p>
    <w:p>
      <w:pPr>
        <w:spacing w:after="0" w:line="86" w:lineRule="exact"/>
        <w:rPr>
          <w:rFonts w:ascii="Arial" w:cs="Arial" w:eastAsia="Arial" w:hAnsi="Arial"/>
          <w:sz w:val="16"/>
          <w:szCs w:val="16"/>
          <w:color w:val="D7282F"/>
        </w:rPr>
      </w:pPr>
    </w:p>
    <w:p>
      <w:pPr>
        <w:ind w:left="200" w:hanging="192"/>
        <w:spacing w:after="0"/>
        <w:tabs>
          <w:tab w:leader="none" w:pos="200" w:val="left"/>
        </w:tabs>
        <w:numPr>
          <w:ilvl w:val="0"/>
          <w:numId w:val="57"/>
        </w:numPr>
        <w:rPr>
          <w:rFonts w:ascii="Arial" w:cs="Arial" w:eastAsia="Arial" w:hAnsi="Arial"/>
          <w:sz w:val="16"/>
          <w:szCs w:val="16"/>
          <w:color w:val="D7282F"/>
        </w:rPr>
      </w:pPr>
      <w:r>
        <w:rPr>
          <w:rFonts w:ascii="Arial" w:cs="Arial" w:eastAsia="Arial" w:hAnsi="Arial"/>
          <w:sz w:val="16"/>
          <w:szCs w:val="16"/>
          <w:color w:val="auto"/>
        </w:rPr>
        <w:t>Impairment charges on assets held for sale ($0.33 after tax).</w:t>
      </w:r>
    </w:p>
    <w:p>
      <w:pPr>
        <w:spacing w:after="0" w:line="200" w:lineRule="exact"/>
        <w:rPr>
          <w:sz w:val="20"/>
          <w:szCs w:val="20"/>
          <w:color w:val="auto"/>
        </w:rPr>
      </w:pPr>
    </w:p>
    <w:p>
      <w:pPr>
        <w:spacing w:after="0" w:line="225" w:lineRule="exact"/>
        <w:rPr>
          <w:sz w:val="20"/>
          <w:szCs w:val="20"/>
          <w:color w:val="auto"/>
        </w:rPr>
      </w:pPr>
    </w:p>
    <w:p>
      <w:pPr>
        <w:ind w:left="400" w:hanging="392"/>
        <w:spacing w:after="0"/>
        <w:tabs>
          <w:tab w:leader="none" w:pos="400" w:val="left"/>
        </w:tabs>
        <w:numPr>
          <w:ilvl w:val="0"/>
          <w:numId w:val="58"/>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47" w:right="359" w:bottom="1440" w:gutter="0" w:footer="0" w:header="0"/>
        </w:sectPr>
      </w:pPr>
    </w:p>
    <w:bookmarkStart w:id="23" w:name="page24"/>
    <w:bookmarkEnd w:id="23"/>
    <w:p>
      <w:pPr>
        <w:ind w:left="20"/>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REVIEW OF BUSINESS SEGMENTS</w:t>
      </w:r>
    </w:p>
    <w:p>
      <w:pPr>
        <w:spacing w:after="0" w:line="39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212529"/>
        </w:rPr>
        <w:t xml:space="preserve">During the first quarter of 2024, the Company realigned certain of its business units, which impacted the composition of its reportable segments. The Company recast historical periods to reflect this change in segment presentation. See Note </w:t>
      </w:r>
      <w:r>
        <w:rPr>
          <w:rFonts w:ascii="Arial" w:cs="Arial" w:eastAsia="Arial" w:hAnsi="Arial"/>
          <w:sz w:val="16"/>
          <w:szCs w:val="16"/>
          <w:color w:val="000000"/>
        </w:rPr>
        <w:t>22</w:t>
      </w:r>
      <w:r>
        <w:rPr>
          <w:rFonts w:ascii="Arial" w:cs="Arial" w:eastAsia="Arial" w:hAnsi="Arial"/>
          <w:sz w:val="16"/>
          <w:szCs w:val="16"/>
          <w:color w:val="212529"/>
        </w:rPr>
        <w:t xml:space="preserve"> </w:t>
      </w:r>
      <w:r>
        <w:rPr>
          <w:rFonts w:ascii="Arial" w:cs="Arial" w:eastAsia="Arial" w:hAnsi="Arial"/>
          <w:sz w:val="16"/>
          <w:szCs w:val="16"/>
          <w:u w:val="single" w:color="auto"/>
          <w:color w:val="0000FF"/>
        </w:rPr>
        <w:t>Segment Financial Data</w:t>
      </w:r>
      <w:r>
        <w:rPr>
          <w:rFonts w:ascii="Arial" w:cs="Arial" w:eastAsia="Arial" w:hAnsi="Arial"/>
          <w:sz w:val="16"/>
          <w:szCs w:val="16"/>
          <w:color w:val="212529"/>
        </w:rPr>
        <w:t xml:space="preserve"> of </w:t>
      </w:r>
      <w:r>
        <w:rPr>
          <w:rFonts w:ascii="Arial" w:cs="Arial" w:eastAsia="Arial" w:hAnsi="Arial"/>
          <w:sz w:val="16"/>
          <w:szCs w:val="16"/>
          <w:color w:val="000000"/>
        </w:rPr>
        <w:t>Notes to Consolidated Financial</w:t>
      </w:r>
      <w:r>
        <w:rPr>
          <w:rFonts w:ascii="Arial" w:cs="Arial" w:eastAsia="Arial" w:hAnsi="Arial"/>
          <w:sz w:val="16"/>
          <w:szCs w:val="16"/>
          <w:color w:val="212529"/>
        </w:rPr>
        <w:t xml:space="preserve"> </w:t>
      </w:r>
      <w:r>
        <w:rPr>
          <w:rFonts w:ascii="Arial" w:cs="Arial" w:eastAsia="Arial" w:hAnsi="Arial"/>
          <w:sz w:val="16"/>
          <w:szCs w:val="16"/>
          <w:color w:val="000000"/>
        </w:rPr>
        <w:t>Statements for further discussion.</w:t>
      </w:r>
    </w:p>
    <w:p>
      <w:pPr>
        <w:spacing w:after="0" w:line="7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globally manage our business operations through four reportable business segments: Aerospace Technologies, Industrial Automation, Building Automation, and Energy and Sustainability Solutions.</w:t>
      </w:r>
    </w:p>
    <w:p>
      <w:pPr>
        <w:spacing w:after="0" w:line="219" w:lineRule="exact"/>
        <w:rPr>
          <w:sz w:val="20"/>
          <w:szCs w:val="20"/>
          <w:color w:val="auto"/>
        </w:rPr>
      </w:pPr>
    </w:p>
    <w:p>
      <w:pPr>
        <w:spacing w:after="0"/>
        <w:rPr>
          <w:sz w:val="20"/>
          <w:szCs w:val="20"/>
          <w:color w:val="auto"/>
        </w:rPr>
      </w:pPr>
      <w:r>
        <w:rPr>
          <w:rFonts w:ascii="Arial" w:cs="Arial" w:eastAsia="Arial" w:hAnsi="Arial"/>
          <w:sz w:val="29"/>
          <w:szCs w:val="29"/>
          <w:color w:val="D7282F"/>
        </w:rPr>
        <w:t>AEROSPACE TECHNOLOGIES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2070735</wp:posOffset>
            </wp:positionH>
            <wp:positionV relativeFrom="paragraph">
              <wp:posOffset>80645</wp:posOffset>
            </wp:positionV>
            <wp:extent cx="3000375" cy="28803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3000375" cy="288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40" w:type="dxa"/>
            <w:vAlign w:val="bottom"/>
            <w:gridSpan w:val="3"/>
          </w:tcPr>
          <w:p>
            <w:pPr>
              <w:jc w:val="center"/>
              <w:ind w:left="48"/>
              <w:spacing w:after="0"/>
              <w:rPr>
                <w:sz w:val="20"/>
                <w:szCs w:val="20"/>
                <w:color w:val="auto"/>
              </w:rPr>
            </w:pPr>
            <w:r>
              <w:rPr>
                <w:rFonts w:ascii="Arial" w:cs="Arial" w:eastAsia="Arial" w:hAnsi="Arial"/>
                <w:sz w:val="14"/>
                <w:szCs w:val="14"/>
                <w:b w:val="1"/>
                <w:bCs w:val="1"/>
                <w:color w:val="auto"/>
              </w:rPr>
              <w:t>Change</w:t>
            </w: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0" w:type="dxa"/>
            <w:vAlign w:val="bottom"/>
          </w:tcPr>
          <w:p>
            <w:pPr>
              <w:jc w:val="center"/>
              <w:ind w:left="4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39"/>
        </w:trPr>
        <w:tc>
          <w:tcPr>
            <w:tcW w:w="48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tcPr>
          <w:p>
            <w:pPr>
              <w:jc w:val="center"/>
              <w:ind w:left="448"/>
              <w:spacing w:after="0" w:line="139" w:lineRule="exact"/>
              <w:rPr>
                <w:sz w:val="20"/>
                <w:szCs w:val="20"/>
                <w:color w:val="auto"/>
              </w:rPr>
            </w:pPr>
            <w:r>
              <w:rPr>
                <w:rFonts w:ascii="Arial" w:cs="Arial" w:eastAsia="Arial" w:hAnsi="Arial"/>
                <w:sz w:val="14"/>
                <w:szCs w:val="14"/>
                <w:b w:val="1"/>
                <w:bCs w:val="1"/>
                <w:color w:val="auto"/>
              </w:rPr>
              <w:t>2024</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tcPr>
          <w:p>
            <w:pPr>
              <w:jc w:val="center"/>
              <w:ind w:left="48"/>
              <w:spacing w:after="0" w:line="139" w:lineRule="exact"/>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48"/>
        </w:trPr>
        <w:tc>
          <w:tcPr>
            <w:tcW w:w="48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56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2024</w:t>
            </w:r>
          </w:p>
        </w:tc>
        <w:tc>
          <w:tcPr>
            <w:tcW w:w="400" w:type="dxa"/>
            <w:vAlign w:val="bottom"/>
          </w:tcPr>
          <w:p>
            <w:pPr>
              <w:spacing w:after="0"/>
              <w:rPr>
                <w:sz w:val="12"/>
                <w:szCs w:val="12"/>
                <w:color w:val="auto"/>
              </w:rPr>
            </w:pPr>
          </w:p>
        </w:tc>
        <w:tc>
          <w:tcPr>
            <w:tcW w:w="64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2023</w:t>
            </w:r>
          </w:p>
        </w:tc>
        <w:tc>
          <w:tcPr>
            <w:tcW w:w="1240" w:type="dxa"/>
            <w:vAlign w:val="bottom"/>
            <w:gridSpan w:val="3"/>
          </w:tcPr>
          <w:p>
            <w:pPr>
              <w:jc w:val="center"/>
              <w:ind w:left="48"/>
              <w:spacing w:after="0" w:line="149" w:lineRule="exact"/>
              <w:rPr>
                <w:sz w:val="20"/>
                <w:szCs w:val="20"/>
                <w:color w:val="auto"/>
              </w:rPr>
            </w:pPr>
            <w:r>
              <w:rPr>
                <w:rFonts w:ascii="Arial" w:cs="Arial" w:eastAsia="Arial" w:hAnsi="Arial"/>
                <w:sz w:val="14"/>
                <w:szCs w:val="14"/>
                <w:b w:val="1"/>
                <w:bCs w:val="1"/>
                <w:color w:val="auto"/>
              </w:rPr>
              <w:t>vs.</w:t>
            </w:r>
          </w:p>
        </w:tc>
        <w:tc>
          <w:tcPr>
            <w:tcW w:w="280" w:type="dxa"/>
            <w:vAlign w:val="bottom"/>
          </w:tcPr>
          <w:p>
            <w:pPr>
              <w:spacing w:after="0"/>
              <w:rPr>
                <w:sz w:val="12"/>
                <w:szCs w:val="12"/>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2022</w:t>
            </w:r>
          </w:p>
        </w:tc>
        <w:tc>
          <w:tcPr>
            <w:tcW w:w="1000" w:type="dxa"/>
            <w:vAlign w:val="bottom"/>
          </w:tcPr>
          <w:p>
            <w:pPr>
              <w:jc w:val="center"/>
              <w:ind w:left="48"/>
              <w:spacing w:after="0" w:line="149" w:lineRule="exact"/>
              <w:rPr>
                <w:sz w:val="20"/>
                <w:szCs w:val="20"/>
                <w:color w:val="auto"/>
              </w:rPr>
            </w:pPr>
            <w:r>
              <w:rPr>
                <w:rFonts w:ascii="Arial" w:cs="Arial" w:eastAsia="Arial" w:hAnsi="Arial"/>
                <w:sz w:val="14"/>
                <w:szCs w:val="14"/>
                <w:b w:val="1"/>
                <w:bCs w:val="1"/>
                <w:color w:val="auto"/>
              </w:rPr>
              <w:t>vs.</w:t>
            </w:r>
          </w:p>
        </w:tc>
        <w:tc>
          <w:tcPr>
            <w:tcW w:w="0" w:type="dxa"/>
            <w:vAlign w:val="bottom"/>
          </w:tcPr>
          <w:p>
            <w:pPr>
              <w:spacing w:after="0"/>
              <w:rPr>
                <w:sz w:val="1"/>
                <w:szCs w:val="1"/>
                <w:color w:val="auto"/>
              </w:rPr>
            </w:pPr>
          </w:p>
        </w:tc>
      </w:tr>
      <w:tr>
        <w:trPr>
          <w:trHeight w:val="197"/>
        </w:trPr>
        <w:tc>
          <w:tcPr>
            <w:tcW w:w="4880" w:type="dxa"/>
            <w:vAlign w:val="bottom"/>
            <w:tcBorders>
              <w:bottom w:val="single" w:sz="8" w:color="D7282F"/>
            </w:tcBorders>
          </w:tcPr>
          <w:p>
            <w:pPr>
              <w:spacing w:after="0"/>
              <w:rPr>
                <w:sz w:val="17"/>
                <w:szCs w:val="17"/>
                <w:color w:val="auto"/>
              </w:rPr>
            </w:pPr>
          </w:p>
        </w:tc>
        <w:tc>
          <w:tcPr>
            <w:tcW w:w="1520" w:type="dxa"/>
            <w:vAlign w:val="bottom"/>
            <w:tcBorders>
              <w:bottom w:val="single" w:sz="8" w:color="D7282F"/>
            </w:tcBorders>
          </w:tcPr>
          <w:p>
            <w:pPr>
              <w:spacing w:after="0"/>
              <w:rPr>
                <w:sz w:val="17"/>
                <w:szCs w:val="17"/>
                <w:color w:val="auto"/>
              </w:rPr>
            </w:pPr>
          </w:p>
        </w:tc>
        <w:tc>
          <w:tcPr>
            <w:tcW w:w="560" w:type="dxa"/>
            <w:vAlign w:val="bottom"/>
            <w:tcBorders>
              <w:bottom w:val="single" w:sz="8" w:color="D7282F"/>
            </w:tcBorders>
            <w:gridSpan w:val="2"/>
            <w:vMerge w:val="continue"/>
          </w:tcPr>
          <w:p>
            <w:pPr>
              <w:spacing w:after="0"/>
              <w:rPr>
                <w:sz w:val="17"/>
                <w:szCs w:val="17"/>
                <w:color w:val="auto"/>
              </w:rPr>
            </w:pPr>
          </w:p>
        </w:tc>
        <w:tc>
          <w:tcPr>
            <w:tcW w:w="400" w:type="dxa"/>
            <w:vAlign w:val="bottom"/>
            <w:tcBorders>
              <w:bottom w:val="single" w:sz="8" w:color="D7282F"/>
            </w:tcBorders>
          </w:tcPr>
          <w:p>
            <w:pPr>
              <w:spacing w:after="0"/>
              <w:rPr>
                <w:sz w:val="17"/>
                <w:szCs w:val="17"/>
                <w:color w:val="auto"/>
              </w:rPr>
            </w:pPr>
          </w:p>
        </w:tc>
        <w:tc>
          <w:tcPr>
            <w:tcW w:w="640" w:type="dxa"/>
            <w:vAlign w:val="bottom"/>
            <w:tcBorders>
              <w:bottom w:val="single" w:sz="8" w:color="D7282F"/>
            </w:tcBorders>
            <w:vMerge w:val="continue"/>
          </w:tcPr>
          <w:p>
            <w:pPr>
              <w:spacing w:after="0"/>
              <w:rPr>
                <w:sz w:val="17"/>
                <w:szCs w:val="17"/>
                <w:color w:val="auto"/>
              </w:rPr>
            </w:pPr>
          </w:p>
        </w:tc>
        <w:tc>
          <w:tcPr>
            <w:tcW w:w="840" w:type="dxa"/>
            <w:vAlign w:val="bottom"/>
            <w:tcBorders>
              <w:bottom w:val="single" w:sz="8" w:color="D7282F"/>
            </w:tcBorders>
          </w:tcPr>
          <w:p>
            <w:pPr>
              <w:jc w:val="center"/>
              <w:ind w:left="448"/>
              <w:spacing w:after="0"/>
              <w:rPr>
                <w:sz w:val="20"/>
                <w:szCs w:val="20"/>
                <w:color w:val="auto"/>
              </w:rPr>
            </w:pPr>
            <w:r>
              <w:rPr>
                <w:rFonts w:ascii="Arial" w:cs="Arial" w:eastAsia="Arial" w:hAnsi="Arial"/>
                <w:sz w:val="14"/>
                <w:szCs w:val="14"/>
                <w:b w:val="1"/>
                <w:bCs w:val="1"/>
                <w:color w:val="auto"/>
              </w:rPr>
              <w:t>2023</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28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vMerge w:val="continue"/>
          </w:tcPr>
          <w:p>
            <w:pPr>
              <w:spacing w:after="0"/>
              <w:rPr>
                <w:sz w:val="17"/>
                <w:szCs w:val="17"/>
                <w:color w:val="auto"/>
              </w:rPr>
            </w:pPr>
          </w:p>
        </w:tc>
        <w:tc>
          <w:tcPr>
            <w:tcW w:w="1000" w:type="dxa"/>
            <w:vAlign w:val="bottom"/>
            <w:tcBorders>
              <w:bottom w:val="single" w:sz="8" w:color="D7282F"/>
            </w:tcBorders>
          </w:tcPr>
          <w:p>
            <w:pPr>
              <w:jc w:val="center"/>
              <w:ind w:left="48"/>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93"/>
        </w:trPr>
        <w:tc>
          <w:tcPr>
            <w:tcW w:w="48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Net sales</w:t>
            </w:r>
          </w:p>
        </w:tc>
        <w:tc>
          <w:tcPr>
            <w:tcW w:w="152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61656A"/>
            </w:tcBorders>
            <w:gridSpan w:val="2"/>
          </w:tcPr>
          <w:p>
            <w:pPr>
              <w:jc w:val="right"/>
              <w:ind w:right="20"/>
              <w:spacing w:after="0"/>
              <w:rPr>
                <w:sz w:val="20"/>
                <w:szCs w:val="20"/>
                <w:color w:val="auto"/>
              </w:rPr>
            </w:pPr>
            <w:r>
              <w:rPr>
                <w:rFonts w:ascii="Arial" w:cs="Arial" w:eastAsia="Arial" w:hAnsi="Arial"/>
                <w:sz w:val="14"/>
                <w:szCs w:val="14"/>
                <w:color w:val="auto"/>
              </w:rPr>
              <w:t>15,458</w:t>
            </w:r>
          </w:p>
        </w:tc>
        <w:tc>
          <w:tcPr>
            <w:tcW w:w="4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13,624</w:t>
            </w:r>
          </w:p>
        </w:tc>
        <w:tc>
          <w:tcPr>
            <w:tcW w:w="1240" w:type="dxa"/>
            <w:vAlign w:val="bottom"/>
            <w:tcBorders>
              <w:bottom w:val="single" w:sz="8" w:color="61656A"/>
            </w:tcBorders>
            <w:gridSpan w:val="3"/>
          </w:tcPr>
          <w:p>
            <w:pPr>
              <w:jc w:val="right"/>
              <w:ind w:right="140"/>
              <w:spacing w:after="0"/>
              <w:rPr>
                <w:sz w:val="20"/>
                <w:szCs w:val="20"/>
                <w:color w:val="auto"/>
              </w:rPr>
            </w:pPr>
            <w:r>
              <w:rPr>
                <w:rFonts w:ascii="Arial" w:cs="Arial" w:eastAsia="Arial" w:hAnsi="Arial"/>
                <w:sz w:val="14"/>
                <w:szCs w:val="14"/>
                <w:color w:val="auto"/>
              </w:rPr>
              <w:t>13 %</w:t>
            </w:r>
          </w:p>
        </w:tc>
        <w:tc>
          <w:tcPr>
            <w:tcW w:w="280" w:type="dxa"/>
            <w:vAlign w:val="bottom"/>
            <w:tcBorders>
              <w:bottom w:val="single" w:sz="8" w:color="61656A"/>
            </w:tcBorders>
          </w:tcPr>
          <w:p>
            <w:pPr>
              <w:ind w:left="12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61656A"/>
            </w:tcBorders>
          </w:tcPr>
          <w:p>
            <w:pPr>
              <w:ind w:left="100"/>
              <w:spacing w:after="0"/>
              <w:rPr>
                <w:sz w:val="20"/>
                <w:szCs w:val="20"/>
                <w:color w:val="auto"/>
              </w:rPr>
            </w:pPr>
            <w:r>
              <w:rPr>
                <w:rFonts w:ascii="Arial" w:cs="Arial" w:eastAsia="Arial" w:hAnsi="Arial"/>
                <w:sz w:val="14"/>
                <w:szCs w:val="14"/>
                <w:color w:val="auto"/>
              </w:rPr>
              <w:t>11,827</w:t>
            </w:r>
          </w:p>
        </w:tc>
        <w:tc>
          <w:tcPr>
            <w:tcW w:w="10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15 %</w:t>
            </w:r>
          </w:p>
        </w:tc>
        <w:tc>
          <w:tcPr>
            <w:tcW w:w="0" w:type="dxa"/>
            <w:vAlign w:val="bottom"/>
          </w:tcPr>
          <w:p>
            <w:pPr>
              <w:spacing w:after="0"/>
              <w:rPr>
                <w:sz w:val="1"/>
                <w:szCs w:val="1"/>
                <w:color w:val="auto"/>
              </w:rPr>
            </w:pPr>
          </w:p>
        </w:tc>
      </w:tr>
      <w:tr>
        <w:trPr>
          <w:trHeight w:val="196"/>
        </w:trPr>
        <w:tc>
          <w:tcPr>
            <w:tcW w:w="48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Cost of products and services sold</w:t>
            </w:r>
          </w:p>
        </w:tc>
        <w:tc>
          <w:tcPr>
            <w:tcW w:w="1520" w:type="dxa"/>
            <w:vAlign w:val="bottom"/>
            <w:tcBorders>
              <w:bottom w:val="single" w:sz="8" w:color="61656A"/>
            </w:tcBorders>
          </w:tcPr>
          <w:p>
            <w:pPr>
              <w:spacing w:after="0"/>
              <w:rPr>
                <w:sz w:val="17"/>
                <w:szCs w:val="17"/>
                <w:color w:val="auto"/>
              </w:rPr>
            </w:pPr>
          </w:p>
        </w:tc>
        <w:tc>
          <w:tcPr>
            <w:tcW w:w="560" w:type="dxa"/>
            <w:vAlign w:val="bottom"/>
            <w:tcBorders>
              <w:bottom w:val="single" w:sz="8" w:color="61656A"/>
            </w:tcBorders>
            <w:gridSpan w:val="2"/>
          </w:tcPr>
          <w:p>
            <w:pPr>
              <w:jc w:val="right"/>
              <w:ind w:right="20"/>
              <w:spacing w:after="0"/>
              <w:rPr>
                <w:sz w:val="20"/>
                <w:szCs w:val="20"/>
                <w:color w:val="auto"/>
              </w:rPr>
            </w:pPr>
            <w:r>
              <w:rPr>
                <w:rFonts w:ascii="Arial" w:cs="Arial" w:eastAsia="Arial" w:hAnsi="Arial"/>
                <w:sz w:val="14"/>
                <w:szCs w:val="14"/>
                <w:color w:val="auto"/>
              </w:rPr>
              <w:t>9,781</w:t>
            </w:r>
          </w:p>
        </w:tc>
        <w:tc>
          <w:tcPr>
            <w:tcW w:w="400" w:type="dxa"/>
            <w:vAlign w:val="bottom"/>
            <w:tcBorders>
              <w:bottom w:val="single" w:sz="8" w:color="61656A"/>
            </w:tcBorders>
          </w:tcPr>
          <w:p>
            <w:pPr>
              <w:spacing w:after="0"/>
              <w:rPr>
                <w:sz w:val="17"/>
                <w:szCs w:val="17"/>
                <w:color w:val="auto"/>
              </w:rPr>
            </w:pPr>
          </w:p>
        </w:tc>
        <w:tc>
          <w:tcPr>
            <w:tcW w:w="6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8,362</w:t>
            </w:r>
          </w:p>
        </w:tc>
        <w:tc>
          <w:tcPr>
            <w:tcW w:w="840" w:type="dxa"/>
            <w:vAlign w:val="bottom"/>
            <w:tcBorders>
              <w:bottom w:val="single" w:sz="8" w:color="61656A"/>
            </w:tcBorders>
          </w:tcPr>
          <w:p>
            <w:pPr>
              <w:spacing w:after="0"/>
              <w:rPr>
                <w:sz w:val="17"/>
                <w:szCs w:val="17"/>
                <w:color w:val="auto"/>
              </w:rPr>
            </w:pP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28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ind w:left="180"/>
              <w:spacing w:after="0"/>
              <w:rPr>
                <w:sz w:val="20"/>
                <w:szCs w:val="20"/>
                <w:color w:val="auto"/>
              </w:rPr>
            </w:pPr>
            <w:r>
              <w:rPr>
                <w:rFonts w:ascii="Arial" w:cs="Arial" w:eastAsia="Arial" w:hAnsi="Arial"/>
                <w:sz w:val="14"/>
                <w:szCs w:val="14"/>
                <w:color w:val="auto"/>
              </w:rPr>
              <w:t>7,183</w:t>
            </w:r>
          </w:p>
        </w:tc>
        <w:tc>
          <w:tcPr>
            <w:tcW w:w="1000" w:type="dxa"/>
            <w:vAlign w:val="bottom"/>
            <w:tcBorders>
              <w:bottom w:val="single" w:sz="8" w:color="61656A"/>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Selling, general and administrative and other expenses</w:t>
            </w:r>
          </w:p>
        </w:tc>
        <w:tc>
          <w:tcPr>
            <w:tcW w:w="1520" w:type="dxa"/>
            <w:vAlign w:val="bottom"/>
            <w:tcBorders>
              <w:bottom w:val="single" w:sz="8" w:color="D7282F"/>
            </w:tcBorders>
          </w:tcPr>
          <w:p>
            <w:pPr>
              <w:spacing w:after="0"/>
              <w:rPr>
                <w:sz w:val="17"/>
                <w:szCs w:val="17"/>
                <w:color w:val="auto"/>
              </w:rPr>
            </w:pPr>
          </w:p>
        </w:tc>
        <w:tc>
          <w:tcPr>
            <w:tcW w:w="560" w:type="dxa"/>
            <w:vAlign w:val="bottom"/>
            <w:tcBorders>
              <w:bottom w:val="single" w:sz="8" w:color="D7282F"/>
            </w:tcBorders>
            <w:gridSpan w:val="2"/>
          </w:tcPr>
          <w:p>
            <w:pPr>
              <w:jc w:val="right"/>
              <w:ind w:right="20"/>
              <w:spacing w:after="0"/>
              <w:rPr>
                <w:sz w:val="20"/>
                <w:szCs w:val="20"/>
                <w:color w:val="auto"/>
              </w:rPr>
            </w:pPr>
            <w:r>
              <w:rPr>
                <w:rFonts w:ascii="Arial" w:cs="Arial" w:eastAsia="Arial" w:hAnsi="Arial"/>
                <w:sz w:val="14"/>
                <w:szCs w:val="14"/>
                <w:color w:val="auto"/>
              </w:rPr>
              <w:t>1,689</w:t>
            </w:r>
          </w:p>
        </w:tc>
        <w:tc>
          <w:tcPr>
            <w:tcW w:w="400" w:type="dxa"/>
            <w:vAlign w:val="bottom"/>
            <w:tcBorders>
              <w:bottom w:val="single" w:sz="8" w:color="D7282F"/>
            </w:tcBorders>
          </w:tcPr>
          <w:p>
            <w:pPr>
              <w:spacing w:after="0"/>
              <w:rPr>
                <w:sz w:val="17"/>
                <w:szCs w:val="17"/>
                <w:color w:val="auto"/>
              </w:rPr>
            </w:pPr>
          </w:p>
        </w:tc>
        <w:tc>
          <w:tcPr>
            <w:tcW w:w="6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1,502</w:t>
            </w:r>
          </w:p>
        </w:tc>
        <w:tc>
          <w:tcPr>
            <w:tcW w:w="840" w:type="dxa"/>
            <w:vAlign w:val="bottom"/>
            <w:tcBorders>
              <w:bottom w:val="single" w:sz="8" w:color="D7282F"/>
            </w:tcBorders>
          </w:tcPr>
          <w:p>
            <w:pPr>
              <w:spacing w:after="0"/>
              <w:rPr>
                <w:sz w:val="17"/>
                <w:szCs w:val="17"/>
                <w:color w:val="auto"/>
              </w:rPr>
            </w:pP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28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ind w:left="180"/>
              <w:spacing w:after="0"/>
              <w:rPr>
                <w:sz w:val="20"/>
                <w:szCs w:val="20"/>
                <w:color w:val="auto"/>
              </w:rPr>
            </w:pPr>
            <w:r>
              <w:rPr>
                <w:rFonts w:ascii="Arial" w:cs="Arial" w:eastAsia="Arial" w:hAnsi="Arial"/>
                <w:sz w:val="14"/>
                <w:szCs w:val="14"/>
                <w:color w:val="auto"/>
              </w:rPr>
              <w:t>1,397</w:t>
            </w:r>
          </w:p>
        </w:tc>
        <w:tc>
          <w:tcPr>
            <w:tcW w:w="1000" w:type="dxa"/>
            <w:vAlign w:val="bottom"/>
            <w:tcBorders>
              <w:bottom w:val="single" w:sz="8" w:color="D7282F"/>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88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Segment profit</w:t>
            </w:r>
          </w:p>
        </w:tc>
        <w:tc>
          <w:tcPr>
            <w:tcW w:w="152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D7282F"/>
            </w:tcBorders>
            <w:gridSpan w:val="2"/>
          </w:tcPr>
          <w:p>
            <w:pPr>
              <w:jc w:val="right"/>
              <w:ind w:right="20"/>
              <w:spacing w:after="0"/>
              <w:rPr>
                <w:sz w:val="20"/>
                <w:szCs w:val="20"/>
                <w:color w:val="auto"/>
              </w:rPr>
            </w:pPr>
            <w:r>
              <w:rPr>
                <w:rFonts w:ascii="Arial" w:cs="Arial" w:eastAsia="Arial" w:hAnsi="Arial"/>
                <w:sz w:val="14"/>
                <w:szCs w:val="14"/>
                <w:b w:val="1"/>
                <w:bCs w:val="1"/>
                <w:color w:val="auto"/>
              </w:rPr>
              <w:t>3,988</w:t>
            </w:r>
          </w:p>
        </w:tc>
        <w:tc>
          <w:tcPr>
            <w:tcW w:w="4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3,760</w:t>
            </w:r>
          </w:p>
        </w:tc>
        <w:tc>
          <w:tcPr>
            <w:tcW w:w="1240" w:type="dxa"/>
            <w:vAlign w:val="bottom"/>
            <w:tcBorders>
              <w:bottom w:val="single" w:sz="8" w:color="D7282F"/>
            </w:tcBorders>
            <w:gridSpan w:val="3"/>
          </w:tcPr>
          <w:p>
            <w:pPr>
              <w:jc w:val="right"/>
              <w:ind w:right="140"/>
              <w:spacing w:after="0"/>
              <w:rPr>
                <w:sz w:val="20"/>
                <w:szCs w:val="20"/>
                <w:color w:val="auto"/>
              </w:rPr>
            </w:pPr>
            <w:r>
              <w:rPr>
                <w:rFonts w:ascii="Arial" w:cs="Arial" w:eastAsia="Arial" w:hAnsi="Arial"/>
                <w:sz w:val="14"/>
                <w:szCs w:val="14"/>
                <w:b w:val="1"/>
                <w:bCs w:val="1"/>
                <w:color w:val="auto"/>
              </w:rPr>
              <w:t>6 %</w:t>
            </w:r>
          </w:p>
        </w:tc>
        <w:tc>
          <w:tcPr>
            <w:tcW w:w="280" w:type="dxa"/>
            <w:vAlign w:val="bottom"/>
            <w:tcBorders>
              <w:bottom w:val="single" w:sz="8" w:color="D7282F"/>
            </w:tcBorders>
          </w:tcPr>
          <w:p>
            <w:pPr>
              <w:ind w:left="120"/>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D7282F"/>
            </w:tcBorders>
          </w:tcPr>
          <w:p>
            <w:pPr>
              <w:ind w:left="180"/>
              <w:spacing w:after="0"/>
              <w:rPr>
                <w:sz w:val="20"/>
                <w:szCs w:val="20"/>
                <w:color w:val="auto"/>
              </w:rPr>
            </w:pPr>
            <w:r>
              <w:rPr>
                <w:rFonts w:ascii="Arial" w:cs="Arial" w:eastAsia="Arial" w:hAnsi="Arial"/>
                <w:sz w:val="14"/>
                <w:szCs w:val="14"/>
                <w:b w:val="1"/>
                <w:bCs w:val="1"/>
                <w:color w:val="auto"/>
              </w:rPr>
              <w:t>3,247</w:t>
            </w:r>
          </w:p>
        </w:tc>
        <w:tc>
          <w:tcPr>
            <w:tcW w:w="10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16 %</w:t>
            </w:r>
          </w:p>
        </w:tc>
        <w:tc>
          <w:tcPr>
            <w:tcW w:w="0" w:type="dxa"/>
            <w:vAlign w:val="bottom"/>
          </w:tcPr>
          <w:p>
            <w:pPr>
              <w:spacing w:after="0"/>
              <w:rPr>
                <w:sz w:val="1"/>
                <w:szCs w:val="1"/>
                <w:color w:val="auto"/>
              </w:rPr>
            </w:pPr>
          </w:p>
        </w:tc>
      </w:tr>
      <w:tr>
        <w:trPr>
          <w:trHeight w:val="466"/>
        </w:trPr>
        <w:tc>
          <w:tcPr>
            <w:tcW w:w="48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Borders>
              <w:bottom w:val="single" w:sz="8" w:color="D7282F"/>
            </w:tcBorders>
          </w:tcPr>
          <w:p>
            <w:pPr>
              <w:spacing w:after="0"/>
              <w:rPr>
                <w:sz w:val="24"/>
                <w:szCs w:val="24"/>
                <w:color w:val="auto"/>
              </w:rPr>
            </w:pPr>
          </w:p>
        </w:tc>
        <w:tc>
          <w:tcPr>
            <w:tcW w:w="1880" w:type="dxa"/>
            <w:vAlign w:val="bottom"/>
            <w:tcBorders>
              <w:bottom w:val="single" w:sz="8" w:color="D7282F"/>
            </w:tcBorders>
            <w:gridSpan w:val="3"/>
          </w:tcPr>
          <w:p>
            <w:pPr>
              <w:jc w:val="right"/>
              <w:ind w:right="548"/>
              <w:spacing w:after="0"/>
              <w:rPr>
                <w:sz w:val="20"/>
                <w:szCs w:val="20"/>
                <w:color w:val="auto"/>
              </w:rPr>
            </w:pPr>
            <w:r>
              <w:rPr>
                <w:rFonts w:ascii="Arial" w:cs="Arial" w:eastAsia="Arial" w:hAnsi="Arial"/>
                <w:sz w:val="14"/>
                <w:szCs w:val="14"/>
                <w:b w:val="1"/>
                <w:bCs w:val="1"/>
                <w:color w:val="auto"/>
              </w:rPr>
              <w:t>2024 vs. 2023</w:t>
            </w:r>
          </w:p>
        </w:tc>
        <w:tc>
          <w:tcPr>
            <w:tcW w:w="220" w:type="dxa"/>
            <w:vAlign w:val="bottom"/>
          </w:tcPr>
          <w:p>
            <w:pPr>
              <w:spacing w:after="0"/>
              <w:rPr>
                <w:sz w:val="24"/>
                <w:szCs w:val="24"/>
                <w:color w:val="auto"/>
              </w:rPr>
            </w:pPr>
          </w:p>
        </w:tc>
        <w:tc>
          <w:tcPr>
            <w:tcW w:w="180" w:type="dxa"/>
            <w:vAlign w:val="bottom"/>
            <w:tcBorders>
              <w:bottom w:val="single" w:sz="8" w:color="D7282F"/>
            </w:tcBorders>
          </w:tcPr>
          <w:p>
            <w:pPr>
              <w:spacing w:after="0"/>
              <w:rPr>
                <w:sz w:val="24"/>
                <w:szCs w:val="24"/>
                <w:color w:val="auto"/>
              </w:rPr>
            </w:pPr>
          </w:p>
        </w:tc>
        <w:tc>
          <w:tcPr>
            <w:tcW w:w="280" w:type="dxa"/>
            <w:vAlign w:val="bottom"/>
            <w:tcBorders>
              <w:bottom w:val="single" w:sz="8" w:color="D7282F"/>
            </w:tcBorders>
          </w:tcPr>
          <w:p>
            <w:pPr>
              <w:spacing w:after="0"/>
              <w:rPr>
                <w:sz w:val="24"/>
                <w:szCs w:val="24"/>
                <w:color w:val="auto"/>
              </w:rPr>
            </w:pPr>
          </w:p>
        </w:tc>
        <w:tc>
          <w:tcPr>
            <w:tcW w:w="1720" w:type="dxa"/>
            <w:vAlign w:val="bottom"/>
            <w:tcBorders>
              <w:bottom w:val="single" w:sz="8" w:color="D7282F"/>
            </w:tcBorders>
            <w:gridSpan w:val="2"/>
          </w:tcPr>
          <w:p>
            <w:pPr>
              <w:ind w:left="180"/>
              <w:spacing w:after="0"/>
              <w:rPr>
                <w:sz w:val="20"/>
                <w:szCs w:val="20"/>
                <w:color w:val="auto"/>
              </w:rPr>
            </w:pPr>
            <w:r>
              <w:rPr>
                <w:rFonts w:ascii="Arial" w:cs="Arial" w:eastAsia="Arial" w:hAnsi="Arial"/>
                <w:sz w:val="14"/>
                <w:szCs w:val="14"/>
                <w:b w:val="1"/>
                <w:bCs w:val="1"/>
                <w:color w:val="auto"/>
              </w:rPr>
              <w:t>2023 vs. 2022</w:t>
            </w:r>
          </w:p>
        </w:tc>
        <w:tc>
          <w:tcPr>
            <w:tcW w:w="0" w:type="dxa"/>
            <w:vAlign w:val="bottom"/>
          </w:tcPr>
          <w:p>
            <w:pPr>
              <w:spacing w:after="0"/>
              <w:rPr>
                <w:sz w:val="1"/>
                <w:szCs w:val="1"/>
                <w:color w:val="auto"/>
              </w:rPr>
            </w:pPr>
          </w:p>
        </w:tc>
      </w:tr>
      <w:tr>
        <w:trPr>
          <w:trHeight w:val="174"/>
        </w:trPr>
        <w:tc>
          <w:tcPr>
            <w:tcW w:w="48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Factors Contributing to Year-Over-Year Change</w:t>
            </w:r>
          </w:p>
        </w:tc>
        <w:tc>
          <w:tcPr>
            <w:tcW w:w="1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jc w:val="right"/>
              <w:ind w:right="8"/>
              <w:spacing w:after="0"/>
              <w:rPr>
                <w:sz w:val="20"/>
                <w:szCs w:val="20"/>
                <w:color w:val="auto"/>
              </w:rPr>
            </w:pPr>
            <w:r>
              <w:rPr>
                <w:rFonts w:ascii="Arial" w:cs="Arial" w:eastAsia="Arial" w:hAnsi="Arial"/>
                <w:sz w:val="14"/>
                <w:szCs w:val="14"/>
                <w:b w:val="1"/>
                <w:bCs w:val="1"/>
                <w:color w:val="auto"/>
              </w:rPr>
              <w:t>Net</w:t>
            </w:r>
          </w:p>
        </w:tc>
        <w:tc>
          <w:tcPr>
            <w:tcW w:w="640" w:type="dxa"/>
            <w:vAlign w:val="bottom"/>
          </w:tcPr>
          <w:p>
            <w:pPr>
              <w:spacing w:after="0"/>
              <w:rPr>
                <w:sz w:val="15"/>
                <w:szCs w:val="15"/>
                <w:color w:val="auto"/>
              </w:rPr>
            </w:pPr>
          </w:p>
        </w:tc>
        <w:tc>
          <w:tcPr>
            <w:tcW w:w="124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rPr>
              <w:t>Segment</w:t>
            </w:r>
          </w:p>
        </w:tc>
        <w:tc>
          <w:tcPr>
            <w:tcW w:w="1000" w:type="dxa"/>
            <w:vAlign w:val="bottom"/>
            <w:gridSpan w:val="2"/>
          </w:tcPr>
          <w:p>
            <w:pPr>
              <w:ind w:left="200"/>
              <w:spacing w:after="0"/>
              <w:rPr>
                <w:sz w:val="20"/>
                <w:szCs w:val="20"/>
                <w:color w:val="auto"/>
              </w:rPr>
            </w:pPr>
            <w:r>
              <w:rPr>
                <w:rFonts w:ascii="Arial" w:cs="Arial" w:eastAsia="Arial" w:hAnsi="Arial"/>
                <w:sz w:val="14"/>
                <w:szCs w:val="14"/>
                <w:b w:val="1"/>
                <w:bCs w:val="1"/>
                <w:color w:val="auto"/>
              </w:rPr>
              <w:t>Net</w:t>
            </w:r>
          </w:p>
        </w:tc>
        <w:tc>
          <w:tcPr>
            <w:tcW w:w="1000" w:type="dxa"/>
            <w:vAlign w:val="bottom"/>
          </w:tcPr>
          <w:p>
            <w:pPr>
              <w:jc w:val="right"/>
              <w:ind w:right="108"/>
              <w:spacing w:after="0"/>
              <w:rPr>
                <w:sz w:val="20"/>
                <w:szCs w:val="20"/>
                <w:color w:val="auto"/>
              </w:rPr>
            </w:pPr>
            <w:r>
              <w:rPr>
                <w:rFonts w:ascii="Arial" w:cs="Arial" w:eastAsia="Arial" w:hAnsi="Arial"/>
                <w:sz w:val="14"/>
                <w:szCs w:val="14"/>
                <w:b w:val="1"/>
                <w:bCs w:val="1"/>
                <w:color w:val="auto"/>
              </w:rPr>
              <w:t>Segment</w:t>
            </w:r>
          </w:p>
        </w:tc>
        <w:tc>
          <w:tcPr>
            <w:tcW w:w="0" w:type="dxa"/>
            <w:vAlign w:val="bottom"/>
          </w:tcPr>
          <w:p>
            <w:pPr>
              <w:spacing w:after="0"/>
              <w:rPr>
                <w:sz w:val="1"/>
                <w:szCs w:val="1"/>
                <w:color w:val="auto"/>
              </w:rPr>
            </w:pPr>
          </w:p>
        </w:tc>
      </w:tr>
      <w:tr>
        <w:trPr>
          <w:trHeight w:val="185"/>
        </w:trPr>
        <w:tc>
          <w:tcPr>
            <w:tcW w:w="4880" w:type="dxa"/>
            <w:vAlign w:val="bottom"/>
            <w:tcBorders>
              <w:bottom w:val="single" w:sz="8" w:color="D7282F"/>
            </w:tcBorders>
            <w:vMerge w:val="continue"/>
          </w:tcPr>
          <w:p>
            <w:pPr>
              <w:spacing w:after="0"/>
              <w:rPr>
                <w:sz w:val="16"/>
                <w:szCs w:val="16"/>
                <w:color w:val="auto"/>
              </w:rPr>
            </w:pPr>
          </w:p>
        </w:tc>
        <w:tc>
          <w:tcPr>
            <w:tcW w:w="1520" w:type="dxa"/>
            <w:vAlign w:val="bottom"/>
            <w:tcBorders>
              <w:bottom w:val="single" w:sz="8" w:color="D7282F"/>
            </w:tcBorders>
          </w:tcPr>
          <w:p>
            <w:pPr>
              <w:spacing w:after="0"/>
              <w:rPr>
                <w:sz w:val="16"/>
                <w:szCs w:val="16"/>
                <w:color w:val="auto"/>
              </w:rPr>
            </w:pPr>
          </w:p>
        </w:tc>
        <w:tc>
          <w:tcPr>
            <w:tcW w:w="280" w:type="dxa"/>
            <w:vAlign w:val="bottom"/>
            <w:tcBorders>
              <w:bottom w:val="single" w:sz="8" w:color="D7282F"/>
            </w:tcBorders>
          </w:tcPr>
          <w:p>
            <w:pPr>
              <w:spacing w:after="0"/>
              <w:rPr>
                <w:sz w:val="16"/>
                <w:szCs w:val="16"/>
                <w:color w:val="auto"/>
              </w:rPr>
            </w:pPr>
          </w:p>
        </w:tc>
        <w:tc>
          <w:tcPr>
            <w:tcW w:w="280" w:type="dxa"/>
            <w:vAlign w:val="bottom"/>
            <w:tcBorders>
              <w:bottom w:val="single" w:sz="8" w:color="D7282F"/>
            </w:tcBorders>
          </w:tcPr>
          <w:p>
            <w:pPr>
              <w:spacing w:after="0"/>
              <w:rPr>
                <w:sz w:val="16"/>
                <w:szCs w:val="16"/>
                <w:color w:val="auto"/>
              </w:rPr>
            </w:pPr>
          </w:p>
        </w:tc>
        <w:tc>
          <w:tcPr>
            <w:tcW w:w="4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w w:val="98"/>
              </w:rPr>
              <w:t>Sales</w:t>
            </w:r>
          </w:p>
        </w:tc>
        <w:tc>
          <w:tcPr>
            <w:tcW w:w="640" w:type="dxa"/>
            <w:vAlign w:val="bottom"/>
            <w:tcBorders>
              <w:bottom w:val="single" w:sz="8" w:color="D7282F"/>
            </w:tcBorders>
          </w:tcPr>
          <w:p>
            <w:pPr>
              <w:spacing w:after="0"/>
              <w:rPr>
                <w:sz w:val="16"/>
                <w:szCs w:val="16"/>
                <w:color w:val="auto"/>
              </w:rPr>
            </w:pPr>
          </w:p>
        </w:tc>
        <w:tc>
          <w:tcPr>
            <w:tcW w:w="1240" w:type="dxa"/>
            <w:vAlign w:val="bottom"/>
            <w:tcBorders>
              <w:bottom w:val="single" w:sz="8" w:color="D7282F"/>
            </w:tcBorders>
            <w:gridSpan w:val="3"/>
          </w:tcPr>
          <w:p>
            <w:pPr>
              <w:jc w:val="right"/>
              <w:ind w:right="700"/>
              <w:spacing w:after="0"/>
              <w:rPr>
                <w:sz w:val="20"/>
                <w:szCs w:val="20"/>
                <w:color w:val="auto"/>
              </w:rPr>
            </w:pPr>
            <w:r>
              <w:rPr>
                <w:rFonts w:ascii="Arial" w:cs="Arial" w:eastAsia="Arial" w:hAnsi="Arial"/>
                <w:sz w:val="14"/>
                <w:szCs w:val="14"/>
                <w:b w:val="1"/>
                <w:bCs w:val="1"/>
                <w:color w:val="auto"/>
              </w:rPr>
              <w:t>Profit</w:t>
            </w:r>
          </w:p>
        </w:tc>
        <w:tc>
          <w:tcPr>
            <w:tcW w:w="1000" w:type="dxa"/>
            <w:vAlign w:val="bottom"/>
            <w:tcBorders>
              <w:bottom w:val="single" w:sz="8" w:color="D7282F"/>
            </w:tcBorders>
            <w:gridSpan w:val="2"/>
          </w:tcPr>
          <w:p>
            <w:pPr>
              <w:ind w:left="120"/>
              <w:spacing w:after="0"/>
              <w:rPr>
                <w:sz w:val="20"/>
                <w:szCs w:val="20"/>
                <w:color w:val="auto"/>
              </w:rPr>
            </w:pPr>
            <w:r>
              <w:rPr>
                <w:rFonts w:ascii="Arial" w:cs="Arial" w:eastAsia="Arial" w:hAnsi="Arial"/>
                <w:sz w:val="14"/>
                <w:szCs w:val="14"/>
                <w:b w:val="1"/>
                <w:bCs w:val="1"/>
                <w:color w:val="auto"/>
              </w:rPr>
              <w:t>Sales</w:t>
            </w:r>
          </w:p>
        </w:tc>
        <w:tc>
          <w:tcPr>
            <w:tcW w:w="1000" w:type="dxa"/>
            <w:vAlign w:val="bottom"/>
            <w:tcBorders>
              <w:bottom w:val="single" w:sz="8" w:color="D7282F"/>
            </w:tcBorders>
          </w:tcPr>
          <w:p>
            <w:pPr>
              <w:jc w:val="right"/>
              <w:ind w:right="228"/>
              <w:spacing w:after="0"/>
              <w:rPr>
                <w:sz w:val="20"/>
                <w:szCs w:val="20"/>
                <w:color w:val="auto"/>
              </w:rPr>
            </w:pPr>
            <w:r>
              <w:rPr>
                <w:rFonts w:ascii="Arial" w:cs="Arial" w:eastAsia="Arial" w:hAnsi="Arial"/>
                <w:sz w:val="14"/>
                <w:szCs w:val="14"/>
                <w:b w:val="1"/>
                <w:bCs w:val="1"/>
                <w:color w:val="auto"/>
              </w:rPr>
              <w:t>Profit</w:t>
            </w:r>
          </w:p>
        </w:tc>
        <w:tc>
          <w:tcPr>
            <w:tcW w:w="0" w:type="dxa"/>
            <w:vAlign w:val="bottom"/>
          </w:tcPr>
          <w:p>
            <w:pPr>
              <w:spacing w:after="0"/>
              <w:rPr>
                <w:sz w:val="1"/>
                <w:szCs w:val="1"/>
                <w:color w:val="auto"/>
              </w:rPr>
            </w:pPr>
          </w:p>
        </w:tc>
      </w:tr>
      <w:tr>
        <w:trPr>
          <w:trHeight w:val="192"/>
        </w:trPr>
        <w:tc>
          <w:tcPr>
            <w:tcW w:w="48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Organic</w:t>
            </w:r>
            <w:r>
              <w:rPr>
                <w:rFonts w:ascii="Arial" w:cs="Arial" w:eastAsia="Arial" w:hAnsi="Arial"/>
                <w:sz w:val="9"/>
                <w:szCs w:val="9"/>
                <w:color w:val="auto"/>
              </w:rPr>
              <w:t>1</w:t>
            </w:r>
          </w:p>
        </w:tc>
        <w:tc>
          <w:tcPr>
            <w:tcW w:w="1520" w:type="dxa"/>
            <w:vAlign w:val="bottom"/>
            <w:tcBorders>
              <w:bottom w:val="single" w:sz="8" w:color="61656A"/>
            </w:tcBorders>
          </w:tcPr>
          <w:p>
            <w:pPr>
              <w:spacing w:after="0"/>
              <w:rPr>
                <w:sz w:val="16"/>
                <w:szCs w:val="16"/>
                <w:color w:val="auto"/>
              </w:rPr>
            </w:pPr>
          </w:p>
        </w:tc>
        <w:tc>
          <w:tcPr>
            <w:tcW w:w="280" w:type="dxa"/>
            <w:vAlign w:val="bottom"/>
            <w:tcBorders>
              <w:bottom w:val="single" w:sz="8" w:color="61656A"/>
            </w:tcBorders>
          </w:tcPr>
          <w:p>
            <w:pPr>
              <w:spacing w:after="0"/>
              <w:rPr>
                <w:sz w:val="16"/>
                <w:szCs w:val="16"/>
                <w:color w:val="auto"/>
              </w:rPr>
            </w:pPr>
          </w:p>
        </w:tc>
        <w:tc>
          <w:tcPr>
            <w:tcW w:w="280" w:type="dxa"/>
            <w:vAlign w:val="bottom"/>
            <w:tcBorders>
              <w:bottom w:val="single" w:sz="8" w:color="61656A"/>
            </w:tcBorders>
          </w:tcPr>
          <w:p>
            <w:pPr>
              <w:spacing w:after="0"/>
              <w:rPr>
                <w:sz w:val="16"/>
                <w:szCs w:val="16"/>
                <w:color w:val="auto"/>
              </w:rPr>
            </w:pPr>
          </w:p>
        </w:tc>
        <w:tc>
          <w:tcPr>
            <w:tcW w:w="1040" w:type="dxa"/>
            <w:vAlign w:val="bottom"/>
            <w:tcBorders>
              <w:bottom w:val="single" w:sz="8" w:color="61656A"/>
            </w:tcBorders>
            <w:gridSpan w:val="2"/>
          </w:tcPr>
          <w:p>
            <w:pPr>
              <w:jc w:val="right"/>
              <w:ind w:right="308"/>
              <w:spacing w:after="0"/>
              <w:rPr>
                <w:sz w:val="20"/>
                <w:szCs w:val="20"/>
                <w:color w:val="auto"/>
              </w:rPr>
            </w:pPr>
            <w:r>
              <w:rPr>
                <w:rFonts w:ascii="Arial" w:cs="Arial" w:eastAsia="Arial" w:hAnsi="Arial"/>
                <w:sz w:val="14"/>
                <w:szCs w:val="14"/>
                <w:color w:val="auto"/>
              </w:rPr>
              <w:t>11 %</w:t>
            </w:r>
          </w:p>
        </w:tc>
        <w:tc>
          <w:tcPr>
            <w:tcW w:w="8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5 %</w:t>
            </w:r>
          </w:p>
        </w:tc>
        <w:tc>
          <w:tcPr>
            <w:tcW w:w="220" w:type="dxa"/>
            <w:vAlign w:val="bottom"/>
            <w:tcBorders>
              <w:bottom w:val="single" w:sz="8" w:color="61656A"/>
            </w:tcBorders>
          </w:tcPr>
          <w:p>
            <w:pPr>
              <w:spacing w:after="0"/>
              <w:rPr>
                <w:sz w:val="16"/>
                <w:szCs w:val="16"/>
                <w:color w:val="auto"/>
              </w:rPr>
            </w:pPr>
          </w:p>
        </w:tc>
        <w:tc>
          <w:tcPr>
            <w:tcW w:w="180" w:type="dxa"/>
            <w:vAlign w:val="bottom"/>
            <w:tcBorders>
              <w:bottom w:val="single" w:sz="8" w:color="61656A"/>
            </w:tcBorders>
          </w:tcPr>
          <w:p>
            <w:pPr>
              <w:spacing w:after="0"/>
              <w:rPr>
                <w:sz w:val="16"/>
                <w:szCs w:val="16"/>
                <w:color w:val="auto"/>
              </w:rPr>
            </w:pPr>
          </w:p>
        </w:tc>
        <w:tc>
          <w:tcPr>
            <w:tcW w:w="280" w:type="dxa"/>
            <w:vAlign w:val="bottom"/>
            <w:tcBorders>
              <w:bottom w:val="single" w:sz="8" w:color="61656A"/>
            </w:tcBorders>
          </w:tcPr>
          <w:p>
            <w:pPr>
              <w:spacing w:after="0"/>
              <w:rPr>
                <w:sz w:val="16"/>
                <w:szCs w:val="16"/>
                <w:color w:val="auto"/>
              </w:rPr>
            </w:pPr>
          </w:p>
        </w:tc>
        <w:tc>
          <w:tcPr>
            <w:tcW w:w="720" w:type="dxa"/>
            <w:vAlign w:val="bottom"/>
            <w:tcBorders>
              <w:bottom w:val="single" w:sz="8" w:color="61656A"/>
            </w:tcBorders>
          </w:tcPr>
          <w:p>
            <w:pPr>
              <w:ind w:left="160"/>
              <w:spacing w:after="0"/>
              <w:rPr>
                <w:sz w:val="20"/>
                <w:szCs w:val="20"/>
                <w:color w:val="auto"/>
              </w:rPr>
            </w:pPr>
            <w:r>
              <w:rPr>
                <w:rFonts w:ascii="Arial" w:cs="Arial" w:eastAsia="Arial" w:hAnsi="Arial"/>
                <w:sz w:val="14"/>
                <w:szCs w:val="14"/>
                <w:color w:val="auto"/>
              </w:rPr>
              <w:t>15 %</w:t>
            </w:r>
          </w:p>
        </w:tc>
        <w:tc>
          <w:tcPr>
            <w:tcW w:w="10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16 %</w:t>
            </w:r>
          </w:p>
        </w:tc>
        <w:tc>
          <w:tcPr>
            <w:tcW w:w="0" w:type="dxa"/>
            <w:vAlign w:val="bottom"/>
          </w:tcPr>
          <w:p>
            <w:pPr>
              <w:spacing w:after="0"/>
              <w:rPr>
                <w:sz w:val="1"/>
                <w:szCs w:val="1"/>
                <w:color w:val="auto"/>
              </w:rPr>
            </w:pPr>
          </w:p>
        </w:tc>
      </w:tr>
      <w:tr>
        <w:trPr>
          <w:trHeight w:val="196"/>
        </w:trPr>
        <w:tc>
          <w:tcPr>
            <w:tcW w:w="48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Foreign currency translation</w:t>
            </w:r>
          </w:p>
        </w:tc>
        <w:tc>
          <w:tcPr>
            <w:tcW w:w="1520" w:type="dxa"/>
            <w:vAlign w:val="bottom"/>
            <w:tcBorders>
              <w:bottom w:val="single" w:sz="8" w:color="61656A"/>
            </w:tcBorders>
          </w:tcPr>
          <w:p>
            <w:pPr>
              <w:spacing w:after="0"/>
              <w:rPr>
                <w:sz w:val="17"/>
                <w:szCs w:val="17"/>
                <w:color w:val="auto"/>
              </w:rPr>
            </w:pPr>
          </w:p>
        </w:tc>
        <w:tc>
          <w:tcPr>
            <w:tcW w:w="280" w:type="dxa"/>
            <w:vAlign w:val="bottom"/>
            <w:tcBorders>
              <w:bottom w:val="single" w:sz="8" w:color="61656A"/>
            </w:tcBorders>
          </w:tcPr>
          <w:p>
            <w:pPr>
              <w:spacing w:after="0"/>
              <w:rPr>
                <w:sz w:val="17"/>
                <w:szCs w:val="17"/>
                <w:color w:val="auto"/>
              </w:rPr>
            </w:pPr>
          </w:p>
        </w:tc>
        <w:tc>
          <w:tcPr>
            <w:tcW w:w="280" w:type="dxa"/>
            <w:vAlign w:val="bottom"/>
            <w:tcBorders>
              <w:bottom w:val="single" w:sz="8" w:color="61656A"/>
            </w:tcBorders>
          </w:tcPr>
          <w:p>
            <w:pPr>
              <w:spacing w:after="0"/>
              <w:rPr>
                <w:sz w:val="17"/>
                <w:szCs w:val="17"/>
                <w:color w:val="auto"/>
              </w:rPr>
            </w:pPr>
          </w:p>
        </w:tc>
        <w:tc>
          <w:tcPr>
            <w:tcW w:w="1040" w:type="dxa"/>
            <w:vAlign w:val="bottom"/>
            <w:tcBorders>
              <w:bottom w:val="single" w:sz="8" w:color="61656A"/>
            </w:tcBorders>
            <w:gridSpan w:val="2"/>
          </w:tcPr>
          <w:p>
            <w:pPr>
              <w:jc w:val="right"/>
              <w:ind w:right="308"/>
              <w:spacing w:after="0"/>
              <w:rPr>
                <w:sz w:val="20"/>
                <w:szCs w:val="20"/>
                <w:color w:val="auto"/>
              </w:rPr>
            </w:pPr>
            <w:r>
              <w:rPr>
                <w:rFonts w:ascii="Arial" w:cs="Arial" w:eastAsia="Arial" w:hAnsi="Arial"/>
                <w:sz w:val="14"/>
                <w:szCs w:val="14"/>
                <w:color w:val="auto"/>
              </w:rPr>
              <w:t>— %</w:t>
            </w:r>
          </w:p>
        </w:tc>
        <w:tc>
          <w:tcPr>
            <w:tcW w:w="1240" w:type="dxa"/>
            <w:vAlign w:val="bottom"/>
            <w:tcBorders>
              <w:bottom w:val="single" w:sz="8" w:color="61656A"/>
            </w:tcBorders>
            <w:gridSpan w:val="3"/>
          </w:tcPr>
          <w:p>
            <w:pPr>
              <w:jc w:val="right"/>
              <w:ind w:right="420"/>
              <w:spacing w:after="0"/>
              <w:rPr>
                <w:sz w:val="20"/>
                <w:szCs w:val="20"/>
                <w:color w:val="auto"/>
              </w:rPr>
            </w:pPr>
            <w:r>
              <w:rPr>
                <w:rFonts w:ascii="Arial" w:cs="Arial" w:eastAsia="Arial" w:hAnsi="Arial"/>
                <w:sz w:val="14"/>
                <w:szCs w:val="14"/>
                <w:color w:val="auto"/>
              </w:rPr>
              <w:t>— %</w:t>
            </w:r>
          </w:p>
        </w:tc>
        <w:tc>
          <w:tcPr>
            <w:tcW w:w="28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ind w:left="180"/>
              <w:spacing w:after="0"/>
              <w:rPr>
                <w:sz w:val="20"/>
                <w:szCs w:val="20"/>
                <w:color w:val="auto"/>
              </w:rPr>
            </w:pPr>
            <w:r>
              <w:rPr>
                <w:rFonts w:ascii="Arial" w:cs="Arial" w:eastAsia="Arial" w:hAnsi="Arial"/>
                <w:sz w:val="14"/>
                <w:szCs w:val="14"/>
                <w:color w:val="auto"/>
              </w:rPr>
              <w:t>— %</w:t>
            </w:r>
          </w:p>
        </w:tc>
        <w:tc>
          <w:tcPr>
            <w:tcW w:w="10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96"/>
        </w:trPr>
        <w:tc>
          <w:tcPr>
            <w:tcW w:w="48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Acquisitions, divestitures, and other, net</w:t>
            </w:r>
          </w:p>
        </w:tc>
        <w:tc>
          <w:tcPr>
            <w:tcW w:w="1520" w:type="dxa"/>
            <w:vAlign w:val="bottom"/>
            <w:tcBorders>
              <w:bottom w:val="single" w:sz="8" w:color="D7282F"/>
            </w:tcBorders>
          </w:tcPr>
          <w:p>
            <w:pPr>
              <w:spacing w:after="0"/>
              <w:rPr>
                <w:sz w:val="17"/>
                <w:szCs w:val="17"/>
                <w:color w:val="auto"/>
              </w:rPr>
            </w:pPr>
          </w:p>
        </w:tc>
        <w:tc>
          <w:tcPr>
            <w:tcW w:w="280" w:type="dxa"/>
            <w:vAlign w:val="bottom"/>
            <w:tcBorders>
              <w:bottom w:val="single" w:sz="8" w:color="D7282F"/>
            </w:tcBorders>
          </w:tcPr>
          <w:p>
            <w:pPr>
              <w:spacing w:after="0"/>
              <w:rPr>
                <w:sz w:val="17"/>
                <w:szCs w:val="17"/>
                <w:color w:val="auto"/>
              </w:rPr>
            </w:pPr>
          </w:p>
        </w:tc>
        <w:tc>
          <w:tcPr>
            <w:tcW w:w="280" w:type="dxa"/>
            <w:vAlign w:val="bottom"/>
            <w:tcBorders>
              <w:bottom w:val="single" w:sz="8" w:color="D7282F"/>
            </w:tcBorders>
          </w:tcPr>
          <w:p>
            <w:pPr>
              <w:spacing w:after="0"/>
              <w:rPr>
                <w:sz w:val="17"/>
                <w:szCs w:val="17"/>
                <w:color w:val="auto"/>
              </w:rPr>
            </w:pPr>
          </w:p>
        </w:tc>
        <w:tc>
          <w:tcPr>
            <w:tcW w:w="400" w:type="dxa"/>
            <w:vAlign w:val="bottom"/>
            <w:tcBorders>
              <w:bottom w:val="single" w:sz="8" w:color="D7282F"/>
            </w:tcBorders>
          </w:tcPr>
          <w:p>
            <w:pPr>
              <w:spacing w:after="0"/>
              <w:rPr>
                <w:sz w:val="17"/>
                <w:szCs w:val="17"/>
                <w:color w:val="auto"/>
              </w:rPr>
            </w:pPr>
          </w:p>
        </w:tc>
        <w:tc>
          <w:tcPr>
            <w:tcW w:w="640" w:type="dxa"/>
            <w:vAlign w:val="bottom"/>
            <w:tcBorders>
              <w:bottom w:val="single" w:sz="8" w:color="D7282F"/>
            </w:tcBorders>
          </w:tcPr>
          <w:p>
            <w:pPr>
              <w:jc w:val="right"/>
              <w:ind w:right="308"/>
              <w:spacing w:after="0"/>
              <w:rPr>
                <w:sz w:val="20"/>
                <w:szCs w:val="20"/>
                <w:color w:val="auto"/>
              </w:rPr>
            </w:pPr>
            <w:r>
              <w:rPr>
                <w:rFonts w:ascii="Arial" w:cs="Arial" w:eastAsia="Arial" w:hAnsi="Arial"/>
                <w:sz w:val="14"/>
                <w:szCs w:val="14"/>
                <w:color w:val="auto"/>
                <w:w w:val="99"/>
              </w:rPr>
              <w:t>2 %</w:t>
            </w:r>
          </w:p>
        </w:tc>
        <w:tc>
          <w:tcPr>
            <w:tcW w:w="8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1 %</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28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ind w:left="180"/>
              <w:spacing w:after="0"/>
              <w:rPr>
                <w:sz w:val="20"/>
                <w:szCs w:val="20"/>
                <w:color w:val="auto"/>
              </w:rPr>
            </w:pPr>
            <w:r>
              <w:rPr>
                <w:rFonts w:ascii="Arial" w:cs="Arial" w:eastAsia="Arial" w:hAnsi="Arial"/>
                <w:sz w:val="14"/>
                <w:szCs w:val="14"/>
                <w:color w:val="auto"/>
              </w:rPr>
              <w:t>— %</w:t>
            </w:r>
          </w:p>
        </w:tc>
        <w:tc>
          <w:tcPr>
            <w:tcW w:w="10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99"/>
        </w:trPr>
        <w:tc>
          <w:tcPr>
            <w:tcW w:w="488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 change</w:t>
            </w:r>
          </w:p>
        </w:tc>
        <w:tc>
          <w:tcPr>
            <w:tcW w:w="1520" w:type="dxa"/>
            <w:vAlign w:val="bottom"/>
            <w:tcBorders>
              <w:bottom w:val="single" w:sz="8" w:color="D7282F"/>
            </w:tcBorders>
          </w:tcPr>
          <w:p>
            <w:pPr>
              <w:spacing w:after="0"/>
              <w:rPr>
                <w:sz w:val="17"/>
                <w:szCs w:val="17"/>
                <w:color w:val="auto"/>
              </w:rPr>
            </w:pPr>
          </w:p>
        </w:tc>
        <w:tc>
          <w:tcPr>
            <w:tcW w:w="280" w:type="dxa"/>
            <w:vAlign w:val="bottom"/>
            <w:tcBorders>
              <w:bottom w:val="single" w:sz="8" w:color="D7282F"/>
            </w:tcBorders>
          </w:tcPr>
          <w:p>
            <w:pPr>
              <w:spacing w:after="0"/>
              <w:rPr>
                <w:sz w:val="17"/>
                <w:szCs w:val="17"/>
                <w:color w:val="auto"/>
              </w:rPr>
            </w:pPr>
          </w:p>
        </w:tc>
        <w:tc>
          <w:tcPr>
            <w:tcW w:w="280" w:type="dxa"/>
            <w:vAlign w:val="bottom"/>
            <w:tcBorders>
              <w:bottom w:val="single" w:sz="8" w:color="D7282F"/>
            </w:tcBorders>
          </w:tcPr>
          <w:p>
            <w:pPr>
              <w:spacing w:after="0"/>
              <w:rPr>
                <w:sz w:val="17"/>
                <w:szCs w:val="17"/>
                <w:color w:val="auto"/>
              </w:rPr>
            </w:pPr>
          </w:p>
        </w:tc>
        <w:tc>
          <w:tcPr>
            <w:tcW w:w="1040" w:type="dxa"/>
            <w:vAlign w:val="bottom"/>
            <w:tcBorders>
              <w:bottom w:val="single" w:sz="8" w:color="D7282F"/>
            </w:tcBorders>
            <w:gridSpan w:val="2"/>
          </w:tcPr>
          <w:p>
            <w:pPr>
              <w:jc w:val="right"/>
              <w:ind w:right="308"/>
              <w:spacing w:after="0"/>
              <w:rPr>
                <w:sz w:val="20"/>
                <w:szCs w:val="20"/>
                <w:color w:val="auto"/>
              </w:rPr>
            </w:pPr>
            <w:r>
              <w:rPr>
                <w:rFonts w:ascii="Arial" w:cs="Arial" w:eastAsia="Arial" w:hAnsi="Arial"/>
                <w:sz w:val="14"/>
                <w:szCs w:val="14"/>
                <w:b w:val="1"/>
                <w:bCs w:val="1"/>
                <w:color w:val="auto"/>
              </w:rPr>
              <w:t>13 %</w:t>
            </w:r>
          </w:p>
        </w:tc>
        <w:tc>
          <w:tcPr>
            <w:tcW w:w="8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6 %</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28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ind w:left="160"/>
              <w:spacing w:after="0"/>
              <w:rPr>
                <w:sz w:val="20"/>
                <w:szCs w:val="20"/>
                <w:color w:val="auto"/>
              </w:rPr>
            </w:pPr>
            <w:r>
              <w:rPr>
                <w:rFonts w:ascii="Arial" w:cs="Arial" w:eastAsia="Arial" w:hAnsi="Arial"/>
                <w:sz w:val="14"/>
                <w:szCs w:val="14"/>
                <w:b w:val="1"/>
                <w:bCs w:val="1"/>
                <w:color w:val="auto"/>
              </w:rPr>
              <w:t>15 %</w:t>
            </w:r>
          </w:p>
        </w:tc>
        <w:tc>
          <w:tcPr>
            <w:tcW w:w="10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16 %</w:t>
            </w:r>
          </w:p>
        </w:tc>
        <w:tc>
          <w:tcPr>
            <w:tcW w:w="0" w:type="dxa"/>
            <w:vAlign w:val="bottom"/>
          </w:tcPr>
          <w:p>
            <w:pPr>
              <w:spacing w:after="0"/>
              <w:rPr>
                <w:sz w:val="1"/>
                <w:szCs w:val="1"/>
                <w:color w:val="auto"/>
              </w:rPr>
            </w:pPr>
          </w:p>
        </w:tc>
      </w:tr>
    </w:tbl>
    <w:p>
      <w:pPr>
        <w:spacing w:after="0" w:line="131" w:lineRule="exact"/>
        <w:rPr>
          <w:sz w:val="20"/>
          <w:szCs w:val="20"/>
          <w:color w:val="auto"/>
        </w:rPr>
      </w:pPr>
    </w:p>
    <w:p>
      <w:pPr>
        <w:jc w:val="both"/>
        <w:ind w:left="480" w:right="20" w:hanging="454"/>
        <w:spacing w:after="0" w:line="251" w:lineRule="auto"/>
        <w:tabs>
          <w:tab w:leader="none" w:pos="480" w:val="left"/>
        </w:tabs>
        <w:numPr>
          <w:ilvl w:val="0"/>
          <w:numId w:val="59"/>
        </w:numPr>
        <w:rPr>
          <w:rFonts w:ascii="Arial" w:cs="Arial" w:eastAsia="Arial" w:hAnsi="Arial"/>
          <w:sz w:val="13"/>
          <w:szCs w:val="13"/>
          <w:color w:val="auto"/>
        </w:rPr>
      </w:pPr>
      <w:r>
        <w:rPr>
          <w:rFonts w:ascii="Arial" w:cs="Arial" w:eastAsia="Arial" w:hAnsi="Arial"/>
          <w:sz w:val="13"/>
          <w:szCs w:val="13"/>
          <w:color w:val="auto"/>
        </w:rPr>
        <w:t>Organic sales percent change, presented for all of our reportable business segments, is defined as the change in Net sales, excluding the impact on sales from foreign currency translation and acquisitions, net of divestitures, for the first 12 months following the transaction date. We believe this non-GAAP measure is useful to investors and management in understanding the ongoing operations and analysis of ongoing operating trends.</w:t>
      </w:r>
    </w:p>
    <w:p>
      <w:pPr>
        <w:sectPr>
          <w:pgSz w:w="11900" w:h="16838" w:orient="portrait"/>
          <w:cols w:equalWidth="0" w:num="1">
            <w:col w:w="11240"/>
          </w:cols>
          <w:pgMar w:left="320" w:top="162"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ind w:left="400" w:hanging="392"/>
        <w:spacing w:after="0"/>
        <w:tabs>
          <w:tab w:leader="none" w:pos="400" w:val="left"/>
        </w:tabs>
        <w:numPr>
          <w:ilvl w:val="0"/>
          <w:numId w:val="60"/>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type w:val="continuous"/>
        </w:sectPr>
      </w:pPr>
    </w:p>
    <w:bookmarkStart w:id="24" w:name="page25"/>
    <w:bookmarkEnd w:id="24"/>
    <w:p>
      <w:pPr>
        <w:ind w:left="20"/>
        <w:spacing w:after="0"/>
        <w:tabs>
          <w:tab w:leader="none" w:pos="908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REVIEW OF BUSINESS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2024 compared with 2023</w:t>
      </w:r>
    </w:p>
    <w:p>
      <w:pPr>
        <w:spacing w:after="0" w:line="21" w:lineRule="exact"/>
        <w:rPr>
          <w:sz w:val="20"/>
          <w:szCs w:val="20"/>
          <w:color w:val="auto"/>
        </w:rPr>
      </w:pPr>
    </w:p>
    <w:p>
      <w:pPr>
        <w:jc w:val="both"/>
        <w:ind w:right="20"/>
        <w:spacing w:after="0" w:line="264" w:lineRule="auto"/>
        <w:rPr>
          <w:sz w:val="20"/>
          <w:szCs w:val="20"/>
          <w:color w:val="auto"/>
        </w:rPr>
      </w:pPr>
      <w:r>
        <w:rPr>
          <w:rFonts w:ascii="Arial" w:cs="Arial" w:eastAsia="Arial" w:hAnsi="Arial"/>
          <w:sz w:val="16"/>
          <w:szCs w:val="16"/>
          <w:color w:val="auto"/>
        </w:rPr>
        <w:t>Sales increased $1,834 million due to higher organic sales of $907 million in Commercial Aviation Aftermarket driven by higher sales volumes in air transport due to an increase in flight hours and higher organic sales of $772 million in Defense and Space driven by higher sales volumes due to increased shipments. Additionally, the acquisitions of CAES and Civitanavi Systems contributed $332 million to 2024 sales.</w:t>
      </w:r>
    </w:p>
    <w:p>
      <w:pPr>
        <w:spacing w:after="0" w:line="79"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During the fourth quarter of 2024, our Commercial Aviation Original Equipment business entered into a strategic agreement with Bombardier (the Agreement) to provide advanced technology for current and future Bombardier aircraft in avionics, propulsion, and satellite communications technologies. Sales and segment profit for the twelve months ended December 31, 2024, decreased by approximately $370 million due to the Agreement.</w:t>
      </w:r>
    </w:p>
    <w:p>
      <w:pPr>
        <w:spacing w:after="0" w:line="77"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Segment profit increased $228 million and segment margin percentage decreased 180 basis points to 25.8% compared to 27.6% for the same period of 2023.</w:t>
      </w:r>
    </w:p>
    <w:p>
      <w:pPr>
        <w:spacing w:after="0" w:line="298" w:lineRule="exact"/>
        <w:rPr>
          <w:sz w:val="20"/>
          <w:szCs w:val="20"/>
          <w:color w:val="auto"/>
        </w:rPr>
      </w:pPr>
    </w:p>
    <w:p>
      <w:pPr>
        <w:spacing w:after="0"/>
        <w:rPr>
          <w:sz w:val="20"/>
          <w:szCs w:val="20"/>
          <w:color w:val="auto"/>
        </w:rPr>
      </w:pPr>
      <w:r>
        <w:rPr>
          <w:rFonts w:ascii="Arial" w:cs="Arial" w:eastAsia="Arial" w:hAnsi="Arial"/>
          <w:sz w:val="16"/>
          <w:szCs w:val="16"/>
          <w:color w:val="auto"/>
        </w:rPr>
        <w:t>On February 6, 2025, the Company announced its intention to separate its Automation and Aerospace Technologies businesses into independent, U.S.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publicly traded companies.</w:t>
      </w:r>
    </w:p>
    <w:p>
      <w:pPr>
        <w:spacing w:after="0" w:line="268" w:lineRule="exact"/>
        <w:rPr>
          <w:sz w:val="20"/>
          <w:szCs w:val="20"/>
          <w:color w:val="auto"/>
        </w:rPr>
      </w:pPr>
    </w:p>
    <w:p>
      <w:pPr>
        <w:spacing w:after="0"/>
        <w:rPr>
          <w:sz w:val="20"/>
          <w:szCs w:val="20"/>
          <w:color w:val="auto"/>
        </w:rPr>
      </w:pPr>
      <w:r>
        <w:rPr>
          <w:rFonts w:ascii="Arial" w:cs="Arial" w:eastAsia="Arial" w:hAnsi="Arial"/>
          <w:sz w:val="29"/>
          <w:szCs w:val="29"/>
          <w:color w:val="D7282F"/>
        </w:rPr>
        <w:t>INDUSTRIAL AUTOMATION</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2070735</wp:posOffset>
            </wp:positionH>
            <wp:positionV relativeFrom="paragraph">
              <wp:posOffset>89535</wp:posOffset>
            </wp:positionV>
            <wp:extent cx="3000375" cy="28803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3000375" cy="288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Change</w:t>
            </w: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8"/>
        </w:trPr>
        <w:tc>
          <w:tcPr>
            <w:tcW w:w="48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2024</w:t>
            </w: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44"/>
        </w:trPr>
        <w:tc>
          <w:tcPr>
            <w:tcW w:w="48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70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2024</w:t>
            </w:r>
          </w:p>
        </w:tc>
        <w:tc>
          <w:tcPr>
            <w:tcW w:w="300" w:type="dxa"/>
            <w:vAlign w:val="bottom"/>
          </w:tcPr>
          <w:p>
            <w:pPr>
              <w:spacing w:after="0"/>
              <w:rPr>
                <w:sz w:val="12"/>
                <w:szCs w:val="12"/>
                <w:color w:val="auto"/>
              </w:rPr>
            </w:pPr>
          </w:p>
        </w:tc>
        <w:tc>
          <w:tcPr>
            <w:tcW w:w="78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2023</w:t>
            </w:r>
          </w:p>
        </w:tc>
        <w:tc>
          <w:tcPr>
            <w:tcW w:w="10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vs.</w:t>
            </w:r>
          </w:p>
        </w:tc>
        <w:tc>
          <w:tcPr>
            <w:tcW w:w="280" w:type="dxa"/>
            <w:vAlign w:val="bottom"/>
          </w:tcPr>
          <w:p>
            <w:pPr>
              <w:spacing w:after="0"/>
              <w:rPr>
                <w:sz w:val="12"/>
                <w:szCs w:val="12"/>
                <w:color w:val="auto"/>
              </w:rPr>
            </w:pPr>
          </w:p>
        </w:tc>
        <w:tc>
          <w:tcPr>
            <w:tcW w:w="78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2022</w:t>
            </w:r>
          </w:p>
        </w:tc>
        <w:tc>
          <w:tcPr>
            <w:tcW w:w="9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vs.</w:t>
            </w:r>
          </w:p>
        </w:tc>
        <w:tc>
          <w:tcPr>
            <w:tcW w:w="0" w:type="dxa"/>
            <w:vAlign w:val="bottom"/>
          </w:tcPr>
          <w:p>
            <w:pPr>
              <w:spacing w:after="0"/>
              <w:rPr>
                <w:sz w:val="1"/>
                <w:szCs w:val="1"/>
                <w:color w:val="auto"/>
              </w:rPr>
            </w:pPr>
          </w:p>
        </w:tc>
      </w:tr>
      <w:tr>
        <w:trPr>
          <w:trHeight w:val="189"/>
        </w:trPr>
        <w:tc>
          <w:tcPr>
            <w:tcW w:w="4880" w:type="dxa"/>
            <w:vAlign w:val="bottom"/>
            <w:tcBorders>
              <w:bottom w:val="single" w:sz="8" w:color="D7282F"/>
            </w:tcBorders>
          </w:tcPr>
          <w:p>
            <w:pPr>
              <w:spacing w:after="0"/>
              <w:rPr>
                <w:sz w:val="16"/>
                <w:szCs w:val="16"/>
                <w:color w:val="auto"/>
              </w:rPr>
            </w:pPr>
          </w:p>
        </w:tc>
        <w:tc>
          <w:tcPr>
            <w:tcW w:w="1520" w:type="dxa"/>
            <w:vAlign w:val="bottom"/>
            <w:tcBorders>
              <w:bottom w:val="single" w:sz="8" w:color="D7282F"/>
            </w:tcBorders>
          </w:tcPr>
          <w:p>
            <w:pPr>
              <w:spacing w:after="0"/>
              <w:rPr>
                <w:sz w:val="16"/>
                <w:szCs w:val="16"/>
                <w:color w:val="auto"/>
              </w:rPr>
            </w:pPr>
          </w:p>
        </w:tc>
        <w:tc>
          <w:tcPr>
            <w:tcW w:w="700" w:type="dxa"/>
            <w:vAlign w:val="bottom"/>
            <w:tcBorders>
              <w:bottom w:val="single" w:sz="8" w:color="D7282F"/>
            </w:tcBorders>
            <w:vMerge w:val="continue"/>
          </w:tcPr>
          <w:p>
            <w:pPr>
              <w:spacing w:after="0"/>
              <w:rPr>
                <w:sz w:val="16"/>
                <w:szCs w:val="16"/>
                <w:color w:val="auto"/>
              </w:rPr>
            </w:pPr>
          </w:p>
        </w:tc>
        <w:tc>
          <w:tcPr>
            <w:tcW w:w="300" w:type="dxa"/>
            <w:vAlign w:val="bottom"/>
            <w:tcBorders>
              <w:bottom w:val="single" w:sz="8" w:color="D7282F"/>
            </w:tcBorders>
          </w:tcPr>
          <w:p>
            <w:pPr>
              <w:spacing w:after="0"/>
              <w:rPr>
                <w:sz w:val="16"/>
                <w:szCs w:val="16"/>
                <w:color w:val="auto"/>
              </w:rPr>
            </w:pPr>
          </w:p>
        </w:tc>
        <w:tc>
          <w:tcPr>
            <w:tcW w:w="780" w:type="dxa"/>
            <w:vAlign w:val="bottom"/>
            <w:tcBorders>
              <w:bottom w:val="single" w:sz="8" w:color="D7282F"/>
            </w:tcBorders>
            <w:vMerge w:val="continue"/>
          </w:tcPr>
          <w:p>
            <w:pPr>
              <w:spacing w:after="0"/>
              <w:rPr>
                <w:sz w:val="16"/>
                <w:szCs w:val="16"/>
                <w:color w:val="auto"/>
              </w:rPr>
            </w:pPr>
          </w:p>
        </w:tc>
        <w:tc>
          <w:tcPr>
            <w:tcW w:w="1060" w:type="dxa"/>
            <w:vAlign w:val="bottom"/>
            <w:tcBorders>
              <w:bottom w:val="single" w:sz="8" w:color="D7282F"/>
            </w:tcBorders>
          </w:tcPr>
          <w:p>
            <w:pPr>
              <w:jc w:val="center"/>
              <w:spacing w:after="0"/>
              <w:rPr>
                <w:sz w:val="20"/>
                <w:szCs w:val="20"/>
                <w:color w:val="auto"/>
              </w:rPr>
            </w:pPr>
            <w:r>
              <w:rPr>
                <w:rFonts w:ascii="Arial" w:cs="Arial" w:eastAsia="Arial" w:hAnsi="Arial"/>
                <w:sz w:val="14"/>
                <w:szCs w:val="14"/>
                <w:b w:val="1"/>
                <w:bCs w:val="1"/>
                <w:color w:val="auto"/>
              </w:rPr>
              <w:t>2023</w:t>
            </w:r>
          </w:p>
        </w:tc>
        <w:tc>
          <w:tcPr>
            <w:tcW w:w="280" w:type="dxa"/>
            <w:vAlign w:val="bottom"/>
            <w:tcBorders>
              <w:bottom w:val="single" w:sz="8" w:color="D7282F"/>
            </w:tcBorders>
          </w:tcPr>
          <w:p>
            <w:pPr>
              <w:spacing w:after="0"/>
              <w:rPr>
                <w:sz w:val="16"/>
                <w:szCs w:val="16"/>
                <w:color w:val="auto"/>
              </w:rPr>
            </w:pPr>
          </w:p>
        </w:tc>
        <w:tc>
          <w:tcPr>
            <w:tcW w:w="780" w:type="dxa"/>
            <w:vAlign w:val="bottom"/>
            <w:tcBorders>
              <w:bottom w:val="single" w:sz="8" w:color="D7282F"/>
            </w:tcBorders>
            <w:vMerge w:val="continue"/>
          </w:tcPr>
          <w:p>
            <w:pPr>
              <w:spacing w:after="0"/>
              <w:rPr>
                <w:sz w:val="16"/>
                <w:szCs w:val="16"/>
                <w:color w:val="auto"/>
              </w:rPr>
            </w:pPr>
          </w:p>
        </w:tc>
        <w:tc>
          <w:tcPr>
            <w:tcW w:w="940" w:type="dxa"/>
            <w:vAlign w:val="bottom"/>
            <w:tcBorders>
              <w:bottom w:val="single" w:sz="8" w:color="D7282F"/>
            </w:tcBorders>
          </w:tcPr>
          <w:p>
            <w:pPr>
              <w:jc w:val="center"/>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92"/>
        </w:trPr>
        <w:tc>
          <w:tcPr>
            <w:tcW w:w="48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Net sales</w:t>
            </w:r>
          </w:p>
        </w:tc>
        <w:tc>
          <w:tcPr>
            <w:tcW w:w="1520" w:type="dxa"/>
            <w:vAlign w:val="bottom"/>
            <w:tcBorders>
              <w:bottom w:val="single" w:sz="8" w:color="888B8D"/>
            </w:tcBorders>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10,051</w:t>
            </w:r>
          </w:p>
        </w:tc>
        <w:tc>
          <w:tcPr>
            <w:tcW w:w="300" w:type="dxa"/>
            <w:vAlign w:val="bottom"/>
            <w:tcBorders>
              <w:bottom w:val="single" w:sz="8" w:color="888B8D"/>
            </w:tcBorders>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888B8D"/>
            </w:tcBorders>
          </w:tcPr>
          <w:p>
            <w:pPr>
              <w:jc w:val="right"/>
              <w:ind w:right="168"/>
              <w:spacing w:after="0"/>
              <w:rPr>
                <w:sz w:val="20"/>
                <w:szCs w:val="20"/>
                <w:color w:val="auto"/>
              </w:rPr>
            </w:pPr>
            <w:r>
              <w:rPr>
                <w:rFonts w:ascii="Arial" w:cs="Arial" w:eastAsia="Arial" w:hAnsi="Arial"/>
                <w:sz w:val="14"/>
                <w:szCs w:val="14"/>
                <w:color w:val="auto"/>
              </w:rPr>
              <w:t>10,756</w:t>
            </w:r>
          </w:p>
        </w:tc>
        <w:tc>
          <w:tcPr>
            <w:tcW w:w="106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(7)%</w:t>
            </w:r>
          </w:p>
        </w:tc>
        <w:tc>
          <w:tcPr>
            <w:tcW w:w="280" w:type="dxa"/>
            <w:vAlign w:val="bottom"/>
            <w:tcBorders>
              <w:bottom w:val="single" w:sz="8" w:color="888B8D"/>
            </w:tcBorders>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888B8D"/>
            </w:tcBorders>
          </w:tcPr>
          <w:p>
            <w:pPr>
              <w:jc w:val="right"/>
              <w:ind w:right="168"/>
              <w:spacing w:after="0"/>
              <w:rPr>
                <w:sz w:val="20"/>
                <w:szCs w:val="20"/>
                <w:color w:val="auto"/>
              </w:rPr>
            </w:pPr>
            <w:r>
              <w:rPr>
                <w:rFonts w:ascii="Arial" w:cs="Arial" w:eastAsia="Arial" w:hAnsi="Arial"/>
                <w:sz w:val="14"/>
                <w:szCs w:val="14"/>
                <w:color w:val="auto"/>
              </w:rPr>
              <w:t>11,638</w:t>
            </w:r>
          </w:p>
        </w:tc>
        <w:tc>
          <w:tcPr>
            <w:tcW w:w="9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96"/>
        </w:trPr>
        <w:tc>
          <w:tcPr>
            <w:tcW w:w="48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Cost of products and services sold</w:t>
            </w:r>
          </w:p>
        </w:tc>
        <w:tc>
          <w:tcPr>
            <w:tcW w:w="1520" w:type="dxa"/>
            <w:vAlign w:val="bottom"/>
            <w:tcBorders>
              <w:bottom w:val="single" w:sz="8" w:color="888B8D"/>
            </w:tcBorders>
          </w:tcPr>
          <w:p>
            <w:pPr>
              <w:spacing w:after="0"/>
              <w:rPr>
                <w:sz w:val="17"/>
                <w:szCs w:val="17"/>
                <w:color w:val="auto"/>
              </w:rPr>
            </w:pPr>
          </w:p>
        </w:tc>
        <w:tc>
          <w:tcPr>
            <w:tcW w:w="70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5,880</w:t>
            </w:r>
          </w:p>
        </w:tc>
        <w:tc>
          <w:tcPr>
            <w:tcW w:w="300" w:type="dxa"/>
            <w:vAlign w:val="bottom"/>
            <w:tcBorders>
              <w:bottom w:val="single" w:sz="8" w:color="888B8D"/>
            </w:tcBorders>
          </w:tcPr>
          <w:p>
            <w:pPr>
              <w:spacing w:after="0"/>
              <w:rPr>
                <w:sz w:val="17"/>
                <w:szCs w:val="17"/>
                <w:color w:val="auto"/>
              </w:rPr>
            </w:pPr>
          </w:p>
        </w:tc>
        <w:tc>
          <w:tcPr>
            <w:tcW w:w="780" w:type="dxa"/>
            <w:vAlign w:val="bottom"/>
            <w:tcBorders>
              <w:bottom w:val="single" w:sz="8" w:color="888B8D"/>
            </w:tcBorders>
          </w:tcPr>
          <w:p>
            <w:pPr>
              <w:jc w:val="right"/>
              <w:ind w:right="168"/>
              <w:spacing w:after="0"/>
              <w:rPr>
                <w:sz w:val="20"/>
                <w:szCs w:val="20"/>
                <w:color w:val="auto"/>
              </w:rPr>
            </w:pPr>
            <w:r>
              <w:rPr>
                <w:rFonts w:ascii="Arial" w:cs="Arial" w:eastAsia="Arial" w:hAnsi="Arial"/>
                <w:sz w:val="14"/>
                <w:szCs w:val="14"/>
                <w:color w:val="auto"/>
              </w:rPr>
              <w:t>6,379</w:t>
            </w:r>
          </w:p>
        </w:tc>
        <w:tc>
          <w:tcPr>
            <w:tcW w:w="1060" w:type="dxa"/>
            <w:vAlign w:val="bottom"/>
            <w:tcBorders>
              <w:bottom w:val="single" w:sz="8" w:color="888B8D"/>
            </w:tcBorders>
          </w:tcPr>
          <w:p>
            <w:pPr>
              <w:spacing w:after="0"/>
              <w:rPr>
                <w:sz w:val="17"/>
                <w:szCs w:val="17"/>
                <w:color w:val="auto"/>
              </w:rPr>
            </w:pPr>
          </w:p>
        </w:tc>
        <w:tc>
          <w:tcPr>
            <w:tcW w:w="280" w:type="dxa"/>
            <w:vAlign w:val="bottom"/>
            <w:tcBorders>
              <w:bottom w:val="single" w:sz="8" w:color="888B8D"/>
            </w:tcBorders>
          </w:tcPr>
          <w:p>
            <w:pPr>
              <w:spacing w:after="0"/>
              <w:rPr>
                <w:sz w:val="17"/>
                <w:szCs w:val="17"/>
                <w:color w:val="auto"/>
              </w:rPr>
            </w:pPr>
          </w:p>
        </w:tc>
        <w:tc>
          <w:tcPr>
            <w:tcW w:w="780" w:type="dxa"/>
            <w:vAlign w:val="bottom"/>
            <w:tcBorders>
              <w:bottom w:val="single" w:sz="8" w:color="888B8D"/>
            </w:tcBorders>
          </w:tcPr>
          <w:p>
            <w:pPr>
              <w:jc w:val="right"/>
              <w:ind w:right="168"/>
              <w:spacing w:after="0"/>
              <w:rPr>
                <w:sz w:val="20"/>
                <w:szCs w:val="20"/>
                <w:color w:val="auto"/>
              </w:rPr>
            </w:pPr>
            <w:r>
              <w:rPr>
                <w:rFonts w:ascii="Arial" w:cs="Arial" w:eastAsia="Arial" w:hAnsi="Arial"/>
                <w:sz w:val="14"/>
                <w:szCs w:val="14"/>
                <w:color w:val="auto"/>
              </w:rPr>
              <w:t>7,230</w:t>
            </w:r>
          </w:p>
        </w:tc>
        <w:tc>
          <w:tcPr>
            <w:tcW w:w="940" w:type="dxa"/>
            <w:vAlign w:val="bottom"/>
            <w:tcBorders>
              <w:bottom w:val="single" w:sz="8" w:color="888B8D"/>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Selling, general and administrative and other expenses</w:t>
            </w:r>
          </w:p>
        </w:tc>
        <w:tc>
          <w:tcPr>
            <w:tcW w:w="152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2,209</w:t>
            </w:r>
          </w:p>
        </w:tc>
        <w:tc>
          <w:tcPr>
            <w:tcW w:w="30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color w:val="auto"/>
              </w:rPr>
              <w:t>2,168</w:t>
            </w:r>
          </w:p>
        </w:tc>
        <w:tc>
          <w:tcPr>
            <w:tcW w:w="1060" w:type="dxa"/>
            <w:vAlign w:val="bottom"/>
            <w:tcBorders>
              <w:bottom w:val="single" w:sz="8" w:color="D7282F"/>
            </w:tcBorders>
          </w:tcPr>
          <w:p>
            <w:pPr>
              <w:spacing w:after="0"/>
              <w:rPr>
                <w:sz w:val="17"/>
                <w:szCs w:val="17"/>
                <w:color w:val="auto"/>
              </w:rPr>
            </w:pPr>
          </w:p>
        </w:tc>
        <w:tc>
          <w:tcPr>
            <w:tcW w:w="2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color w:val="auto"/>
              </w:rPr>
              <w:t>2,256</w:t>
            </w:r>
          </w:p>
        </w:tc>
        <w:tc>
          <w:tcPr>
            <w:tcW w:w="940" w:type="dxa"/>
            <w:vAlign w:val="bottom"/>
            <w:tcBorders>
              <w:bottom w:val="single" w:sz="8" w:color="D7282F"/>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88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Segment profit</w:t>
            </w:r>
          </w:p>
        </w:tc>
        <w:tc>
          <w:tcPr>
            <w:tcW w:w="152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1,962</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2,209</w:t>
            </w:r>
          </w:p>
        </w:tc>
        <w:tc>
          <w:tcPr>
            <w:tcW w:w="10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(11)%</w:t>
            </w:r>
          </w:p>
        </w:tc>
        <w:tc>
          <w:tcPr>
            <w:tcW w:w="2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2,152</w:t>
            </w:r>
          </w:p>
        </w:tc>
        <w:tc>
          <w:tcPr>
            <w:tcW w:w="9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D7282F"/>
        </w:rPr>
        <w:t>23</w:t>
      </w:r>
      <w:r>
        <w:rPr>
          <w:sz w:val="20"/>
          <w:szCs w:val="20"/>
          <w:color w:val="auto"/>
        </w:rPr>
        <w:tab/>
      </w: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25" w:name="page26"/>
    <w:bookmarkEnd w:id="25"/>
    <w:p>
      <w:pPr>
        <w:ind w:left="20"/>
        <w:spacing w:after="0"/>
        <w:tabs>
          <w:tab w:leader="none" w:pos="908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REVIEW OF BUSINESS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680" w:type="dxa"/>
            <w:vAlign w:val="bottom"/>
          </w:tcPr>
          <w:p>
            <w:pPr>
              <w:spacing w:after="0"/>
              <w:rPr>
                <w:sz w:val="17"/>
                <w:szCs w:val="17"/>
                <w:color w:val="auto"/>
              </w:rPr>
            </w:pPr>
          </w:p>
        </w:tc>
        <w:tc>
          <w:tcPr>
            <w:tcW w:w="2160" w:type="dxa"/>
            <w:vAlign w:val="bottom"/>
            <w:tcBorders>
              <w:bottom w:val="single" w:sz="8" w:color="D7282F"/>
            </w:tcBorders>
            <w:gridSpan w:val="2"/>
          </w:tcPr>
          <w:p>
            <w:pPr>
              <w:jc w:val="right"/>
              <w:ind w:right="548"/>
              <w:spacing w:after="0"/>
              <w:rPr>
                <w:sz w:val="20"/>
                <w:szCs w:val="20"/>
                <w:color w:val="auto"/>
              </w:rPr>
            </w:pPr>
            <w:r>
              <w:rPr>
                <w:rFonts w:ascii="Arial" w:cs="Arial" w:eastAsia="Arial" w:hAnsi="Arial"/>
                <w:sz w:val="14"/>
                <w:szCs w:val="14"/>
                <w:b w:val="1"/>
                <w:bCs w:val="1"/>
                <w:color w:val="auto"/>
              </w:rPr>
              <w:t>2024 vs. 2023</w:t>
            </w:r>
          </w:p>
        </w:tc>
        <w:tc>
          <w:tcPr>
            <w:tcW w:w="220" w:type="dxa"/>
            <w:vAlign w:val="bottom"/>
          </w:tcPr>
          <w:p>
            <w:pPr>
              <w:spacing w:after="0"/>
              <w:rPr>
                <w:sz w:val="17"/>
                <w:szCs w:val="17"/>
                <w:color w:val="auto"/>
              </w:rPr>
            </w:pPr>
          </w:p>
        </w:tc>
        <w:tc>
          <w:tcPr>
            <w:tcW w:w="2180" w:type="dxa"/>
            <w:vAlign w:val="bottom"/>
            <w:tcBorders>
              <w:bottom w:val="single" w:sz="8" w:color="D7282F"/>
            </w:tcBorders>
            <w:gridSpan w:val="2"/>
          </w:tcPr>
          <w:p>
            <w:pPr>
              <w:jc w:val="right"/>
              <w:ind w:right="548"/>
              <w:spacing w:after="0"/>
              <w:rPr>
                <w:sz w:val="20"/>
                <w:szCs w:val="20"/>
                <w:color w:val="auto"/>
              </w:rPr>
            </w:pPr>
            <w:r>
              <w:rPr>
                <w:rFonts w:ascii="Arial" w:cs="Arial" w:eastAsia="Arial" w:hAnsi="Arial"/>
                <w:sz w:val="14"/>
                <w:szCs w:val="14"/>
                <w:b w:val="1"/>
                <w:bCs w:val="1"/>
                <w:color w:val="auto"/>
              </w:rPr>
              <w:t>2023 vs. 2022</w:t>
            </w:r>
          </w:p>
        </w:tc>
        <w:tc>
          <w:tcPr>
            <w:tcW w:w="0" w:type="dxa"/>
            <w:vAlign w:val="bottom"/>
          </w:tcPr>
          <w:p>
            <w:pPr>
              <w:spacing w:after="0"/>
              <w:rPr>
                <w:sz w:val="1"/>
                <w:szCs w:val="1"/>
                <w:color w:val="auto"/>
              </w:rPr>
            </w:pPr>
          </w:p>
        </w:tc>
      </w:tr>
      <w:tr>
        <w:trPr>
          <w:trHeight w:val="174"/>
        </w:trPr>
        <w:tc>
          <w:tcPr>
            <w:tcW w:w="66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Factors Contributing to Year-Over-Year Change</w:t>
            </w:r>
          </w:p>
        </w:tc>
        <w:tc>
          <w:tcPr>
            <w:tcW w:w="1160" w:type="dxa"/>
            <w:vAlign w:val="bottom"/>
          </w:tcPr>
          <w:p>
            <w:pPr>
              <w:jc w:val="right"/>
              <w:ind w:right="488"/>
              <w:spacing w:after="0"/>
              <w:rPr>
                <w:sz w:val="20"/>
                <w:szCs w:val="20"/>
                <w:color w:val="auto"/>
              </w:rPr>
            </w:pPr>
            <w:r>
              <w:rPr>
                <w:rFonts w:ascii="Arial" w:cs="Arial" w:eastAsia="Arial" w:hAnsi="Arial"/>
                <w:sz w:val="14"/>
                <w:szCs w:val="14"/>
                <w:b w:val="1"/>
                <w:bCs w:val="1"/>
                <w:color w:val="auto"/>
              </w:rPr>
              <w:t>Net</w:t>
            </w:r>
          </w:p>
        </w:tc>
        <w:tc>
          <w:tcPr>
            <w:tcW w:w="12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Segment</w:t>
            </w:r>
          </w:p>
        </w:tc>
        <w:tc>
          <w:tcPr>
            <w:tcW w:w="1160" w:type="dxa"/>
            <w:vAlign w:val="bottom"/>
          </w:tcPr>
          <w:p>
            <w:pPr>
              <w:jc w:val="right"/>
              <w:ind w:right="488"/>
              <w:spacing w:after="0"/>
              <w:rPr>
                <w:sz w:val="20"/>
                <w:szCs w:val="20"/>
                <w:color w:val="auto"/>
              </w:rPr>
            </w:pPr>
            <w:r>
              <w:rPr>
                <w:rFonts w:ascii="Arial" w:cs="Arial" w:eastAsia="Arial" w:hAnsi="Arial"/>
                <w:sz w:val="14"/>
                <w:szCs w:val="14"/>
                <w:b w:val="1"/>
                <w:bCs w:val="1"/>
                <w:color w:val="auto"/>
              </w:rPr>
              <w:t>Net</w:t>
            </w:r>
          </w:p>
        </w:tc>
        <w:tc>
          <w:tcPr>
            <w:tcW w:w="1020" w:type="dxa"/>
            <w:vAlign w:val="bottom"/>
          </w:tcPr>
          <w:p>
            <w:pPr>
              <w:jc w:val="right"/>
              <w:ind w:right="108"/>
              <w:spacing w:after="0"/>
              <w:rPr>
                <w:sz w:val="20"/>
                <w:szCs w:val="20"/>
                <w:color w:val="auto"/>
              </w:rPr>
            </w:pPr>
            <w:r>
              <w:rPr>
                <w:rFonts w:ascii="Arial" w:cs="Arial" w:eastAsia="Arial" w:hAnsi="Arial"/>
                <w:sz w:val="14"/>
                <w:szCs w:val="14"/>
                <w:b w:val="1"/>
                <w:bCs w:val="1"/>
                <w:color w:val="auto"/>
              </w:rPr>
              <w:t>Segment</w:t>
            </w:r>
          </w:p>
        </w:tc>
        <w:tc>
          <w:tcPr>
            <w:tcW w:w="0" w:type="dxa"/>
            <w:vAlign w:val="bottom"/>
          </w:tcPr>
          <w:p>
            <w:pPr>
              <w:spacing w:after="0"/>
              <w:rPr>
                <w:sz w:val="1"/>
                <w:szCs w:val="1"/>
                <w:color w:val="auto"/>
              </w:rPr>
            </w:pPr>
          </w:p>
        </w:tc>
      </w:tr>
      <w:tr>
        <w:trPr>
          <w:trHeight w:val="185"/>
        </w:trPr>
        <w:tc>
          <w:tcPr>
            <w:tcW w:w="6680" w:type="dxa"/>
            <w:vAlign w:val="bottom"/>
            <w:tcBorders>
              <w:bottom w:val="single" w:sz="8" w:color="D7282F"/>
            </w:tcBorders>
            <w:vMerge w:val="continue"/>
          </w:tcPr>
          <w:p>
            <w:pPr>
              <w:spacing w:after="0"/>
              <w:rPr>
                <w:sz w:val="16"/>
                <w:szCs w:val="16"/>
                <w:color w:val="auto"/>
              </w:rPr>
            </w:pPr>
          </w:p>
        </w:tc>
        <w:tc>
          <w:tcPr>
            <w:tcW w:w="1160" w:type="dxa"/>
            <w:vAlign w:val="bottom"/>
            <w:tcBorders>
              <w:bottom w:val="single" w:sz="8" w:color="D7282F"/>
            </w:tcBorders>
          </w:tcPr>
          <w:p>
            <w:pPr>
              <w:jc w:val="right"/>
              <w:ind w:right="428"/>
              <w:spacing w:after="0"/>
              <w:rPr>
                <w:sz w:val="20"/>
                <w:szCs w:val="20"/>
                <w:color w:val="auto"/>
              </w:rPr>
            </w:pPr>
            <w:r>
              <w:rPr>
                <w:rFonts w:ascii="Arial" w:cs="Arial" w:eastAsia="Arial" w:hAnsi="Arial"/>
                <w:sz w:val="14"/>
                <w:szCs w:val="14"/>
                <w:b w:val="1"/>
                <w:bCs w:val="1"/>
                <w:color w:val="auto"/>
              </w:rPr>
              <w:t>Sales</w:t>
            </w:r>
          </w:p>
        </w:tc>
        <w:tc>
          <w:tcPr>
            <w:tcW w:w="1220" w:type="dxa"/>
            <w:vAlign w:val="bottom"/>
            <w:tcBorders>
              <w:bottom w:val="single" w:sz="8" w:color="D7282F"/>
            </w:tcBorders>
            <w:gridSpan w:val="2"/>
          </w:tcPr>
          <w:p>
            <w:pPr>
              <w:jc w:val="center"/>
              <w:ind w:right="200"/>
              <w:spacing w:after="0"/>
              <w:rPr>
                <w:sz w:val="20"/>
                <w:szCs w:val="20"/>
                <w:color w:val="auto"/>
              </w:rPr>
            </w:pPr>
            <w:r>
              <w:rPr>
                <w:rFonts w:ascii="Arial" w:cs="Arial" w:eastAsia="Arial" w:hAnsi="Arial"/>
                <w:sz w:val="14"/>
                <w:szCs w:val="14"/>
                <w:b w:val="1"/>
                <w:bCs w:val="1"/>
                <w:color w:val="auto"/>
              </w:rPr>
              <w:t>Profit</w:t>
            </w:r>
          </w:p>
        </w:tc>
        <w:tc>
          <w:tcPr>
            <w:tcW w:w="1160" w:type="dxa"/>
            <w:vAlign w:val="bottom"/>
            <w:tcBorders>
              <w:bottom w:val="single" w:sz="8" w:color="D7282F"/>
            </w:tcBorders>
          </w:tcPr>
          <w:p>
            <w:pPr>
              <w:jc w:val="right"/>
              <w:ind w:right="408"/>
              <w:spacing w:after="0"/>
              <w:rPr>
                <w:sz w:val="20"/>
                <w:szCs w:val="20"/>
                <w:color w:val="auto"/>
              </w:rPr>
            </w:pPr>
            <w:r>
              <w:rPr>
                <w:rFonts w:ascii="Arial" w:cs="Arial" w:eastAsia="Arial" w:hAnsi="Arial"/>
                <w:sz w:val="14"/>
                <w:szCs w:val="14"/>
                <w:b w:val="1"/>
                <w:bCs w:val="1"/>
                <w:color w:val="auto"/>
              </w:rPr>
              <w:t>Sales</w:t>
            </w:r>
          </w:p>
        </w:tc>
        <w:tc>
          <w:tcPr>
            <w:tcW w:w="1020" w:type="dxa"/>
            <w:vAlign w:val="bottom"/>
            <w:tcBorders>
              <w:bottom w:val="single" w:sz="8" w:color="D7282F"/>
            </w:tcBorders>
          </w:tcPr>
          <w:p>
            <w:pPr>
              <w:jc w:val="right"/>
              <w:ind w:right="228"/>
              <w:spacing w:after="0"/>
              <w:rPr>
                <w:sz w:val="20"/>
                <w:szCs w:val="20"/>
                <w:color w:val="auto"/>
              </w:rPr>
            </w:pPr>
            <w:r>
              <w:rPr>
                <w:rFonts w:ascii="Arial" w:cs="Arial" w:eastAsia="Arial" w:hAnsi="Arial"/>
                <w:sz w:val="14"/>
                <w:szCs w:val="14"/>
                <w:b w:val="1"/>
                <w:bCs w:val="1"/>
                <w:color w:val="auto"/>
              </w:rPr>
              <w:t>Profit</w:t>
            </w:r>
          </w:p>
        </w:tc>
        <w:tc>
          <w:tcPr>
            <w:tcW w:w="0" w:type="dxa"/>
            <w:vAlign w:val="bottom"/>
          </w:tcPr>
          <w:p>
            <w:pPr>
              <w:spacing w:after="0"/>
              <w:rPr>
                <w:sz w:val="1"/>
                <w:szCs w:val="1"/>
                <w:color w:val="auto"/>
              </w:rPr>
            </w:pPr>
          </w:p>
        </w:tc>
      </w:tr>
      <w:tr>
        <w:trPr>
          <w:trHeight w:val="192"/>
        </w:trPr>
        <w:tc>
          <w:tcPr>
            <w:tcW w:w="66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Organic</w:t>
            </w:r>
          </w:p>
        </w:tc>
        <w:tc>
          <w:tcPr>
            <w:tcW w:w="1160" w:type="dxa"/>
            <w:vAlign w:val="bottom"/>
            <w:tcBorders>
              <w:bottom w:val="single" w:sz="8" w:color="888B8D"/>
            </w:tcBorders>
          </w:tcPr>
          <w:p>
            <w:pPr>
              <w:jc w:val="right"/>
              <w:ind w:right="148"/>
              <w:spacing w:after="0"/>
              <w:rPr>
                <w:sz w:val="20"/>
                <w:szCs w:val="20"/>
                <w:color w:val="auto"/>
              </w:rPr>
            </w:pPr>
            <w:r>
              <w:rPr>
                <w:rFonts w:ascii="Arial" w:cs="Arial" w:eastAsia="Arial" w:hAnsi="Arial"/>
                <w:sz w:val="14"/>
                <w:szCs w:val="14"/>
                <w:color w:val="auto"/>
              </w:rPr>
              <w:t>(7)%</w:t>
            </w:r>
          </w:p>
        </w:tc>
        <w:tc>
          <w:tcPr>
            <w:tcW w:w="10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(11)%</w:t>
            </w:r>
          </w:p>
        </w:tc>
        <w:tc>
          <w:tcPr>
            <w:tcW w:w="220" w:type="dxa"/>
            <w:vAlign w:val="bottom"/>
            <w:tcBorders>
              <w:bottom w:val="single" w:sz="8" w:color="888B8D"/>
            </w:tcBorders>
          </w:tcPr>
          <w:p>
            <w:pPr>
              <w:spacing w:after="0"/>
              <w:rPr>
                <w:sz w:val="16"/>
                <w:szCs w:val="16"/>
                <w:color w:val="auto"/>
              </w:rPr>
            </w:pPr>
          </w:p>
        </w:tc>
        <w:tc>
          <w:tcPr>
            <w:tcW w:w="1160" w:type="dxa"/>
            <w:vAlign w:val="bottom"/>
            <w:tcBorders>
              <w:bottom w:val="single" w:sz="8" w:color="888B8D"/>
            </w:tcBorders>
          </w:tcPr>
          <w:p>
            <w:pPr>
              <w:jc w:val="right"/>
              <w:ind w:right="148"/>
              <w:spacing w:after="0"/>
              <w:rPr>
                <w:sz w:val="20"/>
                <w:szCs w:val="20"/>
                <w:color w:val="auto"/>
              </w:rPr>
            </w:pPr>
            <w:r>
              <w:rPr>
                <w:rFonts w:ascii="Arial" w:cs="Arial" w:eastAsia="Arial" w:hAnsi="Arial"/>
                <w:sz w:val="14"/>
                <w:szCs w:val="14"/>
                <w:color w:val="auto"/>
              </w:rPr>
              <w:t>(8)%</w:t>
            </w:r>
          </w:p>
        </w:tc>
        <w:tc>
          <w:tcPr>
            <w:tcW w:w="102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3 %</w:t>
            </w:r>
          </w:p>
        </w:tc>
        <w:tc>
          <w:tcPr>
            <w:tcW w:w="0" w:type="dxa"/>
            <w:vAlign w:val="bottom"/>
          </w:tcPr>
          <w:p>
            <w:pPr>
              <w:spacing w:after="0"/>
              <w:rPr>
                <w:sz w:val="1"/>
                <w:szCs w:val="1"/>
                <w:color w:val="auto"/>
              </w:rPr>
            </w:pPr>
          </w:p>
        </w:tc>
      </w:tr>
      <w:tr>
        <w:trPr>
          <w:trHeight w:val="196"/>
        </w:trPr>
        <w:tc>
          <w:tcPr>
            <w:tcW w:w="66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Foreign currency translation</w:t>
            </w:r>
          </w:p>
        </w:tc>
        <w:tc>
          <w:tcPr>
            <w:tcW w:w="1160" w:type="dxa"/>
            <w:vAlign w:val="bottom"/>
            <w:tcBorders>
              <w:bottom w:val="single" w:sz="8" w:color="888B8D"/>
            </w:tcBorders>
          </w:tcPr>
          <w:p>
            <w:pPr>
              <w:jc w:val="right"/>
              <w:ind w:right="148"/>
              <w:spacing w:after="0"/>
              <w:rPr>
                <w:sz w:val="20"/>
                <w:szCs w:val="20"/>
                <w:color w:val="auto"/>
              </w:rPr>
            </w:pPr>
            <w:r>
              <w:rPr>
                <w:rFonts w:ascii="Arial" w:cs="Arial" w:eastAsia="Arial" w:hAnsi="Arial"/>
                <w:sz w:val="14"/>
                <w:szCs w:val="14"/>
                <w:color w:val="auto"/>
              </w:rPr>
              <w:t>(1)%</w:t>
            </w:r>
          </w:p>
        </w:tc>
        <w:tc>
          <w:tcPr>
            <w:tcW w:w="10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w:t>
            </w:r>
          </w:p>
        </w:tc>
        <w:tc>
          <w:tcPr>
            <w:tcW w:w="220" w:type="dxa"/>
            <w:vAlign w:val="bottom"/>
            <w:tcBorders>
              <w:bottom w:val="single" w:sz="8" w:color="888B8D"/>
            </w:tcBorders>
          </w:tcPr>
          <w:p>
            <w:pPr>
              <w:spacing w:after="0"/>
              <w:rPr>
                <w:sz w:val="17"/>
                <w:szCs w:val="17"/>
                <w:color w:val="auto"/>
              </w:rPr>
            </w:pPr>
          </w:p>
        </w:tc>
        <w:tc>
          <w:tcPr>
            <w:tcW w:w="1160" w:type="dxa"/>
            <w:vAlign w:val="bottom"/>
            <w:tcBorders>
              <w:bottom w:val="single" w:sz="8" w:color="888B8D"/>
            </w:tcBorders>
          </w:tcPr>
          <w:p>
            <w:pPr>
              <w:jc w:val="right"/>
              <w:ind w:right="148"/>
              <w:spacing w:after="0"/>
              <w:rPr>
                <w:sz w:val="20"/>
                <w:szCs w:val="20"/>
                <w:color w:val="auto"/>
              </w:rPr>
            </w:pPr>
            <w:r>
              <w:rPr>
                <w:rFonts w:ascii="Arial" w:cs="Arial" w:eastAsia="Arial" w:hAnsi="Arial"/>
                <w:sz w:val="14"/>
                <w:szCs w:val="14"/>
                <w:color w:val="auto"/>
              </w:rPr>
              <w:t>(1)%</w:t>
            </w:r>
          </w:p>
        </w:tc>
        <w:tc>
          <w:tcPr>
            <w:tcW w:w="102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6"/>
        </w:trPr>
        <w:tc>
          <w:tcPr>
            <w:tcW w:w="66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Acquisitions, divestitures, and other, net</w:t>
            </w:r>
          </w:p>
        </w:tc>
        <w:tc>
          <w:tcPr>
            <w:tcW w:w="116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color w:val="auto"/>
              </w:rPr>
              <w:t>1 %</w:t>
            </w:r>
          </w:p>
        </w:tc>
        <w:tc>
          <w:tcPr>
            <w:tcW w:w="10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1 %</w:t>
            </w:r>
          </w:p>
        </w:tc>
        <w:tc>
          <w:tcPr>
            <w:tcW w:w="220" w:type="dxa"/>
            <w:vAlign w:val="bottom"/>
            <w:tcBorders>
              <w:bottom w:val="single" w:sz="8" w:color="D7282F"/>
            </w:tcBorders>
          </w:tcPr>
          <w:p>
            <w:pPr>
              <w:spacing w:after="0"/>
              <w:rPr>
                <w:sz w:val="17"/>
                <w:szCs w:val="17"/>
                <w:color w:val="auto"/>
              </w:rPr>
            </w:pPr>
          </w:p>
        </w:tc>
        <w:tc>
          <w:tcPr>
            <w:tcW w:w="116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color w:val="auto"/>
              </w:rPr>
              <w:t>1 %</w:t>
            </w:r>
          </w:p>
        </w:tc>
        <w:tc>
          <w:tcPr>
            <w:tcW w:w="10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1 %</w:t>
            </w:r>
          </w:p>
        </w:tc>
        <w:tc>
          <w:tcPr>
            <w:tcW w:w="0" w:type="dxa"/>
            <w:vAlign w:val="bottom"/>
          </w:tcPr>
          <w:p>
            <w:pPr>
              <w:spacing w:after="0"/>
              <w:rPr>
                <w:sz w:val="1"/>
                <w:szCs w:val="1"/>
                <w:color w:val="auto"/>
              </w:rPr>
            </w:pPr>
          </w:p>
        </w:tc>
      </w:tr>
      <w:tr>
        <w:trPr>
          <w:trHeight w:val="199"/>
        </w:trPr>
        <w:tc>
          <w:tcPr>
            <w:tcW w:w="668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 change</w:t>
            </w:r>
          </w:p>
        </w:tc>
        <w:tc>
          <w:tcPr>
            <w:tcW w:w="116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(7)%</w:t>
            </w:r>
          </w:p>
        </w:tc>
        <w:tc>
          <w:tcPr>
            <w:tcW w:w="10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(11)%</w:t>
            </w:r>
          </w:p>
        </w:tc>
        <w:tc>
          <w:tcPr>
            <w:tcW w:w="220" w:type="dxa"/>
            <w:vAlign w:val="bottom"/>
            <w:tcBorders>
              <w:bottom w:val="single" w:sz="8" w:color="D7282F"/>
            </w:tcBorders>
          </w:tcPr>
          <w:p>
            <w:pPr>
              <w:spacing w:after="0"/>
              <w:rPr>
                <w:sz w:val="17"/>
                <w:szCs w:val="17"/>
                <w:color w:val="auto"/>
              </w:rPr>
            </w:pPr>
          </w:p>
        </w:tc>
        <w:tc>
          <w:tcPr>
            <w:tcW w:w="116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(8)%</w:t>
            </w:r>
          </w:p>
        </w:tc>
        <w:tc>
          <w:tcPr>
            <w:tcW w:w="10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3 %</w:t>
            </w: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2024 compared with 2023</w:t>
      </w:r>
    </w:p>
    <w:p>
      <w:pPr>
        <w:spacing w:after="0" w:line="2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Sales decreased $705 million due to lower organic sales of $527 million in Warehouse and Workflow Solutions driven by lower demand for projects and lower organic sales of $155 million in Sensing and Safety Technologies driven by lower demand for personal protective equipment.</w:t>
      </w:r>
    </w:p>
    <w:p>
      <w:pPr>
        <w:spacing w:after="0" w:line="77"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color w:val="auto"/>
        </w:rPr>
        <w:t>During the second quarter of 2022, our Productivity Solutions and Services business entered into a license and settlement agreement (the Agreement). Under the Agreement, we received $360 million, paid in equal quarterly installments over eight quarters, beginning with the second quarter of 2022 and ending with the first quarter of 2024. The Agreement provides each party a license to its existing patent portfolio for use by the other party’s existing products and resolved the patent-related litigation between the parties.</w:t>
      </w:r>
    </w:p>
    <w:p>
      <w:pPr>
        <w:spacing w:after="0" w:line="65"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Segment profit decreased $247 million and segment margin percentage decreased 100 basis points to 19.5% compared to 20.5% for the same period in 2023.</w:t>
      </w:r>
    </w:p>
    <w:p>
      <w:pPr>
        <w:spacing w:after="0" w:line="291"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On November 22, 2024, we announced an agreement to sell our PPE business for $1.3 billion, with the assets and liabilities of the business classified as held for sale until the closing date of the sale. The transaction is expected to be completed in the first half of 2025.</w:t>
      </w:r>
    </w:p>
    <w:p>
      <w:pPr>
        <w:spacing w:after="0" w:line="373" w:lineRule="exact"/>
        <w:rPr>
          <w:sz w:val="20"/>
          <w:szCs w:val="20"/>
          <w:color w:val="auto"/>
        </w:rPr>
      </w:pPr>
    </w:p>
    <w:p>
      <w:pPr>
        <w:ind w:left="400" w:hanging="392"/>
        <w:spacing w:after="0"/>
        <w:tabs>
          <w:tab w:leader="none" w:pos="400" w:val="left"/>
        </w:tabs>
        <w:numPr>
          <w:ilvl w:val="0"/>
          <w:numId w:val="61"/>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26" w:name="page27"/>
    <w:bookmarkEnd w:id="26"/>
    <w:p>
      <w:pPr>
        <w:ind w:left="20"/>
        <w:spacing w:after="0"/>
        <w:tabs>
          <w:tab w:leader="none" w:pos="908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REVIEW OF BUSINESS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9"/>
          <w:szCs w:val="29"/>
          <w:color w:val="D7282F"/>
        </w:rPr>
        <w:t>BUILDING AUTOMATION</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2070735</wp:posOffset>
            </wp:positionH>
            <wp:positionV relativeFrom="paragraph">
              <wp:posOffset>80645</wp:posOffset>
            </wp:positionV>
            <wp:extent cx="3000375" cy="28803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3000375" cy="288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40" w:type="dxa"/>
            <w:vAlign w:val="bottom"/>
            <w:gridSpan w:val="3"/>
          </w:tcPr>
          <w:p>
            <w:pPr>
              <w:jc w:val="center"/>
              <w:ind w:left="48"/>
              <w:spacing w:after="0"/>
              <w:rPr>
                <w:sz w:val="20"/>
                <w:szCs w:val="20"/>
                <w:color w:val="auto"/>
              </w:rPr>
            </w:pPr>
            <w:r>
              <w:rPr>
                <w:rFonts w:ascii="Arial" w:cs="Arial" w:eastAsia="Arial" w:hAnsi="Arial"/>
                <w:sz w:val="14"/>
                <w:szCs w:val="14"/>
                <w:b w:val="1"/>
                <w:bCs w:val="1"/>
                <w:color w:val="auto"/>
              </w:rPr>
              <w:t>Change</w:t>
            </w: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0" w:type="dxa"/>
            <w:vAlign w:val="bottom"/>
          </w:tcPr>
          <w:p>
            <w:pPr>
              <w:jc w:val="center"/>
              <w:ind w:left="4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4"/>
        </w:trPr>
        <w:tc>
          <w:tcPr>
            <w:tcW w:w="49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tcPr>
          <w:p>
            <w:pPr>
              <w:jc w:val="center"/>
              <w:ind w:left="448"/>
              <w:spacing w:after="0" w:line="145" w:lineRule="exact"/>
              <w:rPr>
                <w:sz w:val="20"/>
                <w:szCs w:val="20"/>
                <w:color w:val="auto"/>
              </w:rPr>
            </w:pPr>
            <w:r>
              <w:rPr>
                <w:rFonts w:ascii="Arial" w:cs="Arial" w:eastAsia="Arial" w:hAnsi="Arial"/>
                <w:sz w:val="14"/>
                <w:szCs w:val="14"/>
                <w:b w:val="1"/>
                <w:bCs w:val="1"/>
                <w:color w:val="auto"/>
              </w:rPr>
              <w:t>2024</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tcPr>
          <w:p>
            <w:pPr>
              <w:jc w:val="center"/>
              <w:ind w:left="48"/>
              <w:spacing w:after="0" w:line="145" w:lineRule="exact"/>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39"/>
        </w:trPr>
        <w:tc>
          <w:tcPr>
            <w:tcW w:w="49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54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2024</w:t>
            </w:r>
          </w:p>
        </w:tc>
        <w:tc>
          <w:tcPr>
            <w:tcW w:w="400" w:type="dxa"/>
            <w:vAlign w:val="bottom"/>
          </w:tcPr>
          <w:p>
            <w:pPr>
              <w:spacing w:after="0"/>
              <w:rPr>
                <w:sz w:val="12"/>
                <w:szCs w:val="12"/>
                <w:color w:val="auto"/>
              </w:rPr>
            </w:pPr>
          </w:p>
        </w:tc>
        <w:tc>
          <w:tcPr>
            <w:tcW w:w="64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2023</w:t>
            </w:r>
          </w:p>
        </w:tc>
        <w:tc>
          <w:tcPr>
            <w:tcW w:w="1240" w:type="dxa"/>
            <w:vAlign w:val="bottom"/>
            <w:gridSpan w:val="3"/>
          </w:tcPr>
          <w:p>
            <w:pPr>
              <w:jc w:val="center"/>
              <w:ind w:left="48"/>
              <w:spacing w:after="0" w:line="139" w:lineRule="exact"/>
              <w:rPr>
                <w:sz w:val="20"/>
                <w:szCs w:val="20"/>
                <w:color w:val="auto"/>
              </w:rPr>
            </w:pPr>
            <w:r>
              <w:rPr>
                <w:rFonts w:ascii="Arial" w:cs="Arial" w:eastAsia="Arial" w:hAnsi="Arial"/>
                <w:sz w:val="14"/>
                <w:szCs w:val="14"/>
                <w:b w:val="1"/>
                <w:bCs w:val="1"/>
                <w:color w:val="auto"/>
              </w:rPr>
              <w:t>vs.</w:t>
            </w:r>
          </w:p>
        </w:tc>
        <w:tc>
          <w:tcPr>
            <w:tcW w:w="280" w:type="dxa"/>
            <w:vAlign w:val="bottom"/>
          </w:tcPr>
          <w:p>
            <w:pPr>
              <w:spacing w:after="0"/>
              <w:rPr>
                <w:sz w:val="12"/>
                <w:szCs w:val="12"/>
                <w:color w:val="auto"/>
              </w:rPr>
            </w:pPr>
          </w:p>
        </w:tc>
        <w:tc>
          <w:tcPr>
            <w:tcW w:w="72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2022</w:t>
            </w:r>
          </w:p>
        </w:tc>
        <w:tc>
          <w:tcPr>
            <w:tcW w:w="1000" w:type="dxa"/>
            <w:vAlign w:val="bottom"/>
          </w:tcPr>
          <w:p>
            <w:pPr>
              <w:jc w:val="center"/>
              <w:ind w:left="48"/>
              <w:spacing w:after="0" w:line="139" w:lineRule="exact"/>
              <w:rPr>
                <w:sz w:val="20"/>
                <w:szCs w:val="20"/>
                <w:color w:val="auto"/>
              </w:rPr>
            </w:pPr>
            <w:r>
              <w:rPr>
                <w:rFonts w:ascii="Arial" w:cs="Arial" w:eastAsia="Arial" w:hAnsi="Arial"/>
                <w:sz w:val="14"/>
                <w:szCs w:val="14"/>
                <w:b w:val="1"/>
                <w:bCs w:val="1"/>
                <w:color w:val="auto"/>
              </w:rPr>
              <w:t>vs.</w:t>
            </w:r>
          </w:p>
        </w:tc>
        <w:tc>
          <w:tcPr>
            <w:tcW w:w="0" w:type="dxa"/>
            <w:vAlign w:val="bottom"/>
          </w:tcPr>
          <w:p>
            <w:pPr>
              <w:spacing w:after="0"/>
              <w:rPr>
                <w:sz w:val="1"/>
                <w:szCs w:val="1"/>
                <w:color w:val="auto"/>
              </w:rPr>
            </w:pPr>
          </w:p>
        </w:tc>
      </w:tr>
      <w:tr>
        <w:trPr>
          <w:trHeight w:val="197"/>
        </w:trPr>
        <w:tc>
          <w:tcPr>
            <w:tcW w:w="4900" w:type="dxa"/>
            <w:vAlign w:val="bottom"/>
            <w:tcBorders>
              <w:bottom w:val="single" w:sz="8" w:color="D7282F"/>
            </w:tcBorders>
          </w:tcPr>
          <w:p>
            <w:pPr>
              <w:spacing w:after="0"/>
              <w:rPr>
                <w:sz w:val="17"/>
                <w:szCs w:val="17"/>
                <w:color w:val="auto"/>
              </w:rPr>
            </w:pPr>
          </w:p>
        </w:tc>
        <w:tc>
          <w:tcPr>
            <w:tcW w:w="1520" w:type="dxa"/>
            <w:vAlign w:val="bottom"/>
            <w:tcBorders>
              <w:bottom w:val="single" w:sz="8" w:color="D7282F"/>
            </w:tcBorders>
          </w:tcPr>
          <w:p>
            <w:pPr>
              <w:spacing w:after="0"/>
              <w:rPr>
                <w:sz w:val="17"/>
                <w:szCs w:val="17"/>
                <w:color w:val="auto"/>
              </w:rPr>
            </w:pPr>
          </w:p>
        </w:tc>
        <w:tc>
          <w:tcPr>
            <w:tcW w:w="540" w:type="dxa"/>
            <w:vAlign w:val="bottom"/>
            <w:tcBorders>
              <w:bottom w:val="single" w:sz="8" w:color="D7282F"/>
            </w:tcBorders>
            <w:gridSpan w:val="2"/>
            <w:vMerge w:val="continue"/>
          </w:tcPr>
          <w:p>
            <w:pPr>
              <w:spacing w:after="0"/>
              <w:rPr>
                <w:sz w:val="17"/>
                <w:szCs w:val="17"/>
                <w:color w:val="auto"/>
              </w:rPr>
            </w:pPr>
          </w:p>
        </w:tc>
        <w:tc>
          <w:tcPr>
            <w:tcW w:w="400" w:type="dxa"/>
            <w:vAlign w:val="bottom"/>
            <w:tcBorders>
              <w:bottom w:val="single" w:sz="8" w:color="D7282F"/>
            </w:tcBorders>
          </w:tcPr>
          <w:p>
            <w:pPr>
              <w:spacing w:after="0"/>
              <w:rPr>
                <w:sz w:val="17"/>
                <w:szCs w:val="17"/>
                <w:color w:val="auto"/>
              </w:rPr>
            </w:pPr>
          </w:p>
        </w:tc>
        <w:tc>
          <w:tcPr>
            <w:tcW w:w="640" w:type="dxa"/>
            <w:vAlign w:val="bottom"/>
            <w:tcBorders>
              <w:bottom w:val="single" w:sz="8" w:color="D7282F"/>
            </w:tcBorders>
            <w:vMerge w:val="continue"/>
          </w:tcPr>
          <w:p>
            <w:pPr>
              <w:spacing w:after="0"/>
              <w:rPr>
                <w:sz w:val="17"/>
                <w:szCs w:val="17"/>
                <w:color w:val="auto"/>
              </w:rPr>
            </w:pPr>
          </w:p>
        </w:tc>
        <w:tc>
          <w:tcPr>
            <w:tcW w:w="840" w:type="dxa"/>
            <w:vAlign w:val="bottom"/>
            <w:tcBorders>
              <w:bottom w:val="single" w:sz="8" w:color="D7282F"/>
            </w:tcBorders>
          </w:tcPr>
          <w:p>
            <w:pPr>
              <w:jc w:val="center"/>
              <w:ind w:left="448"/>
              <w:spacing w:after="0"/>
              <w:rPr>
                <w:sz w:val="20"/>
                <w:szCs w:val="20"/>
                <w:color w:val="auto"/>
              </w:rPr>
            </w:pPr>
            <w:r>
              <w:rPr>
                <w:rFonts w:ascii="Arial" w:cs="Arial" w:eastAsia="Arial" w:hAnsi="Arial"/>
                <w:sz w:val="14"/>
                <w:szCs w:val="14"/>
                <w:b w:val="1"/>
                <w:bCs w:val="1"/>
                <w:color w:val="auto"/>
              </w:rPr>
              <w:t>2023</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28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vMerge w:val="continue"/>
          </w:tcPr>
          <w:p>
            <w:pPr>
              <w:spacing w:after="0"/>
              <w:rPr>
                <w:sz w:val="17"/>
                <w:szCs w:val="17"/>
                <w:color w:val="auto"/>
              </w:rPr>
            </w:pPr>
          </w:p>
        </w:tc>
        <w:tc>
          <w:tcPr>
            <w:tcW w:w="1000" w:type="dxa"/>
            <w:vAlign w:val="bottom"/>
            <w:tcBorders>
              <w:bottom w:val="single" w:sz="8" w:color="D7282F"/>
            </w:tcBorders>
          </w:tcPr>
          <w:p>
            <w:pPr>
              <w:jc w:val="center"/>
              <w:ind w:left="48"/>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93"/>
        </w:trPr>
        <w:tc>
          <w:tcPr>
            <w:tcW w:w="49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Net sales</w:t>
            </w:r>
          </w:p>
        </w:tc>
        <w:tc>
          <w:tcPr>
            <w:tcW w:w="15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61656A"/>
            </w:tcBorders>
            <w:gridSpan w:val="2"/>
          </w:tcPr>
          <w:p>
            <w:pPr>
              <w:jc w:val="right"/>
              <w:ind w:right="20"/>
              <w:spacing w:after="0"/>
              <w:rPr>
                <w:sz w:val="20"/>
                <w:szCs w:val="20"/>
                <w:color w:val="auto"/>
              </w:rPr>
            </w:pPr>
            <w:r>
              <w:rPr>
                <w:rFonts w:ascii="Arial" w:cs="Arial" w:eastAsia="Arial" w:hAnsi="Arial"/>
                <w:sz w:val="14"/>
                <w:szCs w:val="14"/>
                <w:color w:val="auto"/>
              </w:rPr>
              <w:t>6,540</w:t>
            </w:r>
          </w:p>
        </w:tc>
        <w:tc>
          <w:tcPr>
            <w:tcW w:w="4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6,031</w:t>
            </w:r>
          </w:p>
        </w:tc>
        <w:tc>
          <w:tcPr>
            <w:tcW w:w="1240" w:type="dxa"/>
            <w:vAlign w:val="bottom"/>
            <w:tcBorders>
              <w:bottom w:val="single" w:sz="8" w:color="61656A"/>
            </w:tcBorders>
            <w:gridSpan w:val="3"/>
          </w:tcPr>
          <w:p>
            <w:pPr>
              <w:jc w:val="right"/>
              <w:ind w:right="140"/>
              <w:spacing w:after="0"/>
              <w:rPr>
                <w:sz w:val="20"/>
                <w:szCs w:val="20"/>
                <w:color w:val="auto"/>
              </w:rPr>
            </w:pPr>
            <w:r>
              <w:rPr>
                <w:rFonts w:ascii="Arial" w:cs="Arial" w:eastAsia="Arial" w:hAnsi="Arial"/>
                <w:sz w:val="14"/>
                <w:szCs w:val="14"/>
                <w:color w:val="auto"/>
              </w:rPr>
              <w:t>8 %</w:t>
            </w:r>
          </w:p>
        </w:tc>
        <w:tc>
          <w:tcPr>
            <w:tcW w:w="280" w:type="dxa"/>
            <w:vAlign w:val="bottom"/>
            <w:tcBorders>
              <w:bottom w:val="single" w:sz="8" w:color="61656A"/>
            </w:tcBorders>
          </w:tcPr>
          <w:p>
            <w:pPr>
              <w:ind w:left="12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61656A"/>
            </w:tcBorders>
          </w:tcPr>
          <w:p>
            <w:pPr>
              <w:ind w:left="180"/>
              <w:spacing w:after="0"/>
              <w:rPr>
                <w:sz w:val="20"/>
                <w:szCs w:val="20"/>
                <w:color w:val="auto"/>
              </w:rPr>
            </w:pPr>
            <w:r>
              <w:rPr>
                <w:rFonts w:ascii="Arial" w:cs="Arial" w:eastAsia="Arial" w:hAnsi="Arial"/>
                <w:sz w:val="14"/>
                <w:szCs w:val="14"/>
                <w:color w:val="auto"/>
              </w:rPr>
              <w:t>6,000</w:t>
            </w:r>
          </w:p>
        </w:tc>
        <w:tc>
          <w:tcPr>
            <w:tcW w:w="10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1 %</w:t>
            </w:r>
          </w:p>
        </w:tc>
        <w:tc>
          <w:tcPr>
            <w:tcW w:w="0" w:type="dxa"/>
            <w:vAlign w:val="bottom"/>
          </w:tcPr>
          <w:p>
            <w:pPr>
              <w:spacing w:after="0"/>
              <w:rPr>
                <w:sz w:val="1"/>
                <w:szCs w:val="1"/>
                <w:color w:val="auto"/>
              </w:rPr>
            </w:pPr>
          </w:p>
        </w:tc>
      </w:tr>
      <w:tr>
        <w:trPr>
          <w:trHeight w:val="196"/>
        </w:trPr>
        <w:tc>
          <w:tcPr>
            <w:tcW w:w="49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Cost of products and services sold</w:t>
            </w:r>
          </w:p>
        </w:tc>
        <w:tc>
          <w:tcPr>
            <w:tcW w:w="1520" w:type="dxa"/>
            <w:vAlign w:val="bottom"/>
            <w:tcBorders>
              <w:bottom w:val="single" w:sz="8" w:color="61656A"/>
            </w:tcBorders>
          </w:tcPr>
          <w:p>
            <w:pPr>
              <w:spacing w:after="0"/>
              <w:rPr>
                <w:sz w:val="17"/>
                <w:szCs w:val="17"/>
                <w:color w:val="auto"/>
              </w:rPr>
            </w:pPr>
          </w:p>
        </w:tc>
        <w:tc>
          <w:tcPr>
            <w:tcW w:w="540" w:type="dxa"/>
            <w:vAlign w:val="bottom"/>
            <w:tcBorders>
              <w:bottom w:val="single" w:sz="8" w:color="61656A"/>
            </w:tcBorders>
            <w:gridSpan w:val="2"/>
          </w:tcPr>
          <w:p>
            <w:pPr>
              <w:jc w:val="right"/>
              <w:ind w:right="20"/>
              <w:spacing w:after="0"/>
              <w:rPr>
                <w:sz w:val="20"/>
                <w:szCs w:val="20"/>
                <w:color w:val="auto"/>
              </w:rPr>
            </w:pPr>
            <w:r>
              <w:rPr>
                <w:rFonts w:ascii="Arial" w:cs="Arial" w:eastAsia="Arial" w:hAnsi="Arial"/>
                <w:sz w:val="14"/>
                <w:szCs w:val="14"/>
                <w:color w:val="auto"/>
              </w:rPr>
              <w:t>3,482</w:t>
            </w:r>
          </w:p>
        </w:tc>
        <w:tc>
          <w:tcPr>
            <w:tcW w:w="400" w:type="dxa"/>
            <w:vAlign w:val="bottom"/>
            <w:tcBorders>
              <w:bottom w:val="single" w:sz="8" w:color="61656A"/>
            </w:tcBorders>
          </w:tcPr>
          <w:p>
            <w:pPr>
              <w:spacing w:after="0"/>
              <w:rPr>
                <w:sz w:val="17"/>
                <w:szCs w:val="17"/>
                <w:color w:val="auto"/>
              </w:rPr>
            </w:pPr>
          </w:p>
        </w:tc>
        <w:tc>
          <w:tcPr>
            <w:tcW w:w="6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3,240</w:t>
            </w:r>
          </w:p>
        </w:tc>
        <w:tc>
          <w:tcPr>
            <w:tcW w:w="840" w:type="dxa"/>
            <w:vAlign w:val="bottom"/>
            <w:tcBorders>
              <w:bottom w:val="single" w:sz="8" w:color="61656A"/>
            </w:tcBorders>
          </w:tcPr>
          <w:p>
            <w:pPr>
              <w:spacing w:after="0"/>
              <w:rPr>
                <w:sz w:val="17"/>
                <w:szCs w:val="17"/>
                <w:color w:val="auto"/>
              </w:rPr>
            </w:pP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28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ind w:left="180"/>
              <w:spacing w:after="0"/>
              <w:rPr>
                <w:sz w:val="20"/>
                <w:szCs w:val="20"/>
                <w:color w:val="auto"/>
              </w:rPr>
            </w:pPr>
            <w:r>
              <w:rPr>
                <w:rFonts w:ascii="Arial" w:cs="Arial" w:eastAsia="Arial" w:hAnsi="Arial"/>
                <w:sz w:val="14"/>
                <w:szCs w:val="14"/>
                <w:color w:val="auto"/>
              </w:rPr>
              <w:t>3,250</w:t>
            </w:r>
          </w:p>
        </w:tc>
        <w:tc>
          <w:tcPr>
            <w:tcW w:w="1000" w:type="dxa"/>
            <w:vAlign w:val="bottom"/>
            <w:tcBorders>
              <w:bottom w:val="single" w:sz="8" w:color="61656A"/>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0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Selling, general and administrative and other expenses</w:t>
            </w:r>
          </w:p>
        </w:tc>
        <w:tc>
          <w:tcPr>
            <w:tcW w:w="1520" w:type="dxa"/>
            <w:vAlign w:val="bottom"/>
            <w:tcBorders>
              <w:bottom w:val="single" w:sz="8" w:color="D7282F"/>
            </w:tcBorders>
          </w:tcPr>
          <w:p>
            <w:pPr>
              <w:spacing w:after="0"/>
              <w:rPr>
                <w:sz w:val="17"/>
                <w:szCs w:val="17"/>
                <w:color w:val="auto"/>
              </w:rPr>
            </w:pPr>
          </w:p>
        </w:tc>
        <w:tc>
          <w:tcPr>
            <w:tcW w:w="540" w:type="dxa"/>
            <w:vAlign w:val="bottom"/>
            <w:tcBorders>
              <w:bottom w:val="single" w:sz="8" w:color="D7282F"/>
            </w:tcBorders>
            <w:gridSpan w:val="2"/>
          </w:tcPr>
          <w:p>
            <w:pPr>
              <w:jc w:val="right"/>
              <w:ind w:right="20"/>
              <w:spacing w:after="0"/>
              <w:rPr>
                <w:sz w:val="20"/>
                <w:szCs w:val="20"/>
                <w:color w:val="auto"/>
              </w:rPr>
            </w:pPr>
            <w:r>
              <w:rPr>
                <w:rFonts w:ascii="Arial" w:cs="Arial" w:eastAsia="Arial" w:hAnsi="Arial"/>
                <w:sz w:val="14"/>
                <w:szCs w:val="14"/>
                <w:color w:val="auto"/>
              </w:rPr>
              <w:t>1,377</w:t>
            </w:r>
          </w:p>
        </w:tc>
        <w:tc>
          <w:tcPr>
            <w:tcW w:w="400" w:type="dxa"/>
            <w:vAlign w:val="bottom"/>
            <w:tcBorders>
              <w:bottom w:val="single" w:sz="8" w:color="D7282F"/>
            </w:tcBorders>
          </w:tcPr>
          <w:p>
            <w:pPr>
              <w:spacing w:after="0"/>
              <w:rPr>
                <w:sz w:val="17"/>
                <w:szCs w:val="17"/>
                <w:color w:val="auto"/>
              </w:rPr>
            </w:pPr>
          </w:p>
        </w:tc>
        <w:tc>
          <w:tcPr>
            <w:tcW w:w="6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1,262</w:t>
            </w:r>
          </w:p>
        </w:tc>
        <w:tc>
          <w:tcPr>
            <w:tcW w:w="840" w:type="dxa"/>
            <w:vAlign w:val="bottom"/>
            <w:tcBorders>
              <w:bottom w:val="single" w:sz="8" w:color="D7282F"/>
            </w:tcBorders>
          </w:tcPr>
          <w:p>
            <w:pPr>
              <w:spacing w:after="0"/>
              <w:rPr>
                <w:sz w:val="17"/>
                <w:szCs w:val="17"/>
                <w:color w:val="auto"/>
              </w:rPr>
            </w:pP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28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ind w:left="180"/>
              <w:spacing w:after="0"/>
              <w:rPr>
                <w:sz w:val="20"/>
                <w:szCs w:val="20"/>
                <w:color w:val="auto"/>
              </w:rPr>
            </w:pPr>
            <w:r>
              <w:rPr>
                <w:rFonts w:ascii="Arial" w:cs="Arial" w:eastAsia="Arial" w:hAnsi="Arial"/>
                <w:sz w:val="14"/>
                <w:szCs w:val="14"/>
                <w:color w:val="auto"/>
              </w:rPr>
              <w:t>1,286</w:t>
            </w:r>
          </w:p>
        </w:tc>
        <w:tc>
          <w:tcPr>
            <w:tcW w:w="1000" w:type="dxa"/>
            <w:vAlign w:val="bottom"/>
            <w:tcBorders>
              <w:bottom w:val="single" w:sz="8" w:color="D7282F"/>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90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Segment profit</w:t>
            </w:r>
          </w:p>
        </w:tc>
        <w:tc>
          <w:tcPr>
            <w:tcW w:w="15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D7282F"/>
            </w:tcBorders>
            <w:gridSpan w:val="2"/>
          </w:tcPr>
          <w:p>
            <w:pPr>
              <w:jc w:val="right"/>
              <w:ind w:right="20"/>
              <w:spacing w:after="0"/>
              <w:rPr>
                <w:sz w:val="20"/>
                <w:szCs w:val="20"/>
                <w:color w:val="auto"/>
              </w:rPr>
            </w:pPr>
            <w:r>
              <w:rPr>
                <w:rFonts w:ascii="Arial" w:cs="Arial" w:eastAsia="Arial" w:hAnsi="Arial"/>
                <w:sz w:val="14"/>
                <w:szCs w:val="14"/>
                <w:b w:val="1"/>
                <w:bCs w:val="1"/>
                <w:color w:val="auto"/>
              </w:rPr>
              <w:t>1,681</w:t>
            </w:r>
          </w:p>
        </w:tc>
        <w:tc>
          <w:tcPr>
            <w:tcW w:w="4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1,529</w:t>
            </w:r>
          </w:p>
        </w:tc>
        <w:tc>
          <w:tcPr>
            <w:tcW w:w="1240" w:type="dxa"/>
            <w:vAlign w:val="bottom"/>
            <w:tcBorders>
              <w:bottom w:val="single" w:sz="8" w:color="D7282F"/>
            </w:tcBorders>
            <w:gridSpan w:val="3"/>
          </w:tcPr>
          <w:p>
            <w:pPr>
              <w:jc w:val="right"/>
              <w:ind w:right="140"/>
              <w:spacing w:after="0"/>
              <w:rPr>
                <w:sz w:val="20"/>
                <w:szCs w:val="20"/>
                <w:color w:val="auto"/>
              </w:rPr>
            </w:pPr>
            <w:r>
              <w:rPr>
                <w:rFonts w:ascii="Arial" w:cs="Arial" w:eastAsia="Arial" w:hAnsi="Arial"/>
                <w:sz w:val="14"/>
                <w:szCs w:val="14"/>
                <w:b w:val="1"/>
                <w:bCs w:val="1"/>
                <w:color w:val="auto"/>
              </w:rPr>
              <w:t>10 %</w:t>
            </w:r>
          </w:p>
        </w:tc>
        <w:tc>
          <w:tcPr>
            <w:tcW w:w="280" w:type="dxa"/>
            <w:vAlign w:val="bottom"/>
            <w:tcBorders>
              <w:bottom w:val="single" w:sz="8" w:color="D7282F"/>
            </w:tcBorders>
          </w:tcPr>
          <w:p>
            <w:pPr>
              <w:ind w:left="120"/>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D7282F"/>
            </w:tcBorders>
          </w:tcPr>
          <w:p>
            <w:pPr>
              <w:ind w:left="180"/>
              <w:spacing w:after="0"/>
              <w:rPr>
                <w:sz w:val="20"/>
                <w:szCs w:val="20"/>
                <w:color w:val="auto"/>
              </w:rPr>
            </w:pPr>
            <w:r>
              <w:rPr>
                <w:rFonts w:ascii="Arial" w:cs="Arial" w:eastAsia="Arial" w:hAnsi="Arial"/>
                <w:sz w:val="14"/>
                <w:szCs w:val="14"/>
                <w:b w:val="1"/>
                <w:bCs w:val="1"/>
                <w:color w:val="auto"/>
              </w:rPr>
              <w:t>1,464</w:t>
            </w:r>
          </w:p>
        </w:tc>
        <w:tc>
          <w:tcPr>
            <w:tcW w:w="10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4 %</w:t>
            </w:r>
          </w:p>
        </w:tc>
        <w:tc>
          <w:tcPr>
            <w:tcW w:w="0" w:type="dxa"/>
            <w:vAlign w:val="bottom"/>
          </w:tcPr>
          <w:p>
            <w:pPr>
              <w:spacing w:after="0"/>
              <w:rPr>
                <w:sz w:val="1"/>
                <w:szCs w:val="1"/>
                <w:color w:val="auto"/>
              </w:rPr>
            </w:pPr>
          </w:p>
        </w:tc>
      </w:tr>
      <w:tr>
        <w:trPr>
          <w:trHeight w:val="480"/>
        </w:trPr>
        <w:tc>
          <w:tcPr>
            <w:tcW w:w="49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Borders>
              <w:bottom w:val="single" w:sz="8" w:color="D7282F"/>
            </w:tcBorders>
          </w:tcPr>
          <w:p>
            <w:pPr>
              <w:spacing w:after="0"/>
              <w:rPr>
                <w:sz w:val="24"/>
                <w:szCs w:val="24"/>
                <w:color w:val="auto"/>
              </w:rPr>
            </w:pPr>
          </w:p>
        </w:tc>
        <w:tc>
          <w:tcPr>
            <w:tcW w:w="1880" w:type="dxa"/>
            <w:vAlign w:val="bottom"/>
            <w:tcBorders>
              <w:bottom w:val="single" w:sz="8" w:color="D7282F"/>
            </w:tcBorders>
            <w:gridSpan w:val="3"/>
          </w:tcPr>
          <w:p>
            <w:pPr>
              <w:jc w:val="right"/>
              <w:ind w:right="548"/>
              <w:spacing w:after="0"/>
              <w:rPr>
                <w:sz w:val="20"/>
                <w:szCs w:val="20"/>
                <w:color w:val="auto"/>
              </w:rPr>
            </w:pPr>
            <w:r>
              <w:rPr>
                <w:rFonts w:ascii="Arial" w:cs="Arial" w:eastAsia="Arial" w:hAnsi="Arial"/>
                <w:sz w:val="14"/>
                <w:szCs w:val="14"/>
                <w:b w:val="1"/>
                <w:bCs w:val="1"/>
                <w:color w:val="auto"/>
              </w:rPr>
              <w:t>2024 vs. 2023</w:t>
            </w:r>
          </w:p>
        </w:tc>
        <w:tc>
          <w:tcPr>
            <w:tcW w:w="220" w:type="dxa"/>
            <w:vAlign w:val="bottom"/>
          </w:tcPr>
          <w:p>
            <w:pPr>
              <w:spacing w:after="0"/>
              <w:rPr>
                <w:sz w:val="24"/>
                <w:szCs w:val="24"/>
                <w:color w:val="auto"/>
              </w:rPr>
            </w:pPr>
          </w:p>
        </w:tc>
        <w:tc>
          <w:tcPr>
            <w:tcW w:w="180" w:type="dxa"/>
            <w:vAlign w:val="bottom"/>
            <w:tcBorders>
              <w:bottom w:val="single" w:sz="8" w:color="D7282F"/>
            </w:tcBorders>
          </w:tcPr>
          <w:p>
            <w:pPr>
              <w:spacing w:after="0"/>
              <w:rPr>
                <w:sz w:val="24"/>
                <w:szCs w:val="24"/>
                <w:color w:val="auto"/>
              </w:rPr>
            </w:pPr>
          </w:p>
        </w:tc>
        <w:tc>
          <w:tcPr>
            <w:tcW w:w="280" w:type="dxa"/>
            <w:vAlign w:val="bottom"/>
            <w:tcBorders>
              <w:bottom w:val="single" w:sz="8" w:color="D7282F"/>
            </w:tcBorders>
          </w:tcPr>
          <w:p>
            <w:pPr>
              <w:spacing w:after="0"/>
              <w:rPr>
                <w:sz w:val="24"/>
                <w:szCs w:val="24"/>
                <w:color w:val="auto"/>
              </w:rPr>
            </w:pPr>
          </w:p>
        </w:tc>
        <w:tc>
          <w:tcPr>
            <w:tcW w:w="1720" w:type="dxa"/>
            <w:vAlign w:val="bottom"/>
            <w:tcBorders>
              <w:bottom w:val="single" w:sz="8" w:color="D7282F"/>
            </w:tcBorders>
            <w:gridSpan w:val="2"/>
          </w:tcPr>
          <w:p>
            <w:pPr>
              <w:jc w:val="right"/>
              <w:ind w:right="548"/>
              <w:spacing w:after="0"/>
              <w:rPr>
                <w:sz w:val="20"/>
                <w:szCs w:val="20"/>
                <w:color w:val="auto"/>
              </w:rPr>
            </w:pPr>
            <w:r>
              <w:rPr>
                <w:rFonts w:ascii="Arial" w:cs="Arial" w:eastAsia="Arial" w:hAnsi="Arial"/>
                <w:sz w:val="14"/>
                <w:szCs w:val="14"/>
                <w:b w:val="1"/>
                <w:bCs w:val="1"/>
                <w:color w:val="auto"/>
              </w:rPr>
              <w:t>2023 vs. 2022</w:t>
            </w:r>
          </w:p>
        </w:tc>
        <w:tc>
          <w:tcPr>
            <w:tcW w:w="0" w:type="dxa"/>
            <w:vAlign w:val="bottom"/>
          </w:tcPr>
          <w:p>
            <w:pPr>
              <w:spacing w:after="0"/>
              <w:rPr>
                <w:sz w:val="1"/>
                <w:szCs w:val="1"/>
                <w:color w:val="auto"/>
              </w:rPr>
            </w:pPr>
          </w:p>
        </w:tc>
      </w:tr>
      <w:tr>
        <w:trPr>
          <w:trHeight w:val="170"/>
        </w:trPr>
        <w:tc>
          <w:tcPr>
            <w:tcW w:w="49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Factors Contributing to Year-Over-Year Change</w:t>
            </w:r>
          </w:p>
        </w:tc>
        <w:tc>
          <w:tcPr>
            <w:tcW w:w="1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jc w:val="right"/>
              <w:ind w:right="8"/>
              <w:spacing w:after="0"/>
              <w:rPr>
                <w:sz w:val="20"/>
                <w:szCs w:val="20"/>
                <w:color w:val="auto"/>
              </w:rPr>
            </w:pPr>
            <w:r>
              <w:rPr>
                <w:rFonts w:ascii="Arial" w:cs="Arial" w:eastAsia="Arial" w:hAnsi="Arial"/>
                <w:sz w:val="14"/>
                <w:szCs w:val="14"/>
                <w:b w:val="1"/>
                <w:bCs w:val="1"/>
                <w:color w:val="auto"/>
              </w:rPr>
              <w:t>Net</w:t>
            </w:r>
          </w:p>
        </w:tc>
        <w:tc>
          <w:tcPr>
            <w:tcW w:w="640" w:type="dxa"/>
            <w:vAlign w:val="bottom"/>
          </w:tcPr>
          <w:p>
            <w:pPr>
              <w:spacing w:after="0"/>
              <w:rPr>
                <w:sz w:val="14"/>
                <w:szCs w:val="14"/>
                <w:color w:val="auto"/>
              </w:rPr>
            </w:pPr>
          </w:p>
        </w:tc>
        <w:tc>
          <w:tcPr>
            <w:tcW w:w="124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rPr>
              <w:t>Segment</w:t>
            </w:r>
          </w:p>
        </w:tc>
        <w:tc>
          <w:tcPr>
            <w:tcW w:w="1000" w:type="dxa"/>
            <w:vAlign w:val="bottom"/>
            <w:gridSpan w:val="2"/>
          </w:tcPr>
          <w:p>
            <w:pPr>
              <w:jc w:val="right"/>
              <w:ind w:right="508"/>
              <w:spacing w:after="0"/>
              <w:rPr>
                <w:sz w:val="20"/>
                <w:szCs w:val="20"/>
                <w:color w:val="auto"/>
              </w:rPr>
            </w:pPr>
            <w:r>
              <w:rPr>
                <w:rFonts w:ascii="Arial" w:cs="Arial" w:eastAsia="Arial" w:hAnsi="Arial"/>
                <w:sz w:val="14"/>
                <w:szCs w:val="14"/>
                <w:b w:val="1"/>
                <w:bCs w:val="1"/>
                <w:color w:val="auto"/>
              </w:rPr>
              <w:t>Net</w:t>
            </w:r>
          </w:p>
        </w:tc>
        <w:tc>
          <w:tcPr>
            <w:tcW w:w="1000" w:type="dxa"/>
            <w:vAlign w:val="bottom"/>
          </w:tcPr>
          <w:p>
            <w:pPr>
              <w:jc w:val="right"/>
              <w:ind w:right="108"/>
              <w:spacing w:after="0"/>
              <w:rPr>
                <w:sz w:val="20"/>
                <w:szCs w:val="20"/>
                <w:color w:val="auto"/>
              </w:rPr>
            </w:pPr>
            <w:r>
              <w:rPr>
                <w:rFonts w:ascii="Arial" w:cs="Arial" w:eastAsia="Arial" w:hAnsi="Arial"/>
                <w:sz w:val="14"/>
                <w:szCs w:val="14"/>
                <w:b w:val="1"/>
                <w:bCs w:val="1"/>
                <w:color w:val="auto"/>
              </w:rPr>
              <w:t>Segment</w:t>
            </w:r>
          </w:p>
        </w:tc>
        <w:tc>
          <w:tcPr>
            <w:tcW w:w="0" w:type="dxa"/>
            <w:vAlign w:val="bottom"/>
          </w:tcPr>
          <w:p>
            <w:pPr>
              <w:spacing w:after="0"/>
              <w:rPr>
                <w:sz w:val="1"/>
                <w:szCs w:val="1"/>
                <w:color w:val="auto"/>
              </w:rPr>
            </w:pPr>
          </w:p>
        </w:tc>
      </w:tr>
      <w:tr>
        <w:trPr>
          <w:trHeight w:val="189"/>
        </w:trPr>
        <w:tc>
          <w:tcPr>
            <w:tcW w:w="4900" w:type="dxa"/>
            <w:vAlign w:val="bottom"/>
            <w:tcBorders>
              <w:bottom w:val="single" w:sz="8" w:color="D7282F"/>
            </w:tcBorders>
            <w:vMerge w:val="continue"/>
          </w:tcPr>
          <w:p>
            <w:pPr>
              <w:spacing w:after="0"/>
              <w:rPr>
                <w:sz w:val="16"/>
                <w:szCs w:val="16"/>
                <w:color w:val="auto"/>
              </w:rPr>
            </w:pPr>
          </w:p>
        </w:tc>
        <w:tc>
          <w:tcPr>
            <w:tcW w:w="1520" w:type="dxa"/>
            <w:vAlign w:val="bottom"/>
            <w:tcBorders>
              <w:bottom w:val="single" w:sz="8" w:color="D7282F"/>
            </w:tcBorders>
          </w:tcPr>
          <w:p>
            <w:pPr>
              <w:spacing w:after="0"/>
              <w:rPr>
                <w:sz w:val="16"/>
                <w:szCs w:val="16"/>
                <w:color w:val="auto"/>
              </w:rPr>
            </w:pPr>
          </w:p>
        </w:tc>
        <w:tc>
          <w:tcPr>
            <w:tcW w:w="260" w:type="dxa"/>
            <w:vAlign w:val="bottom"/>
            <w:tcBorders>
              <w:bottom w:val="single" w:sz="8" w:color="D7282F"/>
            </w:tcBorders>
          </w:tcPr>
          <w:p>
            <w:pPr>
              <w:spacing w:after="0"/>
              <w:rPr>
                <w:sz w:val="16"/>
                <w:szCs w:val="16"/>
                <w:color w:val="auto"/>
              </w:rPr>
            </w:pPr>
          </w:p>
        </w:tc>
        <w:tc>
          <w:tcPr>
            <w:tcW w:w="280" w:type="dxa"/>
            <w:vAlign w:val="bottom"/>
            <w:tcBorders>
              <w:bottom w:val="single" w:sz="8" w:color="D7282F"/>
            </w:tcBorders>
          </w:tcPr>
          <w:p>
            <w:pPr>
              <w:spacing w:after="0"/>
              <w:rPr>
                <w:sz w:val="16"/>
                <w:szCs w:val="16"/>
                <w:color w:val="auto"/>
              </w:rPr>
            </w:pPr>
          </w:p>
        </w:tc>
        <w:tc>
          <w:tcPr>
            <w:tcW w:w="4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w w:val="98"/>
              </w:rPr>
              <w:t>Sales</w:t>
            </w:r>
          </w:p>
        </w:tc>
        <w:tc>
          <w:tcPr>
            <w:tcW w:w="640" w:type="dxa"/>
            <w:vAlign w:val="bottom"/>
            <w:tcBorders>
              <w:bottom w:val="single" w:sz="8" w:color="D7282F"/>
            </w:tcBorders>
          </w:tcPr>
          <w:p>
            <w:pPr>
              <w:spacing w:after="0"/>
              <w:rPr>
                <w:sz w:val="16"/>
                <w:szCs w:val="16"/>
                <w:color w:val="auto"/>
              </w:rPr>
            </w:pPr>
          </w:p>
        </w:tc>
        <w:tc>
          <w:tcPr>
            <w:tcW w:w="1240" w:type="dxa"/>
            <w:vAlign w:val="bottom"/>
            <w:tcBorders>
              <w:bottom w:val="single" w:sz="8" w:color="D7282F"/>
            </w:tcBorders>
            <w:gridSpan w:val="3"/>
          </w:tcPr>
          <w:p>
            <w:pPr>
              <w:jc w:val="right"/>
              <w:ind w:right="700"/>
              <w:spacing w:after="0"/>
              <w:rPr>
                <w:sz w:val="20"/>
                <w:szCs w:val="20"/>
                <w:color w:val="auto"/>
              </w:rPr>
            </w:pPr>
            <w:r>
              <w:rPr>
                <w:rFonts w:ascii="Arial" w:cs="Arial" w:eastAsia="Arial" w:hAnsi="Arial"/>
                <w:sz w:val="14"/>
                <w:szCs w:val="14"/>
                <w:b w:val="1"/>
                <w:bCs w:val="1"/>
                <w:color w:val="auto"/>
              </w:rPr>
              <w:t>Profit</w:t>
            </w:r>
          </w:p>
        </w:tc>
        <w:tc>
          <w:tcPr>
            <w:tcW w:w="1000" w:type="dxa"/>
            <w:vAlign w:val="bottom"/>
            <w:tcBorders>
              <w:bottom w:val="single" w:sz="8" w:color="D7282F"/>
            </w:tcBorders>
            <w:gridSpan w:val="2"/>
          </w:tcPr>
          <w:p>
            <w:pPr>
              <w:ind w:left="120"/>
              <w:spacing w:after="0"/>
              <w:rPr>
                <w:sz w:val="20"/>
                <w:szCs w:val="20"/>
                <w:color w:val="auto"/>
              </w:rPr>
            </w:pPr>
            <w:r>
              <w:rPr>
                <w:rFonts w:ascii="Arial" w:cs="Arial" w:eastAsia="Arial" w:hAnsi="Arial"/>
                <w:sz w:val="14"/>
                <w:szCs w:val="14"/>
                <w:b w:val="1"/>
                <w:bCs w:val="1"/>
                <w:color w:val="auto"/>
              </w:rPr>
              <w:t>Sales</w:t>
            </w:r>
          </w:p>
        </w:tc>
        <w:tc>
          <w:tcPr>
            <w:tcW w:w="1000" w:type="dxa"/>
            <w:vAlign w:val="bottom"/>
            <w:tcBorders>
              <w:bottom w:val="single" w:sz="8" w:color="D7282F"/>
            </w:tcBorders>
          </w:tcPr>
          <w:p>
            <w:pPr>
              <w:jc w:val="right"/>
              <w:ind w:right="228"/>
              <w:spacing w:after="0"/>
              <w:rPr>
                <w:sz w:val="20"/>
                <w:szCs w:val="20"/>
                <w:color w:val="auto"/>
              </w:rPr>
            </w:pPr>
            <w:r>
              <w:rPr>
                <w:rFonts w:ascii="Arial" w:cs="Arial" w:eastAsia="Arial" w:hAnsi="Arial"/>
                <w:sz w:val="14"/>
                <w:szCs w:val="14"/>
                <w:b w:val="1"/>
                <w:bCs w:val="1"/>
                <w:color w:val="auto"/>
              </w:rPr>
              <w:t>Profit</w:t>
            </w:r>
          </w:p>
        </w:tc>
        <w:tc>
          <w:tcPr>
            <w:tcW w:w="0" w:type="dxa"/>
            <w:vAlign w:val="bottom"/>
          </w:tcPr>
          <w:p>
            <w:pPr>
              <w:spacing w:after="0"/>
              <w:rPr>
                <w:sz w:val="1"/>
                <w:szCs w:val="1"/>
                <w:color w:val="auto"/>
              </w:rPr>
            </w:pPr>
          </w:p>
        </w:tc>
      </w:tr>
      <w:tr>
        <w:trPr>
          <w:trHeight w:val="192"/>
        </w:trPr>
        <w:tc>
          <w:tcPr>
            <w:tcW w:w="49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Organic</w:t>
            </w:r>
          </w:p>
        </w:tc>
        <w:tc>
          <w:tcPr>
            <w:tcW w:w="1520" w:type="dxa"/>
            <w:vAlign w:val="bottom"/>
            <w:tcBorders>
              <w:bottom w:val="single" w:sz="8" w:color="61656A"/>
            </w:tcBorders>
          </w:tcPr>
          <w:p>
            <w:pPr>
              <w:spacing w:after="0"/>
              <w:rPr>
                <w:sz w:val="16"/>
                <w:szCs w:val="16"/>
                <w:color w:val="auto"/>
              </w:rPr>
            </w:pPr>
          </w:p>
        </w:tc>
        <w:tc>
          <w:tcPr>
            <w:tcW w:w="260" w:type="dxa"/>
            <w:vAlign w:val="bottom"/>
            <w:tcBorders>
              <w:bottom w:val="single" w:sz="8" w:color="61656A"/>
            </w:tcBorders>
          </w:tcPr>
          <w:p>
            <w:pPr>
              <w:spacing w:after="0"/>
              <w:rPr>
                <w:sz w:val="16"/>
                <w:szCs w:val="16"/>
                <w:color w:val="auto"/>
              </w:rPr>
            </w:pPr>
          </w:p>
        </w:tc>
        <w:tc>
          <w:tcPr>
            <w:tcW w:w="280" w:type="dxa"/>
            <w:vAlign w:val="bottom"/>
            <w:tcBorders>
              <w:bottom w:val="single" w:sz="8" w:color="61656A"/>
            </w:tcBorders>
          </w:tcPr>
          <w:p>
            <w:pPr>
              <w:spacing w:after="0"/>
              <w:rPr>
                <w:sz w:val="16"/>
                <w:szCs w:val="16"/>
                <w:color w:val="auto"/>
              </w:rPr>
            </w:pPr>
          </w:p>
        </w:tc>
        <w:tc>
          <w:tcPr>
            <w:tcW w:w="400" w:type="dxa"/>
            <w:vAlign w:val="bottom"/>
            <w:tcBorders>
              <w:bottom w:val="single" w:sz="8" w:color="61656A"/>
            </w:tcBorders>
          </w:tcPr>
          <w:p>
            <w:pPr>
              <w:spacing w:after="0"/>
              <w:rPr>
                <w:sz w:val="16"/>
                <w:szCs w:val="16"/>
                <w:color w:val="auto"/>
              </w:rPr>
            </w:pPr>
          </w:p>
        </w:tc>
        <w:tc>
          <w:tcPr>
            <w:tcW w:w="640" w:type="dxa"/>
            <w:vAlign w:val="bottom"/>
            <w:tcBorders>
              <w:bottom w:val="single" w:sz="8" w:color="61656A"/>
            </w:tcBorders>
          </w:tcPr>
          <w:p>
            <w:pPr>
              <w:jc w:val="right"/>
              <w:ind w:right="308"/>
              <w:spacing w:after="0"/>
              <w:rPr>
                <w:sz w:val="20"/>
                <w:szCs w:val="20"/>
                <w:color w:val="auto"/>
              </w:rPr>
            </w:pPr>
            <w:r>
              <w:rPr>
                <w:rFonts w:ascii="Arial" w:cs="Arial" w:eastAsia="Arial" w:hAnsi="Arial"/>
                <w:sz w:val="14"/>
                <w:szCs w:val="14"/>
                <w:color w:val="auto"/>
                <w:w w:val="99"/>
              </w:rPr>
              <w:t>2 %</w:t>
            </w:r>
          </w:p>
        </w:tc>
        <w:tc>
          <w:tcPr>
            <w:tcW w:w="1240" w:type="dxa"/>
            <w:vAlign w:val="bottom"/>
            <w:tcBorders>
              <w:bottom w:val="single" w:sz="8" w:color="61656A"/>
            </w:tcBorders>
            <w:gridSpan w:val="3"/>
          </w:tcPr>
          <w:p>
            <w:pPr>
              <w:jc w:val="right"/>
              <w:ind w:right="420"/>
              <w:spacing w:after="0"/>
              <w:rPr>
                <w:sz w:val="20"/>
                <w:szCs w:val="20"/>
                <w:color w:val="auto"/>
              </w:rPr>
            </w:pPr>
            <w:r>
              <w:rPr>
                <w:rFonts w:ascii="Arial" w:cs="Arial" w:eastAsia="Arial" w:hAnsi="Arial"/>
                <w:sz w:val="14"/>
                <w:szCs w:val="14"/>
                <w:color w:val="auto"/>
              </w:rPr>
              <w:t>— %</w:t>
            </w:r>
          </w:p>
        </w:tc>
        <w:tc>
          <w:tcPr>
            <w:tcW w:w="280" w:type="dxa"/>
            <w:vAlign w:val="bottom"/>
            <w:tcBorders>
              <w:bottom w:val="single" w:sz="8" w:color="61656A"/>
            </w:tcBorders>
          </w:tcPr>
          <w:p>
            <w:pPr>
              <w:spacing w:after="0"/>
              <w:rPr>
                <w:sz w:val="16"/>
                <w:szCs w:val="16"/>
                <w:color w:val="auto"/>
              </w:rPr>
            </w:pPr>
          </w:p>
        </w:tc>
        <w:tc>
          <w:tcPr>
            <w:tcW w:w="72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2 %</w:t>
            </w:r>
          </w:p>
        </w:tc>
        <w:tc>
          <w:tcPr>
            <w:tcW w:w="10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4 %</w:t>
            </w:r>
          </w:p>
        </w:tc>
        <w:tc>
          <w:tcPr>
            <w:tcW w:w="0" w:type="dxa"/>
            <w:vAlign w:val="bottom"/>
          </w:tcPr>
          <w:p>
            <w:pPr>
              <w:spacing w:after="0"/>
              <w:rPr>
                <w:sz w:val="1"/>
                <w:szCs w:val="1"/>
                <w:color w:val="auto"/>
              </w:rPr>
            </w:pPr>
          </w:p>
        </w:tc>
      </w:tr>
      <w:tr>
        <w:trPr>
          <w:trHeight w:val="196"/>
        </w:trPr>
        <w:tc>
          <w:tcPr>
            <w:tcW w:w="49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Foreign currency translation</w:t>
            </w:r>
          </w:p>
        </w:tc>
        <w:tc>
          <w:tcPr>
            <w:tcW w:w="1520" w:type="dxa"/>
            <w:vAlign w:val="bottom"/>
            <w:tcBorders>
              <w:bottom w:val="single" w:sz="8" w:color="61656A"/>
            </w:tcBorders>
          </w:tcPr>
          <w:p>
            <w:pPr>
              <w:spacing w:after="0"/>
              <w:rPr>
                <w:sz w:val="17"/>
                <w:szCs w:val="17"/>
                <w:color w:val="auto"/>
              </w:rPr>
            </w:pPr>
          </w:p>
        </w:tc>
        <w:tc>
          <w:tcPr>
            <w:tcW w:w="260" w:type="dxa"/>
            <w:vAlign w:val="bottom"/>
            <w:tcBorders>
              <w:bottom w:val="single" w:sz="8" w:color="61656A"/>
            </w:tcBorders>
          </w:tcPr>
          <w:p>
            <w:pPr>
              <w:spacing w:after="0"/>
              <w:rPr>
                <w:sz w:val="17"/>
                <w:szCs w:val="17"/>
                <w:color w:val="auto"/>
              </w:rPr>
            </w:pPr>
          </w:p>
        </w:tc>
        <w:tc>
          <w:tcPr>
            <w:tcW w:w="280" w:type="dxa"/>
            <w:vAlign w:val="bottom"/>
            <w:tcBorders>
              <w:bottom w:val="single" w:sz="8" w:color="61656A"/>
            </w:tcBorders>
          </w:tcPr>
          <w:p>
            <w:pPr>
              <w:spacing w:after="0"/>
              <w:rPr>
                <w:sz w:val="17"/>
                <w:szCs w:val="17"/>
                <w:color w:val="auto"/>
              </w:rPr>
            </w:pPr>
          </w:p>
        </w:tc>
        <w:tc>
          <w:tcPr>
            <w:tcW w:w="1040" w:type="dxa"/>
            <w:vAlign w:val="bottom"/>
            <w:tcBorders>
              <w:bottom w:val="single" w:sz="8" w:color="61656A"/>
            </w:tcBorders>
            <w:gridSpan w:val="2"/>
          </w:tcPr>
          <w:p>
            <w:pPr>
              <w:jc w:val="right"/>
              <w:ind w:right="308"/>
              <w:spacing w:after="0"/>
              <w:rPr>
                <w:sz w:val="20"/>
                <w:szCs w:val="20"/>
                <w:color w:val="auto"/>
              </w:rPr>
            </w:pPr>
            <w:r>
              <w:rPr>
                <w:rFonts w:ascii="Arial" w:cs="Arial" w:eastAsia="Arial" w:hAnsi="Arial"/>
                <w:sz w:val="14"/>
                <w:szCs w:val="14"/>
                <w:color w:val="auto"/>
              </w:rPr>
              <w:t>(1)%</w:t>
            </w:r>
          </w:p>
        </w:tc>
        <w:tc>
          <w:tcPr>
            <w:tcW w:w="1240" w:type="dxa"/>
            <w:vAlign w:val="bottom"/>
            <w:tcBorders>
              <w:bottom w:val="single" w:sz="8" w:color="61656A"/>
            </w:tcBorders>
            <w:gridSpan w:val="3"/>
          </w:tcPr>
          <w:p>
            <w:pPr>
              <w:jc w:val="right"/>
              <w:ind w:right="420"/>
              <w:spacing w:after="0"/>
              <w:rPr>
                <w:sz w:val="20"/>
                <w:szCs w:val="20"/>
                <w:color w:val="auto"/>
              </w:rPr>
            </w:pPr>
            <w:r>
              <w:rPr>
                <w:rFonts w:ascii="Arial" w:cs="Arial" w:eastAsia="Arial" w:hAnsi="Arial"/>
                <w:sz w:val="14"/>
                <w:szCs w:val="14"/>
                <w:color w:val="auto"/>
              </w:rPr>
              <w:t>— %</w:t>
            </w:r>
          </w:p>
        </w:tc>
        <w:tc>
          <w:tcPr>
            <w:tcW w:w="28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(1)%</w:t>
            </w:r>
          </w:p>
        </w:tc>
        <w:tc>
          <w:tcPr>
            <w:tcW w:w="10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96"/>
        </w:trPr>
        <w:tc>
          <w:tcPr>
            <w:tcW w:w="490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Acquisitions, divestitures, and other, net</w:t>
            </w:r>
          </w:p>
        </w:tc>
        <w:tc>
          <w:tcPr>
            <w:tcW w:w="1520" w:type="dxa"/>
            <w:vAlign w:val="bottom"/>
            <w:tcBorders>
              <w:bottom w:val="single" w:sz="8" w:color="D7282F"/>
            </w:tcBorders>
          </w:tcPr>
          <w:p>
            <w:pPr>
              <w:spacing w:after="0"/>
              <w:rPr>
                <w:sz w:val="17"/>
                <w:szCs w:val="17"/>
                <w:color w:val="auto"/>
              </w:rPr>
            </w:pPr>
          </w:p>
        </w:tc>
        <w:tc>
          <w:tcPr>
            <w:tcW w:w="260" w:type="dxa"/>
            <w:vAlign w:val="bottom"/>
            <w:tcBorders>
              <w:bottom w:val="single" w:sz="8" w:color="D7282F"/>
            </w:tcBorders>
          </w:tcPr>
          <w:p>
            <w:pPr>
              <w:spacing w:after="0"/>
              <w:rPr>
                <w:sz w:val="17"/>
                <w:szCs w:val="17"/>
                <w:color w:val="auto"/>
              </w:rPr>
            </w:pPr>
          </w:p>
        </w:tc>
        <w:tc>
          <w:tcPr>
            <w:tcW w:w="280" w:type="dxa"/>
            <w:vAlign w:val="bottom"/>
            <w:tcBorders>
              <w:bottom w:val="single" w:sz="8" w:color="D7282F"/>
            </w:tcBorders>
          </w:tcPr>
          <w:p>
            <w:pPr>
              <w:spacing w:after="0"/>
              <w:rPr>
                <w:sz w:val="17"/>
                <w:szCs w:val="17"/>
                <w:color w:val="auto"/>
              </w:rPr>
            </w:pPr>
          </w:p>
        </w:tc>
        <w:tc>
          <w:tcPr>
            <w:tcW w:w="400" w:type="dxa"/>
            <w:vAlign w:val="bottom"/>
            <w:tcBorders>
              <w:bottom w:val="single" w:sz="8" w:color="D7282F"/>
            </w:tcBorders>
          </w:tcPr>
          <w:p>
            <w:pPr>
              <w:spacing w:after="0"/>
              <w:rPr>
                <w:sz w:val="17"/>
                <w:szCs w:val="17"/>
                <w:color w:val="auto"/>
              </w:rPr>
            </w:pPr>
          </w:p>
        </w:tc>
        <w:tc>
          <w:tcPr>
            <w:tcW w:w="640" w:type="dxa"/>
            <w:vAlign w:val="bottom"/>
            <w:tcBorders>
              <w:bottom w:val="single" w:sz="8" w:color="D7282F"/>
            </w:tcBorders>
          </w:tcPr>
          <w:p>
            <w:pPr>
              <w:jc w:val="right"/>
              <w:ind w:right="308"/>
              <w:spacing w:after="0"/>
              <w:rPr>
                <w:sz w:val="20"/>
                <w:szCs w:val="20"/>
                <w:color w:val="auto"/>
              </w:rPr>
            </w:pPr>
            <w:r>
              <w:rPr>
                <w:rFonts w:ascii="Arial" w:cs="Arial" w:eastAsia="Arial" w:hAnsi="Arial"/>
                <w:sz w:val="14"/>
                <w:szCs w:val="14"/>
                <w:color w:val="auto"/>
                <w:w w:val="99"/>
              </w:rPr>
              <w:t>7 %</w:t>
            </w:r>
          </w:p>
        </w:tc>
        <w:tc>
          <w:tcPr>
            <w:tcW w:w="8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10 %</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28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ind w:left="180"/>
              <w:spacing w:after="0"/>
              <w:rPr>
                <w:sz w:val="20"/>
                <w:szCs w:val="20"/>
                <w:color w:val="auto"/>
              </w:rPr>
            </w:pPr>
            <w:r>
              <w:rPr>
                <w:rFonts w:ascii="Arial" w:cs="Arial" w:eastAsia="Arial" w:hAnsi="Arial"/>
                <w:sz w:val="14"/>
                <w:szCs w:val="14"/>
                <w:color w:val="auto"/>
              </w:rPr>
              <w:t>— %</w:t>
            </w:r>
          </w:p>
        </w:tc>
        <w:tc>
          <w:tcPr>
            <w:tcW w:w="10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99"/>
        </w:trPr>
        <w:tc>
          <w:tcPr>
            <w:tcW w:w="490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 change</w:t>
            </w:r>
          </w:p>
        </w:tc>
        <w:tc>
          <w:tcPr>
            <w:tcW w:w="1520" w:type="dxa"/>
            <w:vAlign w:val="bottom"/>
            <w:tcBorders>
              <w:bottom w:val="single" w:sz="8" w:color="D7282F"/>
            </w:tcBorders>
          </w:tcPr>
          <w:p>
            <w:pPr>
              <w:spacing w:after="0"/>
              <w:rPr>
                <w:sz w:val="17"/>
                <w:szCs w:val="17"/>
                <w:color w:val="auto"/>
              </w:rPr>
            </w:pPr>
          </w:p>
        </w:tc>
        <w:tc>
          <w:tcPr>
            <w:tcW w:w="260" w:type="dxa"/>
            <w:vAlign w:val="bottom"/>
            <w:tcBorders>
              <w:bottom w:val="single" w:sz="8" w:color="D7282F"/>
            </w:tcBorders>
          </w:tcPr>
          <w:p>
            <w:pPr>
              <w:spacing w:after="0"/>
              <w:rPr>
                <w:sz w:val="17"/>
                <w:szCs w:val="17"/>
                <w:color w:val="auto"/>
              </w:rPr>
            </w:pPr>
          </w:p>
        </w:tc>
        <w:tc>
          <w:tcPr>
            <w:tcW w:w="280" w:type="dxa"/>
            <w:vAlign w:val="bottom"/>
            <w:tcBorders>
              <w:bottom w:val="single" w:sz="8" w:color="D7282F"/>
            </w:tcBorders>
          </w:tcPr>
          <w:p>
            <w:pPr>
              <w:spacing w:after="0"/>
              <w:rPr>
                <w:sz w:val="17"/>
                <w:szCs w:val="17"/>
                <w:color w:val="auto"/>
              </w:rPr>
            </w:pPr>
          </w:p>
        </w:tc>
        <w:tc>
          <w:tcPr>
            <w:tcW w:w="400" w:type="dxa"/>
            <w:vAlign w:val="bottom"/>
            <w:tcBorders>
              <w:bottom w:val="single" w:sz="8" w:color="D7282F"/>
            </w:tcBorders>
          </w:tcPr>
          <w:p>
            <w:pPr>
              <w:spacing w:after="0"/>
              <w:rPr>
                <w:sz w:val="17"/>
                <w:szCs w:val="17"/>
                <w:color w:val="auto"/>
              </w:rPr>
            </w:pPr>
          </w:p>
        </w:tc>
        <w:tc>
          <w:tcPr>
            <w:tcW w:w="640" w:type="dxa"/>
            <w:vAlign w:val="bottom"/>
            <w:tcBorders>
              <w:bottom w:val="single" w:sz="8" w:color="D7282F"/>
            </w:tcBorders>
          </w:tcPr>
          <w:p>
            <w:pPr>
              <w:jc w:val="right"/>
              <w:ind w:right="308"/>
              <w:spacing w:after="0"/>
              <w:rPr>
                <w:sz w:val="20"/>
                <w:szCs w:val="20"/>
                <w:color w:val="auto"/>
              </w:rPr>
            </w:pPr>
            <w:r>
              <w:rPr>
                <w:rFonts w:ascii="Arial" w:cs="Arial" w:eastAsia="Arial" w:hAnsi="Arial"/>
                <w:sz w:val="14"/>
                <w:szCs w:val="14"/>
                <w:b w:val="1"/>
                <w:bCs w:val="1"/>
                <w:color w:val="auto"/>
                <w:w w:val="99"/>
              </w:rPr>
              <w:t>8 %</w:t>
            </w:r>
          </w:p>
        </w:tc>
        <w:tc>
          <w:tcPr>
            <w:tcW w:w="8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10 %</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28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1 %</w:t>
            </w:r>
          </w:p>
        </w:tc>
        <w:tc>
          <w:tcPr>
            <w:tcW w:w="10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4 %</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2024 compared with 2023</w:t>
      </w:r>
    </w:p>
    <w:p>
      <w:pPr>
        <w:spacing w:after="0" w:line="35"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Sales increased $509 million due to higher organic sales of $245 million in Building Solutions driven by higher demand for building projects and services, partially offset by lower organic sales of $124 million in Products driven by lower demand. The acquisition of Access Solutions contributed $424 million to 2024 sales.</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Segment profit increased $152 million and segment margin percentage increased 30 basis points to 25.7% compared to 25.4% for the same period of 2023.</w:t>
      </w:r>
    </w:p>
    <w:p>
      <w:pPr>
        <w:spacing w:after="0" w:line="200" w:lineRule="exact"/>
        <w:rPr>
          <w:sz w:val="20"/>
          <w:szCs w:val="20"/>
          <w:color w:val="auto"/>
        </w:rPr>
      </w:pPr>
    </w:p>
    <w:p>
      <w:pPr>
        <w:spacing w:after="0" w:line="252" w:lineRule="exact"/>
        <w:rPr>
          <w:sz w:val="20"/>
          <w:szCs w:val="20"/>
          <w:color w:val="auto"/>
        </w:rPr>
      </w:pPr>
    </w:p>
    <w:p>
      <w:pPr>
        <w:ind w:left="400" w:hanging="392"/>
        <w:spacing w:after="0"/>
        <w:tabs>
          <w:tab w:leader="none" w:pos="400" w:val="left"/>
        </w:tabs>
        <w:numPr>
          <w:ilvl w:val="0"/>
          <w:numId w:val="62"/>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27" w:name="page28"/>
    <w:bookmarkEnd w:id="27"/>
    <w:p>
      <w:pPr>
        <w:ind w:left="20"/>
        <w:spacing w:after="0"/>
        <w:tabs>
          <w:tab w:leader="none" w:pos="908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REVIEW OF BUSINESS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9"/>
          <w:szCs w:val="29"/>
          <w:color w:val="D7282F"/>
        </w:rPr>
        <w:t>ENERGY AND SUSTAINABILITY SOLUTIONS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2070735</wp:posOffset>
            </wp:positionH>
            <wp:positionV relativeFrom="paragraph">
              <wp:posOffset>80645</wp:posOffset>
            </wp:positionV>
            <wp:extent cx="3000375" cy="25717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3000375" cy="257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40" w:type="dxa"/>
            <w:vAlign w:val="bottom"/>
            <w:gridSpan w:val="3"/>
          </w:tcPr>
          <w:p>
            <w:pPr>
              <w:jc w:val="center"/>
              <w:ind w:left="48"/>
              <w:spacing w:after="0"/>
              <w:rPr>
                <w:sz w:val="20"/>
                <w:szCs w:val="20"/>
                <w:color w:val="auto"/>
              </w:rPr>
            </w:pPr>
            <w:r>
              <w:rPr>
                <w:rFonts w:ascii="Arial" w:cs="Arial" w:eastAsia="Arial" w:hAnsi="Arial"/>
                <w:sz w:val="14"/>
                <w:szCs w:val="14"/>
                <w:b w:val="1"/>
                <w:bCs w:val="1"/>
                <w:color w:val="auto"/>
              </w:rPr>
              <w:t>Change</w:t>
            </w: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0" w:type="dxa"/>
            <w:vAlign w:val="bottom"/>
          </w:tcPr>
          <w:p>
            <w:pPr>
              <w:jc w:val="center"/>
              <w:ind w:left="4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4"/>
        </w:trPr>
        <w:tc>
          <w:tcPr>
            <w:tcW w:w="49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tcPr>
          <w:p>
            <w:pPr>
              <w:jc w:val="center"/>
              <w:ind w:left="448"/>
              <w:spacing w:after="0" w:line="145" w:lineRule="exact"/>
              <w:rPr>
                <w:sz w:val="20"/>
                <w:szCs w:val="20"/>
                <w:color w:val="auto"/>
              </w:rPr>
            </w:pPr>
            <w:r>
              <w:rPr>
                <w:rFonts w:ascii="Arial" w:cs="Arial" w:eastAsia="Arial" w:hAnsi="Arial"/>
                <w:sz w:val="14"/>
                <w:szCs w:val="14"/>
                <w:b w:val="1"/>
                <w:bCs w:val="1"/>
                <w:color w:val="auto"/>
              </w:rPr>
              <w:t>2024</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tcPr>
          <w:p>
            <w:pPr>
              <w:jc w:val="center"/>
              <w:ind w:left="48"/>
              <w:spacing w:after="0" w:line="145" w:lineRule="exact"/>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39"/>
        </w:trPr>
        <w:tc>
          <w:tcPr>
            <w:tcW w:w="49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54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2024</w:t>
            </w:r>
          </w:p>
        </w:tc>
        <w:tc>
          <w:tcPr>
            <w:tcW w:w="400" w:type="dxa"/>
            <w:vAlign w:val="bottom"/>
          </w:tcPr>
          <w:p>
            <w:pPr>
              <w:spacing w:after="0"/>
              <w:rPr>
                <w:sz w:val="12"/>
                <w:szCs w:val="12"/>
                <w:color w:val="auto"/>
              </w:rPr>
            </w:pPr>
          </w:p>
        </w:tc>
        <w:tc>
          <w:tcPr>
            <w:tcW w:w="64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2023</w:t>
            </w:r>
          </w:p>
        </w:tc>
        <w:tc>
          <w:tcPr>
            <w:tcW w:w="1240" w:type="dxa"/>
            <w:vAlign w:val="bottom"/>
            <w:gridSpan w:val="3"/>
          </w:tcPr>
          <w:p>
            <w:pPr>
              <w:jc w:val="center"/>
              <w:ind w:left="48"/>
              <w:spacing w:after="0" w:line="139" w:lineRule="exact"/>
              <w:rPr>
                <w:sz w:val="20"/>
                <w:szCs w:val="20"/>
                <w:color w:val="auto"/>
              </w:rPr>
            </w:pPr>
            <w:r>
              <w:rPr>
                <w:rFonts w:ascii="Arial" w:cs="Arial" w:eastAsia="Arial" w:hAnsi="Arial"/>
                <w:sz w:val="14"/>
                <w:szCs w:val="14"/>
                <w:b w:val="1"/>
                <w:bCs w:val="1"/>
                <w:color w:val="auto"/>
              </w:rPr>
              <w:t>vs.</w:t>
            </w:r>
          </w:p>
        </w:tc>
        <w:tc>
          <w:tcPr>
            <w:tcW w:w="280" w:type="dxa"/>
            <w:vAlign w:val="bottom"/>
          </w:tcPr>
          <w:p>
            <w:pPr>
              <w:spacing w:after="0"/>
              <w:rPr>
                <w:sz w:val="12"/>
                <w:szCs w:val="12"/>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2022</w:t>
            </w:r>
          </w:p>
        </w:tc>
        <w:tc>
          <w:tcPr>
            <w:tcW w:w="1000" w:type="dxa"/>
            <w:vAlign w:val="bottom"/>
          </w:tcPr>
          <w:p>
            <w:pPr>
              <w:jc w:val="center"/>
              <w:ind w:left="48"/>
              <w:spacing w:after="0" w:line="139" w:lineRule="exact"/>
              <w:rPr>
                <w:sz w:val="20"/>
                <w:szCs w:val="20"/>
                <w:color w:val="auto"/>
              </w:rPr>
            </w:pPr>
            <w:r>
              <w:rPr>
                <w:rFonts w:ascii="Arial" w:cs="Arial" w:eastAsia="Arial" w:hAnsi="Arial"/>
                <w:sz w:val="14"/>
                <w:szCs w:val="14"/>
                <w:b w:val="1"/>
                <w:bCs w:val="1"/>
                <w:color w:val="auto"/>
              </w:rPr>
              <w:t>vs.</w:t>
            </w:r>
          </w:p>
        </w:tc>
        <w:tc>
          <w:tcPr>
            <w:tcW w:w="0" w:type="dxa"/>
            <w:vAlign w:val="bottom"/>
          </w:tcPr>
          <w:p>
            <w:pPr>
              <w:spacing w:after="0"/>
              <w:rPr>
                <w:sz w:val="1"/>
                <w:szCs w:val="1"/>
                <w:color w:val="auto"/>
              </w:rPr>
            </w:pPr>
          </w:p>
        </w:tc>
      </w:tr>
      <w:tr>
        <w:trPr>
          <w:trHeight w:val="197"/>
        </w:trPr>
        <w:tc>
          <w:tcPr>
            <w:tcW w:w="4900" w:type="dxa"/>
            <w:vAlign w:val="bottom"/>
            <w:tcBorders>
              <w:bottom w:val="single" w:sz="8" w:color="D7282F"/>
            </w:tcBorders>
          </w:tcPr>
          <w:p>
            <w:pPr>
              <w:spacing w:after="0"/>
              <w:rPr>
                <w:sz w:val="17"/>
                <w:szCs w:val="17"/>
                <w:color w:val="auto"/>
              </w:rPr>
            </w:pPr>
          </w:p>
        </w:tc>
        <w:tc>
          <w:tcPr>
            <w:tcW w:w="1520" w:type="dxa"/>
            <w:vAlign w:val="bottom"/>
            <w:tcBorders>
              <w:bottom w:val="single" w:sz="8" w:color="D7282F"/>
            </w:tcBorders>
          </w:tcPr>
          <w:p>
            <w:pPr>
              <w:spacing w:after="0"/>
              <w:rPr>
                <w:sz w:val="17"/>
                <w:szCs w:val="17"/>
                <w:color w:val="auto"/>
              </w:rPr>
            </w:pPr>
          </w:p>
        </w:tc>
        <w:tc>
          <w:tcPr>
            <w:tcW w:w="540" w:type="dxa"/>
            <w:vAlign w:val="bottom"/>
            <w:tcBorders>
              <w:bottom w:val="single" w:sz="8" w:color="D7282F"/>
            </w:tcBorders>
            <w:gridSpan w:val="2"/>
            <w:vMerge w:val="continue"/>
          </w:tcPr>
          <w:p>
            <w:pPr>
              <w:spacing w:after="0"/>
              <w:rPr>
                <w:sz w:val="17"/>
                <w:szCs w:val="17"/>
                <w:color w:val="auto"/>
              </w:rPr>
            </w:pPr>
          </w:p>
        </w:tc>
        <w:tc>
          <w:tcPr>
            <w:tcW w:w="400" w:type="dxa"/>
            <w:vAlign w:val="bottom"/>
            <w:tcBorders>
              <w:bottom w:val="single" w:sz="8" w:color="D7282F"/>
            </w:tcBorders>
          </w:tcPr>
          <w:p>
            <w:pPr>
              <w:spacing w:after="0"/>
              <w:rPr>
                <w:sz w:val="17"/>
                <w:szCs w:val="17"/>
                <w:color w:val="auto"/>
              </w:rPr>
            </w:pPr>
          </w:p>
        </w:tc>
        <w:tc>
          <w:tcPr>
            <w:tcW w:w="640" w:type="dxa"/>
            <w:vAlign w:val="bottom"/>
            <w:tcBorders>
              <w:bottom w:val="single" w:sz="8" w:color="D7282F"/>
            </w:tcBorders>
            <w:vMerge w:val="continue"/>
          </w:tcPr>
          <w:p>
            <w:pPr>
              <w:spacing w:after="0"/>
              <w:rPr>
                <w:sz w:val="17"/>
                <w:szCs w:val="17"/>
                <w:color w:val="auto"/>
              </w:rPr>
            </w:pPr>
          </w:p>
        </w:tc>
        <w:tc>
          <w:tcPr>
            <w:tcW w:w="840" w:type="dxa"/>
            <w:vAlign w:val="bottom"/>
            <w:tcBorders>
              <w:bottom w:val="single" w:sz="8" w:color="D7282F"/>
            </w:tcBorders>
          </w:tcPr>
          <w:p>
            <w:pPr>
              <w:jc w:val="center"/>
              <w:ind w:left="448"/>
              <w:spacing w:after="0"/>
              <w:rPr>
                <w:sz w:val="20"/>
                <w:szCs w:val="20"/>
                <w:color w:val="auto"/>
              </w:rPr>
            </w:pPr>
            <w:r>
              <w:rPr>
                <w:rFonts w:ascii="Arial" w:cs="Arial" w:eastAsia="Arial" w:hAnsi="Arial"/>
                <w:sz w:val="14"/>
                <w:szCs w:val="14"/>
                <w:b w:val="1"/>
                <w:bCs w:val="1"/>
                <w:color w:val="auto"/>
              </w:rPr>
              <w:t>2023</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28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vMerge w:val="continue"/>
          </w:tcPr>
          <w:p>
            <w:pPr>
              <w:spacing w:after="0"/>
              <w:rPr>
                <w:sz w:val="17"/>
                <w:szCs w:val="17"/>
                <w:color w:val="auto"/>
              </w:rPr>
            </w:pPr>
          </w:p>
        </w:tc>
        <w:tc>
          <w:tcPr>
            <w:tcW w:w="1000" w:type="dxa"/>
            <w:vAlign w:val="bottom"/>
            <w:tcBorders>
              <w:bottom w:val="single" w:sz="8" w:color="D7282F"/>
            </w:tcBorders>
          </w:tcPr>
          <w:p>
            <w:pPr>
              <w:jc w:val="center"/>
              <w:ind w:left="48"/>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93"/>
        </w:trPr>
        <w:tc>
          <w:tcPr>
            <w:tcW w:w="490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Net sales</w:t>
            </w:r>
          </w:p>
        </w:tc>
        <w:tc>
          <w:tcPr>
            <w:tcW w:w="152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888B8D"/>
            </w:tcBorders>
            <w:gridSpan w:val="2"/>
          </w:tcPr>
          <w:p>
            <w:pPr>
              <w:jc w:val="right"/>
              <w:ind w:right="20"/>
              <w:spacing w:after="0"/>
              <w:rPr>
                <w:sz w:val="20"/>
                <w:szCs w:val="20"/>
                <w:color w:val="auto"/>
              </w:rPr>
            </w:pPr>
            <w:r>
              <w:rPr>
                <w:rFonts w:ascii="Arial" w:cs="Arial" w:eastAsia="Arial" w:hAnsi="Arial"/>
                <w:sz w:val="14"/>
                <w:szCs w:val="14"/>
                <w:color w:val="auto"/>
              </w:rPr>
              <w:t>6,425</w:t>
            </w:r>
          </w:p>
        </w:tc>
        <w:tc>
          <w:tcPr>
            <w:tcW w:w="4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6,239</w:t>
            </w:r>
          </w:p>
        </w:tc>
        <w:tc>
          <w:tcPr>
            <w:tcW w:w="1240" w:type="dxa"/>
            <w:vAlign w:val="bottom"/>
            <w:tcBorders>
              <w:bottom w:val="single" w:sz="8" w:color="888B8D"/>
            </w:tcBorders>
            <w:gridSpan w:val="3"/>
          </w:tcPr>
          <w:p>
            <w:pPr>
              <w:jc w:val="right"/>
              <w:ind w:right="140"/>
              <w:spacing w:after="0"/>
              <w:rPr>
                <w:sz w:val="20"/>
                <w:szCs w:val="20"/>
                <w:color w:val="auto"/>
              </w:rPr>
            </w:pPr>
            <w:r>
              <w:rPr>
                <w:rFonts w:ascii="Arial" w:cs="Arial" w:eastAsia="Arial" w:hAnsi="Arial"/>
                <w:sz w:val="14"/>
                <w:szCs w:val="14"/>
                <w:color w:val="auto"/>
              </w:rPr>
              <w:t>3 %</w:t>
            </w:r>
          </w:p>
        </w:tc>
        <w:tc>
          <w:tcPr>
            <w:tcW w:w="280" w:type="dxa"/>
            <w:vAlign w:val="bottom"/>
            <w:tcBorders>
              <w:bottom w:val="single" w:sz="8" w:color="888B8D"/>
            </w:tcBorders>
          </w:tcPr>
          <w:p>
            <w:pPr>
              <w:ind w:left="12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888B8D"/>
            </w:tcBorders>
          </w:tcPr>
          <w:p>
            <w:pPr>
              <w:ind w:left="180"/>
              <w:spacing w:after="0"/>
              <w:rPr>
                <w:sz w:val="20"/>
                <w:szCs w:val="20"/>
                <w:color w:val="auto"/>
              </w:rPr>
            </w:pPr>
            <w:r>
              <w:rPr>
                <w:rFonts w:ascii="Arial" w:cs="Arial" w:eastAsia="Arial" w:hAnsi="Arial"/>
                <w:sz w:val="14"/>
                <w:szCs w:val="14"/>
                <w:color w:val="auto"/>
              </w:rPr>
              <w:t>5,996</w:t>
            </w:r>
          </w:p>
        </w:tc>
        <w:tc>
          <w:tcPr>
            <w:tcW w:w="10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4 %</w:t>
            </w:r>
          </w:p>
        </w:tc>
        <w:tc>
          <w:tcPr>
            <w:tcW w:w="0" w:type="dxa"/>
            <w:vAlign w:val="bottom"/>
          </w:tcPr>
          <w:p>
            <w:pPr>
              <w:spacing w:after="0"/>
              <w:rPr>
                <w:sz w:val="1"/>
                <w:szCs w:val="1"/>
                <w:color w:val="auto"/>
              </w:rPr>
            </w:pPr>
          </w:p>
        </w:tc>
      </w:tr>
      <w:tr>
        <w:trPr>
          <w:trHeight w:val="196"/>
        </w:trPr>
        <w:tc>
          <w:tcPr>
            <w:tcW w:w="490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Cost of products and services sold</w:t>
            </w:r>
          </w:p>
        </w:tc>
        <w:tc>
          <w:tcPr>
            <w:tcW w:w="1520" w:type="dxa"/>
            <w:vAlign w:val="bottom"/>
            <w:tcBorders>
              <w:bottom w:val="single" w:sz="8" w:color="888B8D"/>
            </w:tcBorders>
          </w:tcPr>
          <w:p>
            <w:pPr>
              <w:spacing w:after="0"/>
              <w:rPr>
                <w:sz w:val="17"/>
                <w:szCs w:val="17"/>
                <w:color w:val="auto"/>
              </w:rPr>
            </w:pPr>
          </w:p>
        </w:tc>
        <w:tc>
          <w:tcPr>
            <w:tcW w:w="540" w:type="dxa"/>
            <w:vAlign w:val="bottom"/>
            <w:tcBorders>
              <w:bottom w:val="single" w:sz="8" w:color="888B8D"/>
            </w:tcBorders>
            <w:gridSpan w:val="2"/>
          </w:tcPr>
          <w:p>
            <w:pPr>
              <w:jc w:val="right"/>
              <w:ind w:right="20"/>
              <w:spacing w:after="0"/>
              <w:rPr>
                <w:sz w:val="20"/>
                <w:szCs w:val="20"/>
                <w:color w:val="auto"/>
              </w:rPr>
            </w:pPr>
            <w:r>
              <w:rPr>
                <w:rFonts w:ascii="Arial" w:cs="Arial" w:eastAsia="Arial" w:hAnsi="Arial"/>
                <w:sz w:val="14"/>
                <w:szCs w:val="14"/>
                <w:color w:val="auto"/>
              </w:rPr>
              <w:t>4,030</w:t>
            </w:r>
          </w:p>
        </w:tc>
        <w:tc>
          <w:tcPr>
            <w:tcW w:w="400" w:type="dxa"/>
            <w:vAlign w:val="bottom"/>
            <w:tcBorders>
              <w:bottom w:val="single" w:sz="8" w:color="888B8D"/>
            </w:tcBorders>
          </w:tcPr>
          <w:p>
            <w:pPr>
              <w:spacing w:after="0"/>
              <w:rPr>
                <w:sz w:val="17"/>
                <w:szCs w:val="17"/>
                <w:color w:val="auto"/>
              </w:rPr>
            </w:pPr>
          </w:p>
        </w:tc>
        <w:tc>
          <w:tcPr>
            <w:tcW w:w="6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3,950</w:t>
            </w:r>
          </w:p>
        </w:tc>
        <w:tc>
          <w:tcPr>
            <w:tcW w:w="840" w:type="dxa"/>
            <w:vAlign w:val="bottom"/>
            <w:tcBorders>
              <w:bottom w:val="single" w:sz="8" w:color="888B8D"/>
            </w:tcBorders>
          </w:tcPr>
          <w:p>
            <w:pPr>
              <w:spacing w:after="0"/>
              <w:rPr>
                <w:sz w:val="17"/>
                <w:szCs w:val="17"/>
                <w:color w:val="auto"/>
              </w:rPr>
            </w:pPr>
          </w:p>
        </w:tc>
        <w:tc>
          <w:tcPr>
            <w:tcW w:w="220" w:type="dxa"/>
            <w:vAlign w:val="bottom"/>
            <w:tcBorders>
              <w:bottom w:val="single" w:sz="8" w:color="888B8D"/>
            </w:tcBorders>
          </w:tcPr>
          <w:p>
            <w:pPr>
              <w:spacing w:after="0"/>
              <w:rPr>
                <w:sz w:val="17"/>
                <w:szCs w:val="17"/>
                <w:color w:val="auto"/>
              </w:rPr>
            </w:pPr>
          </w:p>
        </w:tc>
        <w:tc>
          <w:tcPr>
            <w:tcW w:w="180" w:type="dxa"/>
            <w:vAlign w:val="bottom"/>
            <w:tcBorders>
              <w:bottom w:val="single" w:sz="8" w:color="888B8D"/>
            </w:tcBorders>
          </w:tcPr>
          <w:p>
            <w:pPr>
              <w:spacing w:after="0"/>
              <w:rPr>
                <w:sz w:val="17"/>
                <w:szCs w:val="17"/>
                <w:color w:val="auto"/>
              </w:rPr>
            </w:pPr>
          </w:p>
        </w:tc>
        <w:tc>
          <w:tcPr>
            <w:tcW w:w="28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ind w:left="180"/>
              <w:spacing w:after="0"/>
              <w:rPr>
                <w:sz w:val="20"/>
                <w:szCs w:val="20"/>
                <w:color w:val="auto"/>
              </w:rPr>
            </w:pPr>
            <w:r>
              <w:rPr>
                <w:rFonts w:ascii="Arial" w:cs="Arial" w:eastAsia="Arial" w:hAnsi="Arial"/>
                <w:sz w:val="14"/>
                <w:szCs w:val="14"/>
                <w:color w:val="auto"/>
              </w:rPr>
              <w:t>3,673</w:t>
            </w:r>
          </w:p>
        </w:tc>
        <w:tc>
          <w:tcPr>
            <w:tcW w:w="1000" w:type="dxa"/>
            <w:vAlign w:val="bottom"/>
            <w:tcBorders>
              <w:bottom w:val="single" w:sz="8" w:color="888B8D"/>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0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Selling, general and administrative and other expenses</w:t>
            </w:r>
          </w:p>
        </w:tc>
        <w:tc>
          <w:tcPr>
            <w:tcW w:w="1520" w:type="dxa"/>
            <w:vAlign w:val="bottom"/>
            <w:tcBorders>
              <w:bottom w:val="single" w:sz="8" w:color="D7282F"/>
            </w:tcBorders>
          </w:tcPr>
          <w:p>
            <w:pPr>
              <w:spacing w:after="0"/>
              <w:rPr>
                <w:sz w:val="17"/>
                <w:szCs w:val="17"/>
                <w:color w:val="auto"/>
              </w:rPr>
            </w:pPr>
          </w:p>
        </w:tc>
        <w:tc>
          <w:tcPr>
            <w:tcW w:w="540" w:type="dxa"/>
            <w:vAlign w:val="bottom"/>
            <w:tcBorders>
              <w:bottom w:val="single" w:sz="8" w:color="D7282F"/>
            </w:tcBorders>
            <w:gridSpan w:val="2"/>
          </w:tcPr>
          <w:p>
            <w:pPr>
              <w:jc w:val="right"/>
              <w:ind w:right="20"/>
              <w:spacing w:after="0"/>
              <w:rPr>
                <w:sz w:val="20"/>
                <w:szCs w:val="20"/>
                <w:color w:val="auto"/>
              </w:rPr>
            </w:pPr>
            <w:r>
              <w:rPr>
                <w:rFonts w:ascii="Arial" w:cs="Arial" w:eastAsia="Arial" w:hAnsi="Arial"/>
                <w:sz w:val="14"/>
                <w:szCs w:val="14"/>
                <w:color w:val="auto"/>
              </w:rPr>
              <w:t>873</w:t>
            </w:r>
          </w:p>
        </w:tc>
        <w:tc>
          <w:tcPr>
            <w:tcW w:w="400" w:type="dxa"/>
            <w:vAlign w:val="bottom"/>
            <w:tcBorders>
              <w:bottom w:val="single" w:sz="8" w:color="D7282F"/>
            </w:tcBorders>
          </w:tcPr>
          <w:p>
            <w:pPr>
              <w:spacing w:after="0"/>
              <w:rPr>
                <w:sz w:val="17"/>
                <w:szCs w:val="17"/>
                <w:color w:val="auto"/>
              </w:rPr>
            </w:pPr>
          </w:p>
        </w:tc>
        <w:tc>
          <w:tcPr>
            <w:tcW w:w="6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802</w:t>
            </w:r>
          </w:p>
        </w:tc>
        <w:tc>
          <w:tcPr>
            <w:tcW w:w="840" w:type="dxa"/>
            <w:vAlign w:val="bottom"/>
            <w:tcBorders>
              <w:bottom w:val="single" w:sz="8" w:color="D7282F"/>
            </w:tcBorders>
          </w:tcPr>
          <w:p>
            <w:pPr>
              <w:spacing w:after="0"/>
              <w:rPr>
                <w:sz w:val="17"/>
                <w:szCs w:val="17"/>
                <w:color w:val="auto"/>
              </w:rPr>
            </w:pP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28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ind w:left="300"/>
              <w:spacing w:after="0"/>
              <w:rPr>
                <w:sz w:val="20"/>
                <w:szCs w:val="20"/>
                <w:color w:val="auto"/>
              </w:rPr>
            </w:pPr>
            <w:r>
              <w:rPr>
                <w:rFonts w:ascii="Arial" w:cs="Arial" w:eastAsia="Arial" w:hAnsi="Arial"/>
                <w:sz w:val="14"/>
                <w:szCs w:val="14"/>
                <w:color w:val="auto"/>
              </w:rPr>
              <w:t>768</w:t>
            </w:r>
          </w:p>
        </w:tc>
        <w:tc>
          <w:tcPr>
            <w:tcW w:w="1000" w:type="dxa"/>
            <w:vAlign w:val="bottom"/>
            <w:tcBorders>
              <w:bottom w:val="single" w:sz="8" w:color="D7282F"/>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90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Segment profit</w:t>
            </w:r>
          </w:p>
        </w:tc>
        <w:tc>
          <w:tcPr>
            <w:tcW w:w="15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D7282F"/>
            </w:tcBorders>
            <w:gridSpan w:val="2"/>
          </w:tcPr>
          <w:p>
            <w:pPr>
              <w:jc w:val="right"/>
              <w:ind w:right="20"/>
              <w:spacing w:after="0"/>
              <w:rPr>
                <w:sz w:val="20"/>
                <w:szCs w:val="20"/>
                <w:color w:val="auto"/>
              </w:rPr>
            </w:pPr>
            <w:r>
              <w:rPr>
                <w:rFonts w:ascii="Arial" w:cs="Arial" w:eastAsia="Arial" w:hAnsi="Arial"/>
                <w:sz w:val="14"/>
                <w:szCs w:val="14"/>
                <w:b w:val="1"/>
                <w:bCs w:val="1"/>
                <w:color w:val="auto"/>
              </w:rPr>
              <w:t>1,522</w:t>
            </w:r>
          </w:p>
        </w:tc>
        <w:tc>
          <w:tcPr>
            <w:tcW w:w="4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1,487</w:t>
            </w:r>
          </w:p>
        </w:tc>
        <w:tc>
          <w:tcPr>
            <w:tcW w:w="1240" w:type="dxa"/>
            <w:vAlign w:val="bottom"/>
            <w:tcBorders>
              <w:bottom w:val="single" w:sz="8" w:color="D7282F"/>
            </w:tcBorders>
            <w:gridSpan w:val="3"/>
          </w:tcPr>
          <w:p>
            <w:pPr>
              <w:jc w:val="right"/>
              <w:ind w:right="140"/>
              <w:spacing w:after="0"/>
              <w:rPr>
                <w:sz w:val="20"/>
                <w:szCs w:val="20"/>
                <w:color w:val="auto"/>
              </w:rPr>
            </w:pPr>
            <w:r>
              <w:rPr>
                <w:rFonts w:ascii="Arial" w:cs="Arial" w:eastAsia="Arial" w:hAnsi="Arial"/>
                <w:sz w:val="14"/>
                <w:szCs w:val="14"/>
                <w:b w:val="1"/>
                <w:bCs w:val="1"/>
                <w:color w:val="auto"/>
              </w:rPr>
              <w:t>2 %</w:t>
            </w:r>
          </w:p>
        </w:tc>
        <w:tc>
          <w:tcPr>
            <w:tcW w:w="280" w:type="dxa"/>
            <w:vAlign w:val="bottom"/>
            <w:tcBorders>
              <w:bottom w:val="single" w:sz="8" w:color="D7282F"/>
            </w:tcBorders>
          </w:tcPr>
          <w:p>
            <w:pPr>
              <w:ind w:left="120"/>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D7282F"/>
            </w:tcBorders>
          </w:tcPr>
          <w:p>
            <w:pPr>
              <w:ind w:left="180"/>
              <w:spacing w:after="0"/>
              <w:rPr>
                <w:sz w:val="20"/>
                <w:szCs w:val="20"/>
                <w:color w:val="auto"/>
              </w:rPr>
            </w:pPr>
            <w:r>
              <w:rPr>
                <w:rFonts w:ascii="Arial" w:cs="Arial" w:eastAsia="Arial" w:hAnsi="Arial"/>
                <w:sz w:val="14"/>
                <w:szCs w:val="14"/>
                <w:b w:val="1"/>
                <w:bCs w:val="1"/>
                <w:color w:val="auto"/>
              </w:rPr>
              <w:t>1,555</w:t>
            </w:r>
          </w:p>
        </w:tc>
        <w:tc>
          <w:tcPr>
            <w:tcW w:w="10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w:t>
            </w:r>
          </w:p>
        </w:tc>
        <w:tc>
          <w:tcPr>
            <w:tcW w:w="0" w:type="dxa"/>
            <w:vAlign w:val="bottom"/>
          </w:tcPr>
          <w:p>
            <w:pPr>
              <w:spacing w:after="0"/>
              <w:rPr>
                <w:sz w:val="1"/>
                <w:szCs w:val="1"/>
                <w:color w:val="auto"/>
              </w:rPr>
            </w:pPr>
          </w:p>
        </w:tc>
      </w:tr>
      <w:tr>
        <w:trPr>
          <w:trHeight w:val="480"/>
        </w:trPr>
        <w:tc>
          <w:tcPr>
            <w:tcW w:w="49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Borders>
              <w:bottom w:val="single" w:sz="8" w:color="D7282F"/>
            </w:tcBorders>
          </w:tcPr>
          <w:p>
            <w:pPr>
              <w:spacing w:after="0"/>
              <w:rPr>
                <w:sz w:val="24"/>
                <w:szCs w:val="24"/>
                <w:color w:val="auto"/>
              </w:rPr>
            </w:pPr>
          </w:p>
        </w:tc>
        <w:tc>
          <w:tcPr>
            <w:tcW w:w="1880" w:type="dxa"/>
            <w:vAlign w:val="bottom"/>
            <w:tcBorders>
              <w:bottom w:val="single" w:sz="8" w:color="D7282F"/>
            </w:tcBorders>
            <w:gridSpan w:val="3"/>
          </w:tcPr>
          <w:p>
            <w:pPr>
              <w:jc w:val="right"/>
              <w:ind w:right="548"/>
              <w:spacing w:after="0"/>
              <w:rPr>
                <w:sz w:val="20"/>
                <w:szCs w:val="20"/>
                <w:color w:val="auto"/>
              </w:rPr>
            </w:pPr>
            <w:r>
              <w:rPr>
                <w:rFonts w:ascii="Arial" w:cs="Arial" w:eastAsia="Arial" w:hAnsi="Arial"/>
                <w:sz w:val="14"/>
                <w:szCs w:val="14"/>
                <w:b w:val="1"/>
                <w:bCs w:val="1"/>
                <w:color w:val="auto"/>
              </w:rPr>
              <w:t>2024 vs. 2023</w:t>
            </w:r>
          </w:p>
        </w:tc>
        <w:tc>
          <w:tcPr>
            <w:tcW w:w="220" w:type="dxa"/>
            <w:vAlign w:val="bottom"/>
          </w:tcPr>
          <w:p>
            <w:pPr>
              <w:spacing w:after="0"/>
              <w:rPr>
                <w:sz w:val="24"/>
                <w:szCs w:val="24"/>
                <w:color w:val="auto"/>
              </w:rPr>
            </w:pPr>
          </w:p>
        </w:tc>
        <w:tc>
          <w:tcPr>
            <w:tcW w:w="180" w:type="dxa"/>
            <w:vAlign w:val="bottom"/>
            <w:tcBorders>
              <w:bottom w:val="single" w:sz="8" w:color="D7282F"/>
            </w:tcBorders>
          </w:tcPr>
          <w:p>
            <w:pPr>
              <w:spacing w:after="0"/>
              <w:rPr>
                <w:sz w:val="24"/>
                <w:szCs w:val="24"/>
                <w:color w:val="auto"/>
              </w:rPr>
            </w:pPr>
          </w:p>
        </w:tc>
        <w:tc>
          <w:tcPr>
            <w:tcW w:w="280" w:type="dxa"/>
            <w:vAlign w:val="bottom"/>
            <w:tcBorders>
              <w:bottom w:val="single" w:sz="8" w:color="D7282F"/>
            </w:tcBorders>
          </w:tcPr>
          <w:p>
            <w:pPr>
              <w:spacing w:after="0"/>
              <w:rPr>
                <w:sz w:val="24"/>
                <w:szCs w:val="24"/>
                <w:color w:val="auto"/>
              </w:rPr>
            </w:pPr>
          </w:p>
        </w:tc>
        <w:tc>
          <w:tcPr>
            <w:tcW w:w="1720" w:type="dxa"/>
            <w:vAlign w:val="bottom"/>
            <w:tcBorders>
              <w:bottom w:val="single" w:sz="8" w:color="D7282F"/>
            </w:tcBorders>
            <w:gridSpan w:val="2"/>
          </w:tcPr>
          <w:p>
            <w:pPr>
              <w:ind w:left="180"/>
              <w:spacing w:after="0"/>
              <w:rPr>
                <w:sz w:val="20"/>
                <w:szCs w:val="20"/>
                <w:color w:val="auto"/>
              </w:rPr>
            </w:pPr>
            <w:r>
              <w:rPr>
                <w:rFonts w:ascii="Arial" w:cs="Arial" w:eastAsia="Arial" w:hAnsi="Arial"/>
                <w:sz w:val="14"/>
                <w:szCs w:val="14"/>
                <w:b w:val="1"/>
                <w:bCs w:val="1"/>
                <w:color w:val="auto"/>
              </w:rPr>
              <w:t>2023 vs. 2022</w:t>
            </w:r>
          </w:p>
        </w:tc>
        <w:tc>
          <w:tcPr>
            <w:tcW w:w="0" w:type="dxa"/>
            <w:vAlign w:val="bottom"/>
          </w:tcPr>
          <w:p>
            <w:pPr>
              <w:spacing w:after="0"/>
              <w:rPr>
                <w:sz w:val="1"/>
                <w:szCs w:val="1"/>
                <w:color w:val="auto"/>
              </w:rPr>
            </w:pPr>
          </w:p>
        </w:tc>
      </w:tr>
      <w:tr>
        <w:trPr>
          <w:trHeight w:val="170"/>
        </w:trPr>
        <w:tc>
          <w:tcPr>
            <w:tcW w:w="49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Factors Contributing to Year-Over-Year Change</w:t>
            </w:r>
          </w:p>
        </w:tc>
        <w:tc>
          <w:tcPr>
            <w:tcW w:w="1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jc w:val="right"/>
              <w:ind w:right="8"/>
              <w:spacing w:after="0"/>
              <w:rPr>
                <w:sz w:val="20"/>
                <w:szCs w:val="20"/>
                <w:color w:val="auto"/>
              </w:rPr>
            </w:pPr>
            <w:r>
              <w:rPr>
                <w:rFonts w:ascii="Arial" w:cs="Arial" w:eastAsia="Arial" w:hAnsi="Arial"/>
                <w:sz w:val="14"/>
                <w:szCs w:val="14"/>
                <w:b w:val="1"/>
                <w:bCs w:val="1"/>
                <w:color w:val="auto"/>
              </w:rPr>
              <w:t>Net</w:t>
            </w:r>
          </w:p>
        </w:tc>
        <w:tc>
          <w:tcPr>
            <w:tcW w:w="640" w:type="dxa"/>
            <w:vAlign w:val="bottom"/>
          </w:tcPr>
          <w:p>
            <w:pPr>
              <w:spacing w:after="0"/>
              <w:rPr>
                <w:sz w:val="14"/>
                <w:szCs w:val="14"/>
                <w:color w:val="auto"/>
              </w:rPr>
            </w:pPr>
          </w:p>
        </w:tc>
        <w:tc>
          <w:tcPr>
            <w:tcW w:w="124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rPr>
              <w:t>Segment</w:t>
            </w:r>
          </w:p>
        </w:tc>
        <w:tc>
          <w:tcPr>
            <w:tcW w:w="1000" w:type="dxa"/>
            <w:vAlign w:val="bottom"/>
            <w:gridSpan w:val="2"/>
          </w:tcPr>
          <w:p>
            <w:pPr>
              <w:ind w:left="200"/>
              <w:spacing w:after="0"/>
              <w:rPr>
                <w:sz w:val="20"/>
                <w:szCs w:val="20"/>
                <w:color w:val="auto"/>
              </w:rPr>
            </w:pPr>
            <w:r>
              <w:rPr>
                <w:rFonts w:ascii="Arial" w:cs="Arial" w:eastAsia="Arial" w:hAnsi="Arial"/>
                <w:sz w:val="14"/>
                <w:szCs w:val="14"/>
                <w:b w:val="1"/>
                <w:bCs w:val="1"/>
                <w:color w:val="auto"/>
              </w:rPr>
              <w:t>Net</w:t>
            </w:r>
          </w:p>
        </w:tc>
        <w:tc>
          <w:tcPr>
            <w:tcW w:w="1000" w:type="dxa"/>
            <w:vAlign w:val="bottom"/>
          </w:tcPr>
          <w:p>
            <w:pPr>
              <w:jc w:val="right"/>
              <w:ind w:right="108"/>
              <w:spacing w:after="0"/>
              <w:rPr>
                <w:sz w:val="20"/>
                <w:szCs w:val="20"/>
                <w:color w:val="auto"/>
              </w:rPr>
            </w:pPr>
            <w:r>
              <w:rPr>
                <w:rFonts w:ascii="Arial" w:cs="Arial" w:eastAsia="Arial" w:hAnsi="Arial"/>
                <w:sz w:val="14"/>
                <w:szCs w:val="14"/>
                <w:b w:val="1"/>
                <w:bCs w:val="1"/>
                <w:color w:val="auto"/>
              </w:rPr>
              <w:t>Segment</w:t>
            </w:r>
          </w:p>
        </w:tc>
        <w:tc>
          <w:tcPr>
            <w:tcW w:w="0" w:type="dxa"/>
            <w:vAlign w:val="bottom"/>
          </w:tcPr>
          <w:p>
            <w:pPr>
              <w:spacing w:after="0"/>
              <w:rPr>
                <w:sz w:val="1"/>
                <w:szCs w:val="1"/>
                <w:color w:val="auto"/>
              </w:rPr>
            </w:pPr>
          </w:p>
        </w:tc>
      </w:tr>
      <w:tr>
        <w:trPr>
          <w:trHeight w:val="189"/>
        </w:trPr>
        <w:tc>
          <w:tcPr>
            <w:tcW w:w="4900" w:type="dxa"/>
            <w:vAlign w:val="bottom"/>
            <w:tcBorders>
              <w:bottom w:val="single" w:sz="8" w:color="D7282F"/>
            </w:tcBorders>
            <w:vMerge w:val="continue"/>
          </w:tcPr>
          <w:p>
            <w:pPr>
              <w:spacing w:after="0"/>
              <w:rPr>
                <w:sz w:val="16"/>
                <w:szCs w:val="16"/>
                <w:color w:val="auto"/>
              </w:rPr>
            </w:pPr>
          </w:p>
        </w:tc>
        <w:tc>
          <w:tcPr>
            <w:tcW w:w="1520" w:type="dxa"/>
            <w:vAlign w:val="bottom"/>
            <w:tcBorders>
              <w:bottom w:val="single" w:sz="8" w:color="D7282F"/>
            </w:tcBorders>
          </w:tcPr>
          <w:p>
            <w:pPr>
              <w:spacing w:after="0"/>
              <w:rPr>
                <w:sz w:val="16"/>
                <w:szCs w:val="16"/>
                <w:color w:val="auto"/>
              </w:rPr>
            </w:pPr>
          </w:p>
        </w:tc>
        <w:tc>
          <w:tcPr>
            <w:tcW w:w="260" w:type="dxa"/>
            <w:vAlign w:val="bottom"/>
            <w:tcBorders>
              <w:bottom w:val="single" w:sz="8" w:color="D7282F"/>
            </w:tcBorders>
          </w:tcPr>
          <w:p>
            <w:pPr>
              <w:spacing w:after="0"/>
              <w:rPr>
                <w:sz w:val="16"/>
                <w:szCs w:val="16"/>
                <w:color w:val="auto"/>
              </w:rPr>
            </w:pPr>
          </w:p>
        </w:tc>
        <w:tc>
          <w:tcPr>
            <w:tcW w:w="280" w:type="dxa"/>
            <w:vAlign w:val="bottom"/>
            <w:tcBorders>
              <w:bottom w:val="single" w:sz="8" w:color="D7282F"/>
            </w:tcBorders>
          </w:tcPr>
          <w:p>
            <w:pPr>
              <w:spacing w:after="0"/>
              <w:rPr>
                <w:sz w:val="16"/>
                <w:szCs w:val="16"/>
                <w:color w:val="auto"/>
              </w:rPr>
            </w:pPr>
          </w:p>
        </w:tc>
        <w:tc>
          <w:tcPr>
            <w:tcW w:w="4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w w:val="98"/>
              </w:rPr>
              <w:t>Sales</w:t>
            </w:r>
          </w:p>
        </w:tc>
        <w:tc>
          <w:tcPr>
            <w:tcW w:w="640" w:type="dxa"/>
            <w:vAlign w:val="bottom"/>
            <w:tcBorders>
              <w:bottom w:val="single" w:sz="8" w:color="D7282F"/>
            </w:tcBorders>
          </w:tcPr>
          <w:p>
            <w:pPr>
              <w:spacing w:after="0"/>
              <w:rPr>
                <w:sz w:val="16"/>
                <w:szCs w:val="16"/>
                <w:color w:val="auto"/>
              </w:rPr>
            </w:pPr>
          </w:p>
        </w:tc>
        <w:tc>
          <w:tcPr>
            <w:tcW w:w="1240" w:type="dxa"/>
            <w:vAlign w:val="bottom"/>
            <w:tcBorders>
              <w:bottom w:val="single" w:sz="8" w:color="D7282F"/>
            </w:tcBorders>
            <w:gridSpan w:val="3"/>
          </w:tcPr>
          <w:p>
            <w:pPr>
              <w:jc w:val="right"/>
              <w:ind w:right="700"/>
              <w:spacing w:after="0"/>
              <w:rPr>
                <w:sz w:val="20"/>
                <w:szCs w:val="20"/>
                <w:color w:val="auto"/>
              </w:rPr>
            </w:pPr>
            <w:r>
              <w:rPr>
                <w:rFonts w:ascii="Arial" w:cs="Arial" w:eastAsia="Arial" w:hAnsi="Arial"/>
                <w:sz w:val="14"/>
                <w:szCs w:val="14"/>
                <w:b w:val="1"/>
                <w:bCs w:val="1"/>
                <w:color w:val="auto"/>
              </w:rPr>
              <w:t>Profit</w:t>
            </w:r>
          </w:p>
        </w:tc>
        <w:tc>
          <w:tcPr>
            <w:tcW w:w="1000" w:type="dxa"/>
            <w:vAlign w:val="bottom"/>
            <w:tcBorders>
              <w:bottom w:val="single" w:sz="8" w:color="D7282F"/>
            </w:tcBorders>
            <w:gridSpan w:val="2"/>
          </w:tcPr>
          <w:p>
            <w:pPr>
              <w:ind w:left="120"/>
              <w:spacing w:after="0"/>
              <w:rPr>
                <w:sz w:val="20"/>
                <w:szCs w:val="20"/>
                <w:color w:val="auto"/>
              </w:rPr>
            </w:pPr>
            <w:r>
              <w:rPr>
                <w:rFonts w:ascii="Arial" w:cs="Arial" w:eastAsia="Arial" w:hAnsi="Arial"/>
                <w:sz w:val="14"/>
                <w:szCs w:val="14"/>
                <w:b w:val="1"/>
                <w:bCs w:val="1"/>
                <w:color w:val="auto"/>
              </w:rPr>
              <w:t>Sales</w:t>
            </w:r>
          </w:p>
        </w:tc>
        <w:tc>
          <w:tcPr>
            <w:tcW w:w="1000" w:type="dxa"/>
            <w:vAlign w:val="bottom"/>
            <w:tcBorders>
              <w:bottom w:val="single" w:sz="8" w:color="D7282F"/>
            </w:tcBorders>
          </w:tcPr>
          <w:p>
            <w:pPr>
              <w:jc w:val="right"/>
              <w:ind w:right="228"/>
              <w:spacing w:after="0"/>
              <w:rPr>
                <w:sz w:val="20"/>
                <w:szCs w:val="20"/>
                <w:color w:val="auto"/>
              </w:rPr>
            </w:pPr>
            <w:r>
              <w:rPr>
                <w:rFonts w:ascii="Arial" w:cs="Arial" w:eastAsia="Arial" w:hAnsi="Arial"/>
                <w:sz w:val="14"/>
                <w:szCs w:val="14"/>
                <w:b w:val="1"/>
                <w:bCs w:val="1"/>
                <w:color w:val="auto"/>
              </w:rPr>
              <w:t>Profit</w:t>
            </w:r>
          </w:p>
        </w:tc>
        <w:tc>
          <w:tcPr>
            <w:tcW w:w="0" w:type="dxa"/>
            <w:vAlign w:val="bottom"/>
          </w:tcPr>
          <w:p>
            <w:pPr>
              <w:spacing w:after="0"/>
              <w:rPr>
                <w:sz w:val="1"/>
                <w:szCs w:val="1"/>
                <w:color w:val="auto"/>
              </w:rPr>
            </w:pPr>
          </w:p>
        </w:tc>
      </w:tr>
      <w:tr>
        <w:trPr>
          <w:trHeight w:val="192"/>
        </w:trPr>
        <w:tc>
          <w:tcPr>
            <w:tcW w:w="490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Organic</w:t>
            </w:r>
          </w:p>
        </w:tc>
        <w:tc>
          <w:tcPr>
            <w:tcW w:w="1520" w:type="dxa"/>
            <w:vAlign w:val="bottom"/>
            <w:tcBorders>
              <w:bottom w:val="single" w:sz="8" w:color="888B8D"/>
            </w:tcBorders>
          </w:tcPr>
          <w:p>
            <w:pPr>
              <w:spacing w:after="0"/>
              <w:rPr>
                <w:sz w:val="16"/>
                <w:szCs w:val="16"/>
                <w:color w:val="auto"/>
              </w:rPr>
            </w:pPr>
          </w:p>
        </w:tc>
        <w:tc>
          <w:tcPr>
            <w:tcW w:w="260" w:type="dxa"/>
            <w:vAlign w:val="bottom"/>
            <w:tcBorders>
              <w:bottom w:val="single" w:sz="8" w:color="888B8D"/>
            </w:tcBorders>
          </w:tcPr>
          <w:p>
            <w:pPr>
              <w:spacing w:after="0"/>
              <w:rPr>
                <w:sz w:val="16"/>
                <w:szCs w:val="16"/>
                <w:color w:val="auto"/>
              </w:rPr>
            </w:pPr>
          </w:p>
        </w:tc>
        <w:tc>
          <w:tcPr>
            <w:tcW w:w="280" w:type="dxa"/>
            <w:vAlign w:val="bottom"/>
            <w:tcBorders>
              <w:bottom w:val="single" w:sz="8" w:color="888B8D"/>
            </w:tcBorders>
          </w:tcPr>
          <w:p>
            <w:pPr>
              <w:spacing w:after="0"/>
              <w:rPr>
                <w:sz w:val="16"/>
                <w:szCs w:val="16"/>
                <w:color w:val="auto"/>
              </w:rPr>
            </w:pPr>
          </w:p>
        </w:tc>
        <w:tc>
          <w:tcPr>
            <w:tcW w:w="400" w:type="dxa"/>
            <w:vAlign w:val="bottom"/>
            <w:tcBorders>
              <w:bottom w:val="single" w:sz="8" w:color="888B8D"/>
            </w:tcBorders>
          </w:tcPr>
          <w:p>
            <w:pPr>
              <w:spacing w:after="0"/>
              <w:rPr>
                <w:sz w:val="16"/>
                <w:szCs w:val="16"/>
                <w:color w:val="auto"/>
              </w:rPr>
            </w:pPr>
          </w:p>
        </w:tc>
        <w:tc>
          <w:tcPr>
            <w:tcW w:w="640" w:type="dxa"/>
            <w:vAlign w:val="bottom"/>
            <w:tcBorders>
              <w:bottom w:val="single" w:sz="8" w:color="888B8D"/>
            </w:tcBorders>
          </w:tcPr>
          <w:p>
            <w:pPr>
              <w:jc w:val="right"/>
              <w:ind w:right="308"/>
              <w:spacing w:after="0"/>
              <w:rPr>
                <w:sz w:val="20"/>
                <w:szCs w:val="20"/>
                <w:color w:val="auto"/>
              </w:rPr>
            </w:pPr>
            <w:r>
              <w:rPr>
                <w:rFonts w:ascii="Arial" w:cs="Arial" w:eastAsia="Arial" w:hAnsi="Arial"/>
                <w:sz w:val="14"/>
                <w:szCs w:val="14"/>
                <w:color w:val="auto"/>
                <w:w w:val="99"/>
              </w:rPr>
              <w:t>2 %</w:t>
            </w:r>
          </w:p>
        </w:tc>
        <w:tc>
          <w:tcPr>
            <w:tcW w:w="1240" w:type="dxa"/>
            <w:vAlign w:val="bottom"/>
            <w:tcBorders>
              <w:bottom w:val="single" w:sz="8" w:color="888B8D"/>
            </w:tcBorders>
            <w:gridSpan w:val="3"/>
          </w:tcPr>
          <w:p>
            <w:pPr>
              <w:jc w:val="right"/>
              <w:ind w:right="420"/>
              <w:spacing w:after="0"/>
              <w:rPr>
                <w:sz w:val="20"/>
                <w:szCs w:val="20"/>
                <w:color w:val="auto"/>
              </w:rPr>
            </w:pPr>
            <w:r>
              <w:rPr>
                <w:rFonts w:ascii="Arial" w:cs="Arial" w:eastAsia="Arial" w:hAnsi="Arial"/>
                <w:sz w:val="14"/>
                <w:szCs w:val="14"/>
                <w:color w:val="auto"/>
              </w:rPr>
              <w:t>— %</w:t>
            </w:r>
          </w:p>
        </w:tc>
        <w:tc>
          <w:tcPr>
            <w:tcW w:w="280" w:type="dxa"/>
            <w:vAlign w:val="bottom"/>
            <w:tcBorders>
              <w:bottom w:val="single" w:sz="8" w:color="888B8D"/>
            </w:tcBorders>
          </w:tcPr>
          <w:p>
            <w:pPr>
              <w:spacing w:after="0"/>
              <w:rPr>
                <w:sz w:val="16"/>
                <w:szCs w:val="16"/>
                <w:color w:val="auto"/>
              </w:rPr>
            </w:pPr>
          </w:p>
        </w:tc>
        <w:tc>
          <w:tcPr>
            <w:tcW w:w="720" w:type="dxa"/>
            <w:vAlign w:val="bottom"/>
            <w:tcBorders>
              <w:bottom w:val="single" w:sz="8" w:color="888B8D"/>
            </w:tcBorders>
          </w:tcPr>
          <w:p>
            <w:pPr>
              <w:ind w:left="240"/>
              <w:spacing w:after="0"/>
              <w:rPr>
                <w:sz w:val="20"/>
                <w:szCs w:val="20"/>
                <w:color w:val="auto"/>
              </w:rPr>
            </w:pPr>
            <w:r>
              <w:rPr>
                <w:rFonts w:ascii="Arial" w:cs="Arial" w:eastAsia="Arial" w:hAnsi="Arial"/>
                <w:sz w:val="14"/>
                <w:szCs w:val="14"/>
                <w:color w:val="auto"/>
              </w:rPr>
              <w:t>4 %</w:t>
            </w:r>
          </w:p>
        </w:tc>
        <w:tc>
          <w:tcPr>
            <w:tcW w:w="10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96"/>
        </w:trPr>
        <w:tc>
          <w:tcPr>
            <w:tcW w:w="490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Foreign currency translation</w:t>
            </w:r>
          </w:p>
        </w:tc>
        <w:tc>
          <w:tcPr>
            <w:tcW w:w="1520" w:type="dxa"/>
            <w:vAlign w:val="bottom"/>
            <w:tcBorders>
              <w:bottom w:val="single" w:sz="8" w:color="888B8D"/>
            </w:tcBorders>
          </w:tcPr>
          <w:p>
            <w:pPr>
              <w:spacing w:after="0"/>
              <w:rPr>
                <w:sz w:val="17"/>
                <w:szCs w:val="17"/>
                <w:color w:val="auto"/>
              </w:rPr>
            </w:pPr>
          </w:p>
        </w:tc>
        <w:tc>
          <w:tcPr>
            <w:tcW w:w="260" w:type="dxa"/>
            <w:vAlign w:val="bottom"/>
            <w:tcBorders>
              <w:bottom w:val="single" w:sz="8" w:color="888B8D"/>
            </w:tcBorders>
          </w:tcPr>
          <w:p>
            <w:pPr>
              <w:spacing w:after="0"/>
              <w:rPr>
                <w:sz w:val="17"/>
                <w:szCs w:val="17"/>
                <w:color w:val="auto"/>
              </w:rPr>
            </w:pPr>
          </w:p>
        </w:tc>
        <w:tc>
          <w:tcPr>
            <w:tcW w:w="280" w:type="dxa"/>
            <w:vAlign w:val="bottom"/>
            <w:tcBorders>
              <w:bottom w:val="single" w:sz="8" w:color="888B8D"/>
            </w:tcBorders>
          </w:tcPr>
          <w:p>
            <w:pPr>
              <w:spacing w:after="0"/>
              <w:rPr>
                <w:sz w:val="17"/>
                <w:szCs w:val="17"/>
                <w:color w:val="auto"/>
              </w:rPr>
            </w:pPr>
          </w:p>
        </w:tc>
        <w:tc>
          <w:tcPr>
            <w:tcW w:w="1040" w:type="dxa"/>
            <w:vAlign w:val="bottom"/>
            <w:tcBorders>
              <w:bottom w:val="single" w:sz="8" w:color="888B8D"/>
            </w:tcBorders>
            <w:gridSpan w:val="2"/>
          </w:tcPr>
          <w:p>
            <w:pPr>
              <w:jc w:val="right"/>
              <w:ind w:right="308"/>
              <w:spacing w:after="0"/>
              <w:rPr>
                <w:sz w:val="20"/>
                <w:szCs w:val="20"/>
                <w:color w:val="auto"/>
              </w:rPr>
            </w:pPr>
            <w:r>
              <w:rPr>
                <w:rFonts w:ascii="Arial" w:cs="Arial" w:eastAsia="Arial" w:hAnsi="Arial"/>
                <w:sz w:val="14"/>
                <w:szCs w:val="14"/>
                <w:color w:val="auto"/>
              </w:rPr>
              <w:t>— %</w:t>
            </w:r>
          </w:p>
        </w:tc>
        <w:tc>
          <w:tcPr>
            <w:tcW w:w="1240" w:type="dxa"/>
            <w:vAlign w:val="bottom"/>
            <w:tcBorders>
              <w:bottom w:val="single" w:sz="8" w:color="888B8D"/>
            </w:tcBorders>
            <w:gridSpan w:val="3"/>
          </w:tcPr>
          <w:p>
            <w:pPr>
              <w:jc w:val="right"/>
              <w:ind w:right="420"/>
              <w:spacing w:after="0"/>
              <w:rPr>
                <w:sz w:val="20"/>
                <w:szCs w:val="20"/>
                <w:color w:val="auto"/>
              </w:rPr>
            </w:pPr>
            <w:r>
              <w:rPr>
                <w:rFonts w:ascii="Arial" w:cs="Arial" w:eastAsia="Arial" w:hAnsi="Arial"/>
                <w:sz w:val="14"/>
                <w:szCs w:val="14"/>
                <w:color w:val="auto"/>
              </w:rPr>
              <w:t>— %</w:t>
            </w:r>
          </w:p>
        </w:tc>
        <w:tc>
          <w:tcPr>
            <w:tcW w:w="28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ind w:left="180"/>
              <w:spacing w:after="0"/>
              <w:rPr>
                <w:sz w:val="20"/>
                <w:szCs w:val="20"/>
                <w:color w:val="auto"/>
              </w:rPr>
            </w:pPr>
            <w:r>
              <w:rPr>
                <w:rFonts w:ascii="Arial" w:cs="Arial" w:eastAsia="Arial" w:hAnsi="Arial"/>
                <w:sz w:val="14"/>
                <w:szCs w:val="14"/>
                <w:color w:val="auto"/>
              </w:rPr>
              <w:t>— %</w:t>
            </w:r>
          </w:p>
        </w:tc>
        <w:tc>
          <w:tcPr>
            <w:tcW w:w="10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6"/>
        </w:trPr>
        <w:tc>
          <w:tcPr>
            <w:tcW w:w="490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Acquisitions, divestitures, and other, net</w:t>
            </w:r>
          </w:p>
        </w:tc>
        <w:tc>
          <w:tcPr>
            <w:tcW w:w="1520" w:type="dxa"/>
            <w:vAlign w:val="bottom"/>
            <w:tcBorders>
              <w:bottom w:val="single" w:sz="8" w:color="D7282F"/>
            </w:tcBorders>
          </w:tcPr>
          <w:p>
            <w:pPr>
              <w:spacing w:after="0"/>
              <w:rPr>
                <w:sz w:val="17"/>
                <w:szCs w:val="17"/>
                <w:color w:val="auto"/>
              </w:rPr>
            </w:pPr>
          </w:p>
        </w:tc>
        <w:tc>
          <w:tcPr>
            <w:tcW w:w="260" w:type="dxa"/>
            <w:vAlign w:val="bottom"/>
            <w:tcBorders>
              <w:bottom w:val="single" w:sz="8" w:color="D7282F"/>
            </w:tcBorders>
          </w:tcPr>
          <w:p>
            <w:pPr>
              <w:spacing w:after="0"/>
              <w:rPr>
                <w:sz w:val="17"/>
                <w:szCs w:val="17"/>
                <w:color w:val="auto"/>
              </w:rPr>
            </w:pPr>
          </w:p>
        </w:tc>
        <w:tc>
          <w:tcPr>
            <w:tcW w:w="280" w:type="dxa"/>
            <w:vAlign w:val="bottom"/>
            <w:tcBorders>
              <w:bottom w:val="single" w:sz="8" w:color="D7282F"/>
            </w:tcBorders>
          </w:tcPr>
          <w:p>
            <w:pPr>
              <w:spacing w:after="0"/>
              <w:rPr>
                <w:sz w:val="17"/>
                <w:szCs w:val="17"/>
                <w:color w:val="auto"/>
              </w:rPr>
            </w:pPr>
          </w:p>
        </w:tc>
        <w:tc>
          <w:tcPr>
            <w:tcW w:w="400" w:type="dxa"/>
            <w:vAlign w:val="bottom"/>
            <w:tcBorders>
              <w:bottom w:val="single" w:sz="8" w:color="D7282F"/>
            </w:tcBorders>
          </w:tcPr>
          <w:p>
            <w:pPr>
              <w:spacing w:after="0"/>
              <w:rPr>
                <w:sz w:val="17"/>
                <w:szCs w:val="17"/>
                <w:color w:val="auto"/>
              </w:rPr>
            </w:pPr>
          </w:p>
        </w:tc>
        <w:tc>
          <w:tcPr>
            <w:tcW w:w="640" w:type="dxa"/>
            <w:vAlign w:val="bottom"/>
            <w:tcBorders>
              <w:bottom w:val="single" w:sz="8" w:color="D7282F"/>
            </w:tcBorders>
          </w:tcPr>
          <w:p>
            <w:pPr>
              <w:jc w:val="right"/>
              <w:ind w:right="308"/>
              <w:spacing w:after="0"/>
              <w:rPr>
                <w:sz w:val="20"/>
                <w:szCs w:val="20"/>
                <w:color w:val="auto"/>
              </w:rPr>
            </w:pPr>
            <w:r>
              <w:rPr>
                <w:rFonts w:ascii="Arial" w:cs="Arial" w:eastAsia="Arial" w:hAnsi="Arial"/>
                <w:sz w:val="14"/>
                <w:szCs w:val="14"/>
                <w:color w:val="auto"/>
                <w:w w:val="99"/>
              </w:rPr>
              <w:t>1 %</w:t>
            </w:r>
          </w:p>
        </w:tc>
        <w:tc>
          <w:tcPr>
            <w:tcW w:w="8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2 %</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28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ind w:left="180"/>
              <w:spacing w:after="0"/>
              <w:rPr>
                <w:sz w:val="20"/>
                <w:szCs w:val="20"/>
                <w:color w:val="auto"/>
              </w:rPr>
            </w:pPr>
            <w:r>
              <w:rPr>
                <w:rFonts w:ascii="Arial" w:cs="Arial" w:eastAsia="Arial" w:hAnsi="Arial"/>
                <w:sz w:val="14"/>
                <w:szCs w:val="14"/>
                <w:color w:val="auto"/>
              </w:rPr>
              <w:t>— %</w:t>
            </w:r>
          </w:p>
        </w:tc>
        <w:tc>
          <w:tcPr>
            <w:tcW w:w="10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99"/>
        </w:trPr>
        <w:tc>
          <w:tcPr>
            <w:tcW w:w="490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 change</w:t>
            </w:r>
          </w:p>
        </w:tc>
        <w:tc>
          <w:tcPr>
            <w:tcW w:w="1520" w:type="dxa"/>
            <w:vAlign w:val="bottom"/>
            <w:tcBorders>
              <w:bottom w:val="single" w:sz="8" w:color="D7282F"/>
            </w:tcBorders>
          </w:tcPr>
          <w:p>
            <w:pPr>
              <w:spacing w:after="0"/>
              <w:rPr>
                <w:sz w:val="17"/>
                <w:szCs w:val="17"/>
                <w:color w:val="auto"/>
              </w:rPr>
            </w:pPr>
          </w:p>
        </w:tc>
        <w:tc>
          <w:tcPr>
            <w:tcW w:w="260" w:type="dxa"/>
            <w:vAlign w:val="bottom"/>
            <w:tcBorders>
              <w:bottom w:val="single" w:sz="8" w:color="D7282F"/>
            </w:tcBorders>
          </w:tcPr>
          <w:p>
            <w:pPr>
              <w:spacing w:after="0"/>
              <w:rPr>
                <w:sz w:val="17"/>
                <w:szCs w:val="17"/>
                <w:color w:val="auto"/>
              </w:rPr>
            </w:pPr>
          </w:p>
        </w:tc>
        <w:tc>
          <w:tcPr>
            <w:tcW w:w="280" w:type="dxa"/>
            <w:vAlign w:val="bottom"/>
            <w:tcBorders>
              <w:bottom w:val="single" w:sz="8" w:color="D7282F"/>
            </w:tcBorders>
          </w:tcPr>
          <w:p>
            <w:pPr>
              <w:spacing w:after="0"/>
              <w:rPr>
                <w:sz w:val="17"/>
                <w:szCs w:val="17"/>
                <w:color w:val="auto"/>
              </w:rPr>
            </w:pPr>
          </w:p>
        </w:tc>
        <w:tc>
          <w:tcPr>
            <w:tcW w:w="400" w:type="dxa"/>
            <w:vAlign w:val="bottom"/>
            <w:tcBorders>
              <w:bottom w:val="single" w:sz="8" w:color="D7282F"/>
            </w:tcBorders>
          </w:tcPr>
          <w:p>
            <w:pPr>
              <w:spacing w:after="0"/>
              <w:rPr>
                <w:sz w:val="17"/>
                <w:szCs w:val="17"/>
                <w:color w:val="auto"/>
              </w:rPr>
            </w:pPr>
          </w:p>
        </w:tc>
        <w:tc>
          <w:tcPr>
            <w:tcW w:w="640" w:type="dxa"/>
            <w:vAlign w:val="bottom"/>
            <w:tcBorders>
              <w:bottom w:val="single" w:sz="8" w:color="D7282F"/>
            </w:tcBorders>
          </w:tcPr>
          <w:p>
            <w:pPr>
              <w:jc w:val="right"/>
              <w:ind w:right="308"/>
              <w:spacing w:after="0"/>
              <w:rPr>
                <w:sz w:val="20"/>
                <w:szCs w:val="20"/>
                <w:color w:val="auto"/>
              </w:rPr>
            </w:pPr>
            <w:r>
              <w:rPr>
                <w:rFonts w:ascii="Arial" w:cs="Arial" w:eastAsia="Arial" w:hAnsi="Arial"/>
                <w:sz w:val="14"/>
                <w:szCs w:val="14"/>
                <w:b w:val="1"/>
                <w:bCs w:val="1"/>
                <w:color w:val="auto"/>
                <w:w w:val="99"/>
              </w:rPr>
              <w:t>3 %</w:t>
            </w:r>
          </w:p>
        </w:tc>
        <w:tc>
          <w:tcPr>
            <w:tcW w:w="8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2 %</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28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4 %</w:t>
            </w:r>
          </w:p>
        </w:tc>
        <w:tc>
          <w:tcPr>
            <w:tcW w:w="10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2024 compared with 2023</w:t>
      </w:r>
    </w:p>
    <w:p>
      <w:pPr>
        <w:spacing w:after="0" w:line="3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Sales increased $186 million due to higher organic sales of $144 million in Advanced Materials driven by higher demand for fluorine products. Additionally, the acquisition of LNG contributed $64 million to sales in 2024.</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Segment profit increased $35 million and segment margin percentage decreased 10 basis points to 23.7% compared to 23.8% for the same period of 2023.</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On October 8, 2024, the Company announced its intention to spin off its Advanced Materials business into an independent, U.S. publicly traded company.</w:t>
      </w:r>
    </w:p>
    <w:p>
      <w:pPr>
        <w:spacing w:after="0" w:line="284" w:lineRule="exact"/>
        <w:rPr>
          <w:sz w:val="20"/>
          <w:szCs w:val="20"/>
          <w:color w:val="auto"/>
        </w:rPr>
      </w:pPr>
    </w:p>
    <w:p>
      <w:pPr>
        <w:spacing w:after="0"/>
        <w:rPr>
          <w:sz w:val="20"/>
          <w:szCs w:val="20"/>
          <w:color w:val="auto"/>
        </w:rPr>
      </w:pPr>
      <w:r>
        <w:rPr>
          <w:rFonts w:ascii="Arial" w:cs="Arial" w:eastAsia="Arial" w:hAnsi="Arial"/>
          <w:sz w:val="29"/>
          <w:szCs w:val="29"/>
          <w:color w:val="D7282F"/>
        </w:rPr>
        <w:t>CORPORATE AND ALL OTHER</w:t>
      </w:r>
    </w:p>
    <w:p>
      <w:pPr>
        <w:spacing w:after="0" w:line="23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Corporate and All Other primarily includes unallocated corporate costs, interest expense on holding-company debt, and the controlling majority-owned interest in Quantinuum. Corporate and All Other is not a separate reportable business segment as segment reporting criteria is not met. The Company continues to monitor the activities in Corporate and All Other to determine the need for further reportable business segment disaggregation.</w:t>
      </w:r>
    </w:p>
    <w:p>
      <w:pPr>
        <w:spacing w:after="0" w:line="395" w:lineRule="exact"/>
        <w:rPr>
          <w:sz w:val="20"/>
          <w:szCs w:val="20"/>
          <w:color w:val="auto"/>
        </w:rPr>
      </w:pPr>
    </w:p>
    <w:p>
      <w:pPr>
        <w:ind w:left="400" w:hanging="392"/>
        <w:spacing w:after="0"/>
        <w:tabs>
          <w:tab w:leader="none" w:pos="400" w:val="left"/>
        </w:tabs>
        <w:numPr>
          <w:ilvl w:val="0"/>
          <w:numId w:val="63"/>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28" w:name="page29"/>
    <w:bookmarkEnd w:id="28"/>
    <w:p>
      <w:pPr>
        <w:ind w:left="20"/>
        <w:spacing w:after="0"/>
        <w:tabs>
          <w:tab w:leader="none" w:pos="908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REVIEW OF BUSINESS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9"/>
          <w:szCs w:val="29"/>
          <w:color w:val="D7282F"/>
        </w:rPr>
        <w:t>REPOSITIONING CHARGES</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 xml:space="preserve">See Note 4 </w:t>
      </w:r>
      <w:r>
        <w:rPr>
          <w:rFonts w:ascii="Arial" w:cs="Arial" w:eastAsia="Arial" w:hAnsi="Arial"/>
          <w:sz w:val="16"/>
          <w:szCs w:val="16"/>
          <w:u w:val="single" w:color="auto"/>
          <w:color w:val="0000FF"/>
        </w:rPr>
        <w:t>Repositioning and Other Charges</w:t>
      </w:r>
      <w:r>
        <w:rPr>
          <w:rFonts w:ascii="Arial" w:cs="Arial" w:eastAsia="Arial" w:hAnsi="Arial"/>
          <w:sz w:val="16"/>
          <w:szCs w:val="16"/>
          <w:color w:val="auto"/>
        </w:rPr>
        <w:t xml:space="preserve"> of Notes to Consolidated Financial Statements for a discussion of our repositioning actions and related charges incurred in 2024, 2023, and 2022. Cash spending related to our repositioning actions was $195 million, $294 million, and $275 million in 2024, 2023, and 2022, respectively, and was funded through operating cash flows.</w:t>
      </w:r>
    </w:p>
    <w:p>
      <w:pPr>
        <w:spacing w:after="0" w:line="395" w:lineRule="exact"/>
        <w:rPr>
          <w:sz w:val="20"/>
          <w:szCs w:val="20"/>
          <w:color w:val="auto"/>
        </w:rPr>
      </w:pPr>
    </w:p>
    <w:p>
      <w:pPr>
        <w:ind w:left="400" w:hanging="392"/>
        <w:spacing w:after="0"/>
        <w:tabs>
          <w:tab w:leader="none" w:pos="400" w:val="left"/>
        </w:tabs>
        <w:numPr>
          <w:ilvl w:val="0"/>
          <w:numId w:val="64"/>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29" w:name="page30"/>
    <w:bookmarkEnd w:id="29"/>
    <w:p>
      <w:pPr>
        <w:ind w:left="20"/>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RISK FACTORS</w:t>
      </w:r>
    </w:p>
    <w:p>
      <w:pPr>
        <w:spacing w:after="0" w:line="39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Our business, operating results, cash flows, and financial condition are subject to the material risks and uncertainties set forth below, any one of which could cause our actual results to vary materially from recent results or from our anticipated future results. Disclosures of risks should not be interpreted to imply that the risks have not already materialized, and there may be additional risks that are not presently material or known.</w:t>
      </w:r>
    </w:p>
    <w:p>
      <w:pPr>
        <w:spacing w:after="0" w:line="234" w:lineRule="exact"/>
        <w:rPr>
          <w:sz w:val="20"/>
          <w:szCs w:val="20"/>
          <w:color w:val="auto"/>
        </w:rPr>
      </w:pPr>
    </w:p>
    <w:p>
      <w:pPr>
        <w:spacing w:after="0"/>
        <w:rPr>
          <w:sz w:val="20"/>
          <w:szCs w:val="20"/>
          <w:color w:val="auto"/>
        </w:rPr>
      </w:pPr>
      <w:r>
        <w:rPr>
          <w:rFonts w:ascii="Arial" w:cs="Arial" w:eastAsia="Arial" w:hAnsi="Arial"/>
          <w:sz w:val="29"/>
          <w:szCs w:val="29"/>
          <w:color w:val="D7282F"/>
        </w:rPr>
        <w:t>MACROECONOMIC AND INDUSTRY RISKS</w:t>
      </w:r>
    </w:p>
    <w:p>
      <w:pPr>
        <w:spacing w:after="0" w:line="252" w:lineRule="exact"/>
        <w:rPr>
          <w:sz w:val="20"/>
          <w:szCs w:val="20"/>
          <w:color w:val="auto"/>
        </w:rPr>
      </w:pPr>
    </w:p>
    <w:p>
      <w:pPr>
        <w:jc w:val="both"/>
        <w:ind w:right="20"/>
        <w:spacing w:after="0" w:line="296" w:lineRule="auto"/>
        <w:rPr>
          <w:sz w:val="20"/>
          <w:szCs w:val="20"/>
          <w:color w:val="auto"/>
        </w:rPr>
      </w:pPr>
      <w:r>
        <w:rPr>
          <w:rFonts w:ascii="Arial" w:cs="Arial" w:eastAsia="Arial" w:hAnsi="Arial"/>
          <w:sz w:val="16"/>
          <w:szCs w:val="16"/>
          <w:b w:val="1"/>
          <w:bCs w:val="1"/>
          <w:color w:val="DC202E"/>
        </w:rPr>
        <w:t>Each of our businesses is subject to unique industry and economic conditions that may adversely affect the markets and operating conditions of our customers, which in turn can affect demand for our products and services and our results of operations.</w:t>
      </w:r>
    </w:p>
    <w:p>
      <w:pPr>
        <w:spacing w:after="0" w:line="46" w:lineRule="exact"/>
        <w:rPr>
          <w:sz w:val="20"/>
          <w:szCs w:val="20"/>
          <w:color w:val="auto"/>
        </w:rPr>
      </w:pPr>
    </w:p>
    <w:p>
      <w:pPr>
        <w:jc w:val="both"/>
        <w:ind w:left="200" w:hanging="192"/>
        <w:spacing w:after="0" w:line="257" w:lineRule="auto"/>
        <w:tabs>
          <w:tab w:leader="none" w:pos="197" w:val="left"/>
        </w:tabs>
        <w:numPr>
          <w:ilvl w:val="0"/>
          <w:numId w:val="65"/>
        </w:numPr>
        <w:rPr>
          <w:rFonts w:ascii="Arial" w:cs="Arial" w:eastAsia="Arial" w:hAnsi="Arial"/>
          <w:sz w:val="16"/>
          <w:szCs w:val="16"/>
          <w:b w:val="1"/>
          <w:bCs w:val="1"/>
          <w:color w:val="D7282F"/>
        </w:rPr>
      </w:pPr>
      <w:r>
        <w:rPr>
          <w:rFonts w:ascii="Arial" w:cs="Arial" w:eastAsia="Arial" w:hAnsi="Arial"/>
          <w:sz w:val="16"/>
          <w:szCs w:val="16"/>
          <w:b w:val="1"/>
          <w:bCs w:val="1"/>
          <w:i w:val="1"/>
          <w:iCs w:val="1"/>
          <w:color w:val="auto"/>
        </w:rPr>
        <w:t>Aerospace Technologies</w:t>
      </w:r>
      <w:r>
        <w:rPr>
          <w:rFonts w:ascii="Arial" w:cs="Arial" w:eastAsia="Arial" w:hAnsi="Arial"/>
          <w:sz w:val="16"/>
          <w:szCs w:val="16"/>
          <w:color w:val="auto"/>
        </w:rPr>
        <w:t>—Our Aerospace business is impacted by customer buying patterns of aftermarket parts, supplier stability, factory transitions,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global supply chain capacity constraints that may lead to shortages of crucial components. Operating results may be adversely affected by downturns in the global demand for air travel, which may impact new aircraft production or result in the delay or cancellation of new aircraft orders, delays in launch schedules for new aircrafts, the retirement of aircrafts, and reductions in global flying hours, which impacts air transport and regional, business, and general aviation aircraft utilization rates. Operating results may also be adversely affected by any decrease in air travel demand due to regional restrictions or suspension of service for events related to public health, safety, the environment, or regional conflicts. Operating results could also be impacted by changes in overall trends related to end market demand for the product portfolio, as well as new entrants and non-traditional players entering the market. Operating results in our Defense and Space business unit may be affected by the mix of U.S. and foreign government appropriations for defense and space programs and by compliance risks. Results may also be impacted by the potential introduction of counterfeit parts into our global supply chain.</w:t>
      </w:r>
    </w:p>
    <w:p>
      <w:pPr>
        <w:spacing w:after="0" w:line="238" w:lineRule="exact"/>
        <w:rPr>
          <w:rFonts w:ascii="Arial" w:cs="Arial" w:eastAsia="Arial" w:hAnsi="Arial"/>
          <w:sz w:val="16"/>
          <w:szCs w:val="16"/>
          <w:b w:val="1"/>
          <w:bCs w:val="1"/>
          <w:color w:val="D7282F"/>
        </w:rPr>
      </w:pPr>
    </w:p>
    <w:p>
      <w:pPr>
        <w:jc w:val="both"/>
        <w:ind w:left="200" w:hanging="192"/>
        <w:spacing w:after="0" w:line="265" w:lineRule="auto"/>
        <w:tabs>
          <w:tab w:leader="none" w:pos="197" w:val="left"/>
        </w:tabs>
        <w:numPr>
          <w:ilvl w:val="0"/>
          <w:numId w:val="65"/>
        </w:numPr>
        <w:rPr>
          <w:rFonts w:ascii="Arial" w:cs="Arial" w:eastAsia="Arial" w:hAnsi="Arial"/>
          <w:sz w:val="16"/>
          <w:szCs w:val="16"/>
          <w:b w:val="1"/>
          <w:bCs w:val="1"/>
          <w:color w:val="D7282F"/>
        </w:rPr>
      </w:pPr>
      <w:r>
        <w:rPr>
          <w:rFonts w:ascii="Arial" w:cs="Arial" w:eastAsia="Arial" w:hAnsi="Arial"/>
          <w:sz w:val="16"/>
          <w:szCs w:val="16"/>
          <w:b w:val="1"/>
          <w:bCs w:val="1"/>
          <w:i w:val="1"/>
          <w:iCs w:val="1"/>
          <w:color w:val="auto"/>
        </w:rPr>
        <w:t>Industrial Automation</w:t>
      </w:r>
      <w:r>
        <w:rPr>
          <w:rFonts w:ascii="Arial" w:cs="Arial" w:eastAsia="Arial" w:hAnsi="Arial"/>
          <w:sz w:val="16"/>
          <w:szCs w:val="16"/>
          <w:color w:val="auto"/>
        </w:rPr>
        <w:t>—Operating results may be adversely impacted by reduced investments in process automation, safety monitoring, and plant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capacity utilization initiatives, fluctuations in retail markets, a slowdown in demand for safety products, changes in the competitive landscape, including new market entrants and new technologies that may lead to product commoditization, and adverse industry economic conditions, all of which could result in lower market share, reduced selling prices, and lower margins.</w:t>
      </w:r>
    </w:p>
    <w:p>
      <w:pPr>
        <w:spacing w:after="0" w:line="37" w:lineRule="exact"/>
        <w:rPr>
          <w:rFonts w:ascii="Arial" w:cs="Arial" w:eastAsia="Arial" w:hAnsi="Arial"/>
          <w:sz w:val="16"/>
          <w:szCs w:val="16"/>
          <w:b w:val="1"/>
          <w:bCs w:val="1"/>
          <w:color w:val="D7282F"/>
        </w:rPr>
      </w:pPr>
    </w:p>
    <w:p>
      <w:pPr>
        <w:jc w:val="both"/>
        <w:ind w:left="200" w:hanging="192"/>
        <w:spacing w:after="0" w:line="266" w:lineRule="auto"/>
        <w:tabs>
          <w:tab w:leader="none" w:pos="197" w:val="left"/>
        </w:tabs>
        <w:numPr>
          <w:ilvl w:val="0"/>
          <w:numId w:val="65"/>
        </w:numPr>
        <w:rPr>
          <w:rFonts w:ascii="Arial" w:cs="Arial" w:eastAsia="Arial" w:hAnsi="Arial"/>
          <w:sz w:val="16"/>
          <w:szCs w:val="16"/>
          <w:b w:val="1"/>
          <w:bCs w:val="1"/>
          <w:color w:val="D7282F"/>
        </w:rPr>
      </w:pPr>
      <w:r>
        <w:rPr>
          <w:rFonts w:ascii="Arial" w:cs="Arial" w:eastAsia="Arial" w:hAnsi="Arial"/>
          <w:sz w:val="16"/>
          <w:szCs w:val="16"/>
          <w:b w:val="1"/>
          <w:bCs w:val="1"/>
          <w:i w:val="1"/>
          <w:iCs w:val="1"/>
          <w:color w:val="auto"/>
        </w:rPr>
        <w:t>Building Automation</w:t>
      </w:r>
      <w:r>
        <w:rPr>
          <w:rFonts w:ascii="Arial" w:cs="Arial" w:eastAsia="Arial" w:hAnsi="Arial"/>
          <w:sz w:val="16"/>
          <w:szCs w:val="16"/>
          <w:color w:val="auto"/>
        </w:rPr>
        <w:t>—Operating results may be adversely impacted by downturns in the level of global buildings and infrastructure construction activity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(including retrofits and upgrades), lower capital spending and operating expenditures on projects, changes in the competitive landscape, including new market entrants and new technologies, and fluctuations in inventory levels in distribution channels.</w:t>
      </w:r>
    </w:p>
    <w:p>
      <w:pPr>
        <w:spacing w:after="0" w:line="36" w:lineRule="exact"/>
        <w:rPr>
          <w:rFonts w:ascii="Arial" w:cs="Arial" w:eastAsia="Arial" w:hAnsi="Arial"/>
          <w:sz w:val="16"/>
          <w:szCs w:val="16"/>
          <w:b w:val="1"/>
          <w:bCs w:val="1"/>
          <w:color w:val="D7282F"/>
        </w:rPr>
      </w:pPr>
    </w:p>
    <w:p>
      <w:pPr>
        <w:jc w:val="both"/>
        <w:ind w:left="200" w:hanging="192"/>
        <w:spacing w:after="0" w:line="265" w:lineRule="auto"/>
        <w:tabs>
          <w:tab w:leader="none" w:pos="197" w:val="left"/>
        </w:tabs>
        <w:numPr>
          <w:ilvl w:val="0"/>
          <w:numId w:val="65"/>
        </w:numPr>
        <w:rPr>
          <w:rFonts w:ascii="Arial" w:cs="Arial" w:eastAsia="Arial" w:hAnsi="Arial"/>
          <w:sz w:val="16"/>
          <w:szCs w:val="16"/>
          <w:b w:val="1"/>
          <w:bCs w:val="1"/>
          <w:color w:val="D7282F"/>
        </w:rPr>
      </w:pPr>
      <w:r>
        <w:rPr>
          <w:rFonts w:ascii="Arial" w:cs="Arial" w:eastAsia="Arial" w:hAnsi="Arial"/>
          <w:sz w:val="16"/>
          <w:szCs w:val="16"/>
          <w:b w:val="1"/>
          <w:bCs w:val="1"/>
          <w:i w:val="1"/>
          <w:iCs w:val="1"/>
          <w:color w:val="auto"/>
        </w:rPr>
        <w:t>Energy and Sustainability Solutions</w:t>
      </w:r>
      <w:r>
        <w:rPr>
          <w:rFonts w:ascii="Arial" w:cs="Arial" w:eastAsia="Arial" w:hAnsi="Arial"/>
          <w:sz w:val="16"/>
          <w:szCs w:val="16"/>
          <w:color w:val="auto"/>
        </w:rPr>
        <w:t>—Operating results may be adversely impacted by downturns in capacity utilization for chemical, industrial,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refining, petrochemical, and semiconductor plants, our customers’ availability of capital for refinery construction and expansion, raw material demand and supply, product commoditization, continued illegal imports of hydrofluorocarbons into Europe, and our ability to maximize our facilities’ production capacity and minimize downtime. Periods of increased volatility in oil and natural gas prices may result in less investment by our customers and therefore, lower demand for our products and services.</w:t>
      </w:r>
    </w:p>
    <w:p>
      <w:pPr>
        <w:spacing w:after="0" w:line="64"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DC202E"/>
        </w:rPr>
        <w:t>A significant percentage of our sales and operations is in non-U.S. jurisdictions and is subject to the economic, political, regulatory, foreign exchange, and other risks of international operations.</w:t>
      </w:r>
    </w:p>
    <w:p>
      <w:pPr>
        <w:spacing w:after="0" w:line="18"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Our international operations, including U.S. exports, represent more than half of the Company’s sales. Risks related to international operations include exchange control regulations, wage and price controls, fluctuations in foreign currency exchange rates, antitrust regulations, employment regulations, foreign investment laws, import, export, and other trade restrictions and barriers (such as tariffs, sanctions, and embargoes), differing levels of protection of intellectual property, acts of industrial espionage, violations by our employees of anti-corruption laws (despite our efforts to mitigate such risk), changes in regulations regarding transactions with state-owned enterprises, nationalization of private enterprises, acts of terrorism, acts of war, civil strife, and our ability to hire and maintain qualified staff and maintain the safety of our employees in these regions. Instability and uncertainties arising from the global geopolitical environment and the evolving international and domestic political, regulatory, and economic landscape, including the potential for changes in global trade policies, such as sanctions and trade barriers, and trends such as populism, economic nationalism, and negative sentiment toward multinational companies, as well as the cost of compliance with increasingly complex and often conflicting regulations worldwide, can impair our flexibility in modifying product, marketing, pricing, or other strategies for growing our businesses, as well as our ability to improve productivity and maintain acceptable operating margins.</w:t>
      </w:r>
    </w:p>
    <w:p>
      <w:pPr>
        <w:spacing w:after="0" w:line="8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Existing free trade laws and regulations provide certain beneficial duties and tariffs for qualifying imports and exports. Changes in laws or policies governing the terms of foreign trade, and in particular increased trade restrictions, tariffs, or taxes on imports from countries where we manufacture products or from where we import products or raw materials, either directly or through our suppliers, could have an impact on our competitive position and financial results.</w:t>
      </w:r>
    </w:p>
    <w:p>
      <w:pPr>
        <w:spacing w:after="0" w:line="395" w:lineRule="exact"/>
        <w:rPr>
          <w:sz w:val="20"/>
          <w:szCs w:val="20"/>
          <w:color w:val="auto"/>
        </w:rPr>
      </w:pPr>
    </w:p>
    <w:p>
      <w:pPr>
        <w:ind w:left="400" w:hanging="392"/>
        <w:spacing w:after="0"/>
        <w:tabs>
          <w:tab w:leader="none" w:pos="400" w:val="left"/>
        </w:tabs>
        <w:numPr>
          <w:ilvl w:val="0"/>
          <w:numId w:val="66"/>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30" w:name="page31"/>
    <w:bookmarkEnd w:id="30"/>
    <w:p>
      <w:pPr>
        <w:ind w:left="20"/>
        <w:spacing w:after="0"/>
        <w:tabs>
          <w:tab w:leader="none" w:pos="1026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U.S. continues to implement certain trade actions, including imposing tariffs on certain goods imported from China and other countries, which has resulted in retaliatory tariffs by China and other countries. More significant tariffs have been proposed by the new administration in the U.S., although it is not possible to predict the extent or focus of any such tariffs at this time. Additional tariffs, export controls, and sanctions laws imposed by the U.S. on a broader range of imports, or further retaliatory trade measures taken by China or other countries in response, could increase the cost of our products.</w:t>
      </w:r>
    </w:p>
    <w:p>
      <w:pPr>
        <w:spacing w:after="0" w:line="78"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In response to the conflict between Russia and Ukraine, the U.S. and other countries imposed actions including sanctions, export and import controls, and trade restrictions with respect to Russian and Belarusian governments, government-related entities, and other entities and individuals. Further, the Russian government implemented retaliatory actions against the U.S. and other nation members of the North Atlantic Treaty Organization (NATO) as well as certain other nations. Given the uncertainty inherent in our remaining obligations related to our contracts with Russian counterparties, we do not believe it is possible to develop estimates of reasonably possible loss in excess of current accruals for these matters. As the conflict continues to evolve, existing conditions may worsen, or other impacts, including escalation of the conflict in other regions of Europe where there is a material portion of our business, increased tension between Russia and the U.S. and other NATO members and other countries, or other impacts that are unknown at this time, could lead to increased charges and could have a material adverse effect on our consolidated financial position. These impacts may result in increased costs or additional impacts on our operations and may adversely affect our ability to meet contractual and financial obligations, results of operations, and financial condition.</w:t>
      </w:r>
    </w:p>
    <w:p>
      <w:pPr>
        <w:spacing w:after="0" w:line="69"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To the extent the current conflict between Russia and Ukraine continues to escalate, including as a result of the policies of the new administration in the U.S. (which we are unable to predict at this time), it may also negatively impact other risk factors disclosed in this Form 10-K and further impact our financial results. Such risks include, but are not limited to, adverse effects on macroeconomic conditions, including inflation and consumer spending; cybersecurity incidents and other disruptions to our information technology (IT) infrastructure or that of our customers and suppliers, including disruptions at our cloud computing, server, systems, and other third party IT service providers; adverse changes in international trade policies and relations; our ability to implement and execute our business strategy, particularly in Eastern Europe and surrounding regions; disruptions in global supply chains; energy shortages; terrorist activities targeting U.S. government contractors and/or critical infrastructure; our exposure to foreign currency fluctuations; and constraints, volatility, or disruption in the capital markets.</w:t>
      </w:r>
    </w:p>
    <w:p>
      <w:pPr>
        <w:spacing w:after="0" w:line="7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Operating outside of the U.S. also exposes us to foreign exchange risk, which we monitor and seek to reduce through hedging activities. However, foreign exchange hedging activities bear a financial cost and may not always be available to us or be successful in eliminating such volatility. Finally, we generate significant amounts of cash outside of the U.S. that is invested with financial and non-financial counterparties. While we employ comprehensive controls regarding global cash management to guard against cash or investment loss and to ensure our ability to fund our operations and commitments, a material disruption to the counterparties with whom we transact business could expose Honeywell to financial loss.</w:t>
      </w:r>
    </w:p>
    <w:p>
      <w:pPr>
        <w:spacing w:after="0" w:line="64"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Operating outside the U.S. also exposes us to additional intellectual property risk. The laws and enforcement practices of certain jurisdictions in which we operate may not protect our intellectual property rights to the same extent as in the U.S. and may impose joint venture, technology transfer, local service or other foreign investment requirements, and restrictions that potentially compromise control over our technology and proprietary information. Failure of foreign jurisdictions to protect our intellectual property rights, an inability to effectively enforce such rights in foreign jurisdictions, or the imposition of foreign jurisdiction investment or sourcing restrictions or requirements could result in loss of valuable proprietary information and could impact our competitive position and financial results.</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b w:val="1"/>
          <w:bCs w:val="1"/>
          <w:color w:val="D7282F"/>
        </w:rPr>
        <w:t>Risks related to our defined benefit pension plans may adversely impact our results of operations and cash flow.</w:t>
      </w:r>
    </w:p>
    <w:p>
      <w:pPr>
        <w:spacing w:after="0" w:line="11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Significant changes in actual investment return on pension assets, discount rates, and other factors could adversely affect our results of operations and require cash pension contributions in future periods. Changes in discount rates and actual asset returns different than our anticipated asset returns can result in significant non-cash actuarial gains or losses, which we record in the fourth quarter of each fiscal year, and, if applicable, in any quarter in which an interim remeasurement is triggered. With regard to cash pension contributions, funding requirements for our pension plans are largely dependent upon interest rates, actual investment returns on pension assets, and the impact of legislative or regulatory changes related to pension funding obligations.</w:t>
      </w:r>
    </w:p>
    <w:p>
      <w:pPr>
        <w:spacing w:after="0" w:line="241" w:lineRule="exact"/>
        <w:rPr>
          <w:sz w:val="20"/>
          <w:szCs w:val="20"/>
          <w:color w:val="auto"/>
        </w:rPr>
      </w:pPr>
    </w:p>
    <w:p>
      <w:pPr>
        <w:spacing w:after="0"/>
        <w:rPr>
          <w:sz w:val="20"/>
          <w:szCs w:val="20"/>
          <w:color w:val="auto"/>
        </w:rPr>
      </w:pPr>
      <w:r>
        <w:rPr>
          <w:rFonts w:ascii="Arial" w:cs="Arial" w:eastAsia="Arial" w:hAnsi="Arial"/>
          <w:sz w:val="29"/>
          <w:szCs w:val="29"/>
          <w:color w:val="D7282F"/>
        </w:rPr>
        <w:t>OPERATIONAL RISKS</w:t>
      </w:r>
    </w:p>
    <w:p>
      <w:pPr>
        <w:spacing w:after="0" w:line="25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b w:val="1"/>
          <w:bCs w:val="1"/>
          <w:color w:val="D7282F"/>
        </w:rPr>
        <w:t>Raw material price fluctuations, inflation, the ability of key suppliers to meet quality and delivery requirements, or catastrophic events can increase the cost of our products and services, impact our ability to meet commitments to customers, and cause us to incur significant liabilities.</w:t>
      </w:r>
    </w:p>
    <w:p>
      <w:pPr>
        <w:spacing w:after="0" w:line="46"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cost of raw materials is a key element in the cost of our products, particularly in Energy and Sustainability Solutions (copper, fluorspar, tungsten salts, ethylene, aluminum, and molybdenum) and in Aerospace Technologies (nickel, steel, titanium, and other metals). As of December 31, 2024, the majority of the raw materials supply base of Aerospace Technologies and Energy and Sustainability Solutions were under contract. While we have implemented mitigation strategies to reduce the impact of supply chain disruptions, any inability to source necessary materials when and as needed, offset material price or labor inflation through increased prices to customers, formula-driven or long-term fixed price contracts with suppliers, productivity actions, or commodity hedges could adversely affect our results of operations.</w:t>
      </w:r>
    </w:p>
    <w:p>
      <w:pPr>
        <w:spacing w:after="0" w:line="200" w:lineRule="exact"/>
        <w:rPr>
          <w:sz w:val="20"/>
          <w:szCs w:val="20"/>
          <w:color w:val="auto"/>
        </w:rPr>
      </w:pPr>
    </w:p>
    <w:p>
      <w:pPr>
        <w:spacing w:after="0" w:line="208" w:lineRule="exact"/>
        <w:rPr>
          <w:sz w:val="20"/>
          <w:szCs w:val="20"/>
          <w:color w:val="auto"/>
        </w:rPr>
      </w:pPr>
    </w:p>
    <w:p>
      <w:pPr>
        <w:ind w:left="400" w:hanging="392"/>
        <w:spacing w:after="0"/>
        <w:tabs>
          <w:tab w:leader="none" w:pos="400" w:val="left"/>
        </w:tabs>
        <w:numPr>
          <w:ilvl w:val="0"/>
          <w:numId w:val="67"/>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31" w:name="page32"/>
    <w:bookmarkEnd w:id="31"/>
    <w:p>
      <w:pPr>
        <w:ind w:left="20"/>
        <w:spacing w:after="0"/>
        <w:tabs>
          <w:tab w:leader="none" w:pos="1026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Many major components, product equipment items, and raw materials, particularly in Aerospace Technologies, are procured or subcontracted on a single or sole-source basis. Although we maintain a qualification and performance surveillance process and we believe that sources of supply for raw materials and components are generally adequate, it is difficult to predict what effects shortages or price increases, in addition to other supply chain disruptions, may have in the future. Our ability to manage inventory and meet delivery requirements may be constrained by our suppliers’ inability to scale production and adjust delivery of long-lead time products during times of volatile demand. In addition, current or future global economic uncertainty, including inflation and high interest rates, supply chain and labor disruptions, unemployment rates, banking instability, any U.S. government shutdown, any downgrades in the U.S. government's sovereign credit rating, public health crises, volatile financial markets, geopolitical instability and regional conflicts, and potential recession may affect the financial stability of our key suppliers or their access to financing, which may in turn affect their ability to perform their obligations to us. If one or more of our suppliers experiences financial difficulties, delivery delays, or other performance problems, our resulting inability to fill our supply needs would jeopardize our ability to fulfill obligations under commercial and government contracts, which could, in turn, result in reduced sales and profits, contract penalties or terminations, and damage to customer relationships.</w:t>
      </w:r>
    </w:p>
    <w:p>
      <w:pPr>
        <w:spacing w:after="0" w:line="7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an effort to reduce the impact of current and future supply chain disruptions, we have implemented short-term and long-term strategies to reduce the impact of such disruptions, including pricing actions, longer-term planning for constrained materials, material supply tracking tools, direct engagement with key suppliers to meet customer demand, and development of new or redesigned products that satisfy our product quality controls and engineering qualifications and/or any applicable regulatory requirements. We cannot provide any assurance that our mitigation strategies will continue to be successful, or that we will be able to alter our strategies or develop new strategies if and as needed.</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b w:val="1"/>
          <w:bCs w:val="1"/>
          <w:color w:val="DC202E"/>
        </w:rPr>
        <w:t>We may be unable to successfully execute or effectively integrate acquisitions, and divestitures may not occur as planned.</w:t>
      </w:r>
    </w:p>
    <w:p>
      <w:pPr>
        <w:spacing w:after="0" w:line="113"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We regularly review our portfolio of businesses and pursue growth through acquisitions and seek to divest non-core businesses. We may not be able to complete transactions on favorable terms, on a timely basis, or at all. In addition, our results of operations and cash flows may be adversely impacted by (i) the failure of acquired businesses to meet or exceed expected returns, including risk of impairment; (ii) the failure to integrate multiple acquired businesses into Honeywell simultaneously and on schedule and/or to achieve expected synergies; (iii) the inability to dispose of non-core assets and businesses on satisfactory terms and conditions; and (iv) the discovery of unanticipated liabilities, labor relations difficulties, cybersecurity concerns, compliance issues, or other problems in acquired businesses for which we lack contractual protections, insurance or indemnities, or, with regard to divested businesses, claims by purchasers to whom we have provided contractual indemnification.</w:t>
      </w:r>
    </w:p>
    <w:p>
      <w:pPr>
        <w:spacing w:after="0" w:line="6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b w:val="1"/>
          <w:bCs w:val="1"/>
          <w:color w:val="DC202E"/>
        </w:rPr>
        <w:t>The Company is subject to risks related to its plans to separate Automation and Aerospace Technologies and to spin off its Advanced Materials business into standalone, publicly traded companies.</w:t>
      </w:r>
    </w:p>
    <w:p>
      <w:pPr>
        <w:spacing w:after="0" w:line="46"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The Company has previously announced its intent to (i) spin off its Advanced Materials business, which is part of its Energy and Sustainability Solutions reportable business segment (the “AM Spin-off”), and (ii) separate its Aerospace Technologies segment from Automation, which will comprise its Industrial Automation, the Building Automation, and the remainder of the Energy and Sustainability Solutions segments (the “Automation and Aerospace Separation”), into standalone, publicly traded companies, in transactions that are intended to be tax-free for the Company’s shareowners for U.S. federal income tax purposes (together, the “Separations”). The AM Spin-off is expected to continue concurrent with the Automation and Aerospace Separation. Each of the Separations will be subject to the satisfaction of a number of customary conditions, including, among others, finalization of applicable financial statements, the filing and effectiveness of applicable filings (including Form 10 registration statements) with the SEC, assurance that the transactions will be tax-free to Honeywell’s shareowners, receipt of applicable regulatory and other customary approvals, and final approval by Honeywell’s Board of Directors. The failure to satisfy all of the required conditions for either Separation, as well as additional factors such as conditions in the equity and debt markets and other external conditions, including, but not limited to, shareowner actions or challenges relating to either Separation or to other aspects of the Company’s business or strategy, many of which are outside of the Company’s control, could delay the completion of one or both of the Separations relative to their respective anticipated timelines or prevent one or both from occurring. These or other unanticipated developments could also cause one or both of the Separations to occur on terms or conditions that are less favorable than anticipated. Furthermore, there is no guarantee that either of the Separations, if completed, will be successful in meeting its objectives or achieving its intended benefits. Whether or not the Separations are ultimately completed, the Company and our business may face challenges, including as a result of actions or challenges from shareowners, including activist shareowners, that may not be aligned with our business strategies or the interests of our other shareowners, including potential business disruption; the diversion of management’s time; and potential negative impacts on the Company’s relationships with its customers, employees, regulators, and other counterparties. Any of these factors could negatively impact our business, financial condition, results of operations, cash flows, and the price of our common stock, which may exhibit significant fluctuations based on temporary or speculative market perceptions or other factors that do not necessarily reflect the fundamental underlying value of our business or of the standalone, publicly traded companies that would be formed following the planned Separations.</w:t>
      </w:r>
    </w:p>
    <w:p>
      <w:pPr>
        <w:spacing w:after="0" w:line="200" w:lineRule="exact"/>
        <w:rPr>
          <w:sz w:val="20"/>
          <w:szCs w:val="20"/>
          <w:color w:val="auto"/>
        </w:rPr>
      </w:pPr>
    </w:p>
    <w:p>
      <w:pPr>
        <w:spacing w:after="0" w:line="225" w:lineRule="exact"/>
        <w:rPr>
          <w:sz w:val="20"/>
          <w:szCs w:val="20"/>
          <w:color w:val="auto"/>
        </w:rPr>
      </w:pPr>
    </w:p>
    <w:p>
      <w:pPr>
        <w:ind w:left="400" w:hanging="392"/>
        <w:spacing w:after="0"/>
        <w:tabs>
          <w:tab w:leader="none" w:pos="400" w:val="left"/>
        </w:tabs>
        <w:numPr>
          <w:ilvl w:val="0"/>
          <w:numId w:val="68"/>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32" w:name="page33"/>
    <w:bookmarkEnd w:id="32"/>
    <w:p>
      <w:pPr>
        <w:ind w:left="20"/>
        <w:spacing w:after="0"/>
        <w:tabs>
          <w:tab w:leader="none" w:pos="1026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b w:val="1"/>
          <w:bCs w:val="1"/>
          <w:color w:val="D7282F"/>
        </w:rPr>
        <w:t>Our future growth is largely dependent upon our ability to develop new technologies and introduce new products that achieve market acceptance in increasingly competitive markets with acceptable margins.</w:t>
      </w:r>
    </w:p>
    <w:p>
      <w:pPr>
        <w:spacing w:after="0" w:line="46" w:lineRule="exact"/>
        <w:rPr>
          <w:sz w:val="20"/>
          <w:szCs w:val="20"/>
          <w:color w:val="auto"/>
        </w:rPr>
      </w:pPr>
    </w:p>
    <w:p>
      <w:pPr>
        <w:jc w:val="both"/>
        <w:ind w:right="20"/>
        <w:spacing w:after="0" w:line="263" w:lineRule="auto"/>
        <w:rPr>
          <w:sz w:val="20"/>
          <w:szCs w:val="20"/>
          <w:color w:val="auto"/>
        </w:rPr>
      </w:pPr>
      <w:r>
        <w:rPr>
          <w:rFonts w:ascii="Arial" w:cs="Arial" w:eastAsia="Arial" w:hAnsi="Arial"/>
          <w:sz w:val="16"/>
          <w:szCs w:val="16"/>
          <w:color w:val="auto"/>
        </w:rPr>
        <w:t>Our future growth rate depends upon a number of factors, including our ability to (i) identify and evolve with emerging technological and broader industry trends, including technologies such as artificial intelligence and machine learning in our target end markets; (ii) develop and maintain competitive products;</w:t>
      </w:r>
    </w:p>
    <w:p>
      <w:pPr>
        <w:jc w:val="both"/>
        <w:ind w:firstLine="8"/>
        <w:spacing w:after="0" w:line="252" w:lineRule="auto"/>
        <w:tabs>
          <w:tab w:leader="none" w:pos="289" w:val="left"/>
        </w:tabs>
        <w:numPr>
          <w:ilvl w:val="0"/>
          <w:numId w:val="69"/>
        </w:numPr>
        <w:rPr>
          <w:rFonts w:ascii="Arial" w:cs="Arial" w:eastAsia="Arial" w:hAnsi="Arial"/>
          <w:sz w:val="16"/>
          <w:szCs w:val="16"/>
          <w:color w:val="auto"/>
        </w:rPr>
      </w:pPr>
      <w:r>
        <w:rPr>
          <w:rFonts w:ascii="Arial" w:cs="Arial" w:eastAsia="Arial" w:hAnsi="Arial"/>
          <w:sz w:val="16"/>
          <w:szCs w:val="16"/>
          <w:color w:val="auto"/>
        </w:rPr>
        <w:t>defend our market share against an ever-expanding number of competitors, including many new and non-traditional competitors; (iv) enhance our products by adding innovative features that differentiate our products from those of our competitors and prevent commoditization of our products; (v) develop, manufacture, and bring compelling new products to market quickly and cost-effectively; (vi) monitor disruptive technologies and business models;</w:t>
      </w:r>
    </w:p>
    <w:p>
      <w:pPr>
        <w:jc w:val="both"/>
        <w:ind w:firstLine="8"/>
        <w:spacing w:after="0" w:line="256" w:lineRule="auto"/>
        <w:tabs>
          <w:tab w:leader="none" w:pos="335" w:val="left"/>
        </w:tabs>
        <w:numPr>
          <w:ilvl w:val="0"/>
          <w:numId w:val="70"/>
        </w:numPr>
        <w:rPr>
          <w:rFonts w:ascii="Arial" w:cs="Arial" w:eastAsia="Arial" w:hAnsi="Arial"/>
          <w:sz w:val="16"/>
          <w:szCs w:val="16"/>
          <w:color w:val="auto"/>
        </w:rPr>
      </w:pPr>
      <w:r>
        <w:rPr>
          <w:rFonts w:ascii="Arial" w:cs="Arial" w:eastAsia="Arial" w:hAnsi="Arial"/>
          <w:sz w:val="16"/>
          <w:szCs w:val="16"/>
          <w:color w:val="auto"/>
        </w:rPr>
        <w:t>achieve sufficient return on investment for new products introduced based on capital expenditures and research and development spending; (viii) respond to changes in overall trends related to end market demand; and (ix) attract, develop, and retain individuals with the requisite technical expertise and understanding of customers’ needs to develop new technologies and introduce new products. Competitors may also develop after-market services and parts for our products which attract customers and adversely affect our return on investment for new products. The failure of our technologies or products to gain market acceptance due to more attractive offerings by our competitors or the failure to address any of the above factors could significantly reduce our revenues and adversely affect our competitive standing and prospects. Emerging technology, such as generative artificial intelligence, is complex and rapidly evolving, and while we aim to develop and use artificial intelligence responsibly, we may ultimately be unsuccessful in identifying or resolving all issues, and the technologies that we develop, or use may ultimately be flawed which could harm our reputation and expose us to risks related to such inaccuracies or errors in these outputs.</w:t>
      </w:r>
    </w:p>
    <w:p>
      <w:pPr>
        <w:spacing w:after="0" w:line="71"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D7282F"/>
        </w:rPr>
        <w:t>Failure to increase productivity through sustainable operational improvements, as well as an inability to successfully execute repositioning projects or to effectively manage our workforce, may reduce our profitability or adversely impact our businesses.</w:t>
      </w:r>
    </w:p>
    <w:p>
      <w:pPr>
        <w:spacing w:after="0" w:line="18"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Our profitability and margin growth are dependent upon our ability to drive sustainable improvements. We seek productivity and cost savings benefits through repositioning actions and projects, such as consolidation of manufacturing facilities, transitions to cost-competitive regions, and product line rationalizations. Risks associated with these actions include delays in execution, additional unexpected costs, realization of fewer than estimated productivity improvements, and adverse effects on employee morale. We may not realize the full operational or financial benefits we expect, the recognition of these benefits may be delayed, and these actions may potentially disrupt our operations. In addition, organizational changes, increased attrition, failure to create and implement a succession plan for key Company positions, not retaining key talent, inability to attract new employees with unique skills, trends in rising labor costs and labor availability, labor relations difficulties, or workforce stoppage could have a material adverse effect on our business, reputation, financial position, and results of operations. Additionally, certain personnel may be required to receive various clearances and substantial training in order to work on certain programs or perform certain tasks. Necessary security clearances may be delayed, which may impact our ability to perform on our U.S. government contracts. We also may not be successful in training or developing qualified personnel with the requisite relevant skills or security clearances.</w:t>
      </w:r>
    </w:p>
    <w:p>
      <w:pPr>
        <w:spacing w:after="0" w:line="74" w:lineRule="exact"/>
        <w:rPr>
          <w:sz w:val="20"/>
          <w:szCs w:val="20"/>
          <w:color w:val="auto"/>
        </w:rPr>
      </w:pPr>
    </w:p>
    <w:p>
      <w:pPr>
        <w:jc w:val="both"/>
        <w:ind w:right="20"/>
        <w:spacing w:after="0" w:line="296" w:lineRule="auto"/>
        <w:rPr>
          <w:sz w:val="20"/>
          <w:szCs w:val="20"/>
          <w:color w:val="auto"/>
        </w:rPr>
      </w:pPr>
      <w:r>
        <w:rPr>
          <w:rFonts w:ascii="Arial" w:cs="Arial" w:eastAsia="Arial" w:hAnsi="Arial"/>
          <w:sz w:val="16"/>
          <w:szCs w:val="16"/>
          <w:b w:val="1"/>
          <w:bCs w:val="1"/>
          <w:color w:val="D7282F"/>
        </w:rPr>
        <w:t>As a supplier to the U.S. government, we are subject to unique risks, such as the right of the U.S. government to terminate contracts for convenience and to conduct audits and investigations of our operations and performance.</w:t>
      </w:r>
    </w:p>
    <w:p>
      <w:pPr>
        <w:spacing w:after="0" w:line="4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U.S. government contracts are subject to termination by the government, either for the convenience of the government or for our failure to perform consistent with the terms of the applicable contract. Our contracts with the U.S. government are also subject to government audits that may recommend downward price adjustments and other changes. When appropriate and prudent, we made adjustments and paid voluntary refunds in the past and may do so in the future. In addition, U.S. government contracts are subject to congressional funding, which may be unavailable due to changes in priorities or subject to continuing resolution, which may result in funding reductions, eliminations, or other effects that could impact our business.</w:t>
      </w:r>
    </w:p>
    <w:p>
      <w:pPr>
        <w:spacing w:after="0" w:line="8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are also subject to government investigations of business practices and compliance with government procurement and security regulations. If, as a result of any such investigation or other government investigations (including investigation of violations of certain environmental, employment, or export laws), Honeywell or one of its businesses were found to have violated applicable law, then it could be suspended from bidding on or receiving awards of new government contracts, suspended from contract performance pending the completion of legal proceedings, and/or have its export privileges suspended.</w:t>
      </w:r>
    </w:p>
    <w:p>
      <w:pPr>
        <w:spacing w:after="0" w:line="200" w:lineRule="exact"/>
        <w:rPr>
          <w:sz w:val="20"/>
          <w:szCs w:val="20"/>
          <w:color w:val="auto"/>
        </w:rPr>
      </w:pPr>
    </w:p>
    <w:p>
      <w:pPr>
        <w:spacing w:after="0" w:line="204" w:lineRule="exact"/>
        <w:rPr>
          <w:sz w:val="20"/>
          <w:szCs w:val="20"/>
          <w:color w:val="auto"/>
        </w:rPr>
      </w:pPr>
    </w:p>
    <w:p>
      <w:pPr>
        <w:ind w:left="400" w:hanging="392"/>
        <w:spacing w:after="0"/>
        <w:tabs>
          <w:tab w:leader="none" w:pos="400" w:val="left"/>
        </w:tabs>
        <w:numPr>
          <w:ilvl w:val="0"/>
          <w:numId w:val="71"/>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33" w:name="page34"/>
    <w:bookmarkEnd w:id="33"/>
    <w:p>
      <w:pPr>
        <w:ind w:left="20"/>
        <w:spacing w:after="0"/>
        <w:tabs>
          <w:tab w:leader="none" w:pos="1026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b w:val="1"/>
          <w:bCs w:val="1"/>
          <w:color w:val="D7282F"/>
        </w:rPr>
        <w:t>Our operations and the prior operations of predecessor companies expose us to the risk of material environmental liabilities.</w:t>
      </w:r>
    </w:p>
    <w:p>
      <w:pPr>
        <w:spacing w:after="0" w:line="113"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Mainly because of past operations and operations of predecessor companies, we are subject to potentially material liabilities related to the remediation of environmental hazards and to claims of personal injuries or property damages that may be caused by hazardous substance releases and exposures. We continue to incur remedial response and voluntary clean-up costs for site contamination and are a party to lawsuits and claims associated with environmental and safety matters, including past production of products containing hazardous substances. Additional lawsuits, claims, and costs involving environmental matters are likely to continue to arise in the future. Various federal, state, local, and foreign governments regulate the use of certain materials, the discharge of materials into the environment, and/or communications respecting certain materials in our products, and can impose substantial fines and criminal sanctions for violations, and require injunctive relief measures, including installation of costly equipment, implementation of operational changes to limit emissions and/or decrease the likelihood of accidental hazardous substance releases, or limiting access of our products to markets, among others. In addition, changes in laws, regulations and enforcement of policies, the discovery of previously unknown contamination or new technology or information related to individual sites, the establishment of stricter toxicity standards with respect to certain contaminants, or the imposition of new clean-up requirements or remedial techniques could require us to incur additional costs in the future that would have a negative effect on our financial condition or results of operations.</w:t>
      </w: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b w:val="1"/>
          <w:bCs w:val="1"/>
          <w:color w:val="D7282F"/>
        </w:rPr>
        <w:t>Our business, reputation, and financial performance may be materially impacted by cybersecurity attacks on our IT infrastructure and products.</w:t>
      </w:r>
    </w:p>
    <w:p>
      <w:pPr>
        <w:spacing w:after="0" w:line="113"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Cybersecurity is a critical component of the Company’s enterprise risk management program. Global cybersecurity threats and incidents can range from uncoordinated individual attempts to gain unauthorized access to IT, operational technology, and online services infrastructure to sophisticated and targeted measures known as advanced persistent threats, directed at the Company, its products, its customers, and/or its third-party software and service providers, including cloud providers. Our customers, including the U.S. government, are increasingly requiring cybersecurity protections and mandating cybersecurity standards in our products, and we may incur additional costs to comply with such demands. While we have experienced, and expect to continue to experience, these types of threats and incidents, none of them to date have been material to the Company. We seek to deploy comprehensive measures to deter, prevent, detect, respond to, and mitigate these threats, including identity and access controls, data protection, vulnerability assessments, continuous monitoring of our IT networks and systems, and maintenance of backup and protective systems. Despite these efforts, cybersecurity incidents (against us, parties with whom we contract, or software used in our business), including incidents due to human error, third-party action, including actions of foreign actors, which risk may be exacerbated by the current Russia-Ukraine and Israel-Hamas conflicts and U.S. and international response, insider attacks, the introduction of computer viruses and/or malicious or destructive code, phishing or denial-of-service attacks, the introduction of computer viruses and/or malicious or destructive code, ransomware or other malware, social engineering, malfeasance, other unauthorized physical or electronic access, or other vulnerabilities, depending on their nature and scope, could potentially result in the misappropriation, destruction, corruption or unavailability of critical data and confidential or proprietary information (our own or that of third parties), theft of funds, and the disruption of business operations. In addition, the techniques used to obtain unauthorized access to sensitive data continue to evolve and become more sophisticated and may not be recognized until launched against a target; accordingly, we may be unable to anticipate these techniques or implement adequate preventative measures, and future cybersecurity incidents could go undetected and persist for an extended period of time. Furthermore, to the extent artificial intelligence capabilities continue to improve and are increasingly adopted, they may be used to identify vulnerabilities and craft increasingly sophisticated cybersecurity attacks, including the use of generative artificial intelligence to conduct more sophisticated social engineering attacks on the Company, suppliers, or customers. In addition, vulnerabilities may be introduced from the use of artificial intelligence by us, our financial services providers and other vendors and third-party providers.</w:t>
      </w:r>
    </w:p>
    <w:p>
      <w:pPr>
        <w:spacing w:after="0" w:line="7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Our customers, partners (including our suppliers), subcontractors, and other third parties to whom we entrust confidential data, and on whom we rely on to provide products and services, face similar threats and growing requirements. While we aim to perform cybersecurity due diligence on our key vendors and service providers, we do not control such third parties, and our ability to monitor their cybersecurity-related controls, safeguards and processes is limited. Further, we cannot ensure the cybersecurity measures they take will be sufficient to protect any information we share with them or prevent any disruption arising from a technology failure, cyber-attack, or other information or security breach. We depend on such parties to implement adequate controls and safeguards to protect against and report cyber incidents. If such parties fail to deter, detect, or report cybersecurity incidents in a timely manner, we may suffer from financial and other harm, including to our information, operations, performance, employees, and reputation.</w:t>
      </w:r>
    </w:p>
    <w:p>
      <w:pPr>
        <w:spacing w:after="0" w:line="200" w:lineRule="exact"/>
        <w:rPr>
          <w:sz w:val="20"/>
          <w:szCs w:val="20"/>
          <w:color w:val="auto"/>
        </w:rPr>
      </w:pPr>
    </w:p>
    <w:p>
      <w:pPr>
        <w:spacing w:after="0" w:line="221" w:lineRule="exact"/>
        <w:rPr>
          <w:sz w:val="20"/>
          <w:szCs w:val="20"/>
          <w:color w:val="auto"/>
        </w:rPr>
      </w:pPr>
    </w:p>
    <w:p>
      <w:pPr>
        <w:ind w:left="400" w:hanging="392"/>
        <w:spacing w:after="0"/>
        <w:tabs>
          <w:tab w:leader="none" w:pos="400" w:val="left"/>
        </w:tabs>
        <w:numPr>
          <w:ilvl w:val="0"/>
          <w:numId w:val="72"/>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34" w:name="page35"/>
    <w:bookmarkEnd w:id="34"/>
    <w:p>
      <w:pPr>
        <w:ind w:left="20"/>
        <w:spacing w:after="0"/>
        <w:tabs>
          <w:tab w:leader="none" w:pos="1026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potential consequences of a material cybersecurity incident and its effects include financial loss, reputational damage, litigation with third parties, theft of intellectual property, fines levied by the Federal Trade Commission or other government agencies, diminution in the value of our investment in research, development, and engineering, and increased cybersecurity protection and remediation costs due to the increasing sophistication and proliferation of threats, which in turn could have a material impact on our competitiveness, business, financial condition, and results of operations. In addition, cybersecurity laws and regulations continue to evolve, and are increasingly demanding, both in the U.S. and globally, which adds compliance complexity and may increase our costs of compliance and expose us to reputational damage or litigation, monetary damages, regulatory enforcement actions, or fines in one or more jurisdictions. We cannot be certain that our cybersecurity insurance coverage will be adequate for liabilities actually incurred, that insurance will continue to be available to us on economically reasonable terms, or at all, or that any insurer will not deny coverage as to any future claim.</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b w:val="1"/>
          <w:bCs w:val="1"/>
          <w:color w:val="D7282F"/>
        </w:rPr>
        <w:t>The development of technology products and services presents security and safety risks.</w:t>
      </w:r>
    </w:p>
    <w:p>
      <w:pPr>
        <w:spacing w:after="0" w:line="127"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An increasing number of our products, services, and technologies are delivered with IoT capabilities and the accompanying interconnected device networks, which include sensors, data, and advanced computing capabilities. We have developed product software designs that we believe are less susceptible to cyber-attacks, but despite these efforts, if our products and services that include IoT solutions, inclusive of artificial intelligence and machine learning technologies, do not work as intended or are compromised, the possible consequences include financial loss, reputational damage, exposure to legal claims or enforcement actions, theft of intellectual property, and diminution in the value of our investment in research, development, and engineering, which in turn could adversely affect our competitiveness and results of operations.</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b w:val="1"/>
          <w:bCs w:val="1"/>
          <w:color w:val="D7282F"/>
        </w:rPr>
        <w:t>Data privacy, data protection, and information security may require significant resources and present certain risks.</w:t>
      </w:r>
    </w:p>
    <w:p>
      <w:pPr>
        <w:spacing w:after="0" w:line="113"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We collect, store, have access to, and otherwise process certain confidential or sensitive data, including proprietary business information, personal data, or other information that is subject to data privacy and security laws, regulations, and/or contractual obligations with third parties. Despite our efforts to protect such data, we may be vulnerable to material security breaches, theft, misplaced or lost data, programming errors, or human errors that could potentially lead to the compromise of such data, improper use of our products, systems, software solutions, or networks, unauthorized access, use, disclosure, modification, or destruction of data, defective products, production downtimes, and operational disruptions. A significant actual or perceived risk of theft, loss, fraudulent use or misuse of customer, employee, or other data, whether by us, our suppliers, channel partners, customers, or other third parties, as a result of employee error or malfeasance, or as a result of the imaging, software, security, and other products we incorporate into our products, as well as non-compliance with applicable industry standards or our contractual or other legal obligations or privacy and information security policies regarding such data, could result in costs, fines, litigation, or regulatory actions, or could lead customers to select the products and services of our competitors. In addition, we operate in an environment in which there are different and potentially conflicting laws in effect in the U.S. and foreign jurisdictions in which we operate, and we must understand and comply with each law and standard in these jurisdictions while also ensuring the data is secure. Many of these laws impose stringent requirements as to how we collect, store, maintain, transfer, and otherwise process personal data and provide significant or material penalties for noncompliance. Many jurisdictions have passed or are considering laws that require personal data relating to their residents or citizens to be maintained or replicated on local servers or impose specific obligations related to extraterritorial data transfers. Government enforcement actions can be costly and interrupt the regular operation of our business, and actual or alleged violations of such laws, including in relation to the Company’s processing of personal data or adoption of emerging technologies such as artificial intelligence and machine learning, can result in fines, reputational damage, and civil lawsuits, any of which may adversely affect our business, reputation, and financial statements.</w:t>
      </w:r>
    </w:p>
    <w:p>
      <w:pPr>
        <w:spacing w:after="0" w:line="7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b w:val="1"/>
          <w:bCs w:val="1"/>
          <w:color w:val="D7282F"/>
        </w:rPr>
        <w:t>A material disruption of our operations, particularly at our manufacturing facilities or within our IT infrastructure, could adversely affect our business.</w:t>
      </w:r>
    </w:p>
    <w:p>
      <w:pPr>
        <w:spacing w:after="0" w:line="46"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Our facilities, supply chains, distribution systems, and IT systems are subject to catastrophic loss due to natural disasters or other weather-related disruptions, including hurricanes and floods, which may be exacerbated by the effects of climate change, power outages, fires, explosions, terrorism, equipment failures, sabotage, cyber incidents, any potential effects of climate change and adverse weather conditions, including water scarcity and rising sea levels, labor disputes, critical supply failure, inaccurate downtime forecast, political disruption and regional conflicts, public health crises, like a regional or global pandemic, and other reasons, which can result in undesirable consequences, including financial losses and damaged relationships with customers. We employ IT systems and networks to support the business and rely on them to process, transmit and store electronic information, and to manage or support a variety of business processes and activities. Although preventative measures may help to mitigate damage, such measures could be costly, and disruptions to our manufacturing facilities or IT infrastructure from system failures, shutdowns, power outages and energy shortages, telecommunication or utility failures, cybersecurity incidents, and other events, including disruptions at our cloud computing, server, systems, and other third party IT service providers, could interfere with our operations, interrupt production and shipments, damage customer and business partner relationships, and negatively impact our reputation. In addition, the insurance we maintain may not be adequate to cover our losses resulting from any business interruption, including those resulting from a natural disaster or other severe weather event, and recurring extreme weather events or other adverse events could reduce the availability or increase the cost of insurance.</w:t>
      </w:r>
    </w:p>
    <w:p>
      <w:pPr>
        <w:spacing w:after="0" w:line="200" w:lineRule="exact"/>
        <w:rPr>
          <w:sz w:val="20"/>
          <w:szCs w:val="20"/>
          <w:color w:val="auto"/>
        </w:rPr>
      </w:pPr>
    </w:p>
    <w:p>
      <w:pPr>
        <w:spacing w:after="0" w:line="230" w:lineRule="exact"/>
        <w:rPr>
          <w:sz w:val="20"/>
          <w:szCs w:val="20"/>
          <w:color w:val="auto"/>
        </w:rPr>
      </w:pPr>
    </w:p>
    <w:p>
      <w:pPr>
        <w:ind w:left="400" w:hanging="392"/>
        <w:spacing w:after="0"/>
        <w:tabs>
          <w:tab w:leader="none" w:pos="400" w:val="left"/>
        </w:tabs>
        <w:numPr>
          <w:ilvl w:val="0"/>
          <w:numId w:val="73"/>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35" w:name="page36"/>
    <w:bookmarkEnd w:id="35"/>
    <w:p>
      <w:pPr>
        <w:ind w:left="20"/>
        <w:spacing w:after="0"/>
        <w:tabs>
          <w:tab w:leader="none" w:pos="1026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b w:val="1"/>
          <w:bCs w:val="1"/>
          <w:color w:val="D7282F"/>
        </w:rPr>
        <w:t>Concentrations of credit, counterparty, and market risk may adversely affect our results of operations and financial condition.</w:t>
      </w:r>
    </w:p>
    <w:p>
      <w:pPr>
        <w:spacing w:after="0" w:line="113"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We maintain long-term contractual relationships with many of our customers, suppliers, and other counterparties. While we monitor the financial health of these counterparties, we are exposed to credit and market risks of such counterparties, including those concentrated in the same or similar industries and geographic regions. Changes in political and economic conditions could also lead to concerns about the creditworthiness of counterparties and their ability to pay in the same or similar industry or geography, impacting our ability to renew our long-term contractual arrangements or collect amounts due under these arrangements. Among other factors, geopolitical events, inflation, rising interest rates, banking instability, and changes in economic conditions, including an economic downturn or recession, could also result in the credit deterioration or insolvency of a significant counterparty.</w:t>
      </w:r>
    </w:p>
    <w:p>
      <w:pPr>
        <w:spacing w:after="0" w:line="68"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D7282F"/>
        </w:rPr>
        <w:t>We are impacted by increasing stakeholder interest in public company performance, disclosure, and goal-setting with respect to environmental, social, and governance (ESG) matters.</w:t>
      </w:r>
    </w:p>
    <w:p>
      <w:pPr>
        <w:spacing w:after="0" w:line="18"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In response to growing customer, investor, employee, governmental, and other stakeholder interest in our ESG practices, including our procedures, standards, performance metrics, and goals, we have increased reporting of our ESG programs and performance and have established and announced goals and other objectives related to ESG matters. These goal statements reflect our current plans and aspirations and are not guarantees that we will be able to achieve them. Our ability to achieve any goal or objective, including with respect to ESG initiatives, is subject to numerous risks, many of which are outside of our control. Examples of such risks include: (i) the availability and cost of low- or non-carbon-based energy sources and technologies, (ii) evolving regulatory requirements affecting ESG standards or disclosures, (iii) the availability of suppliers that can meet our sustainability, diversity and other standards, (iv) our ability to recruit, develop, and retain diverse talent in our labor markets, and (v) the impact of our organic growth and acquisitions or dispositions of businesses or operations. In addition, standards for tracking and reporting on ESG matters have not been harmonized and continue to evolve. Our processes and controls for reporting of ESG matters may not always comply with evolving and disparate standards for identifying, measuring, and reporting ESG metrics, our interpretation of reporting standards may differ from those of others, and such standards may change over time, any of which could result in significant revisions to our performance metrics, goals, or reported progress in achieving such goals. In addition, certain of our products and services, including offerings in our Defense and Space business unit, are unattractive to certain investors and may cause us to be increasingly subject to ESG-driven investment practices that preclude investment in our debt and equity. On the other hand, some investors have a negative response to ESG practices as a result of anti-ESG sentiment and may choose not to invest in us, or divest in their holdings of us, as a result of our ESG practices and initiatives. Furthermore, there is also an increasing number of state-level anti-ESG initiatives in the U.S. that may conflict with other regulatory requirements, resulting in regulatory uncertainty.</w:t>
      </w:r>
    </w:p>
    <w:p>
      <w:pPr>
        <w:spacing w:after="0" w:line="269"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If our ESG practices or business portfolio do not meet evolving investor or other stakeholder expectations and standards, then our reputation, our ability to attract or retain employees, and our attractiveness as an investment, supplier, business partner, or acquiror could be negatively impacted. Our failure or perceived failure to pursue or fulfill our goals, targets, and objectives or to satisfy various reporting standards within the timelines we announce, or at all, could have similar negative impacts and expose us to government enforcement actions and private litigation.</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b w:val="1"/>
          <w:bCs w:val="1"/>
          <w:color w:val="D7282F"/>
        </w:rPr>
        <w:t>Global climate change and related regulations and changes in customer demand could negatively affect our operations and our business.</w:t>
      </w:r>
    </w:p>
    <w:p>
      <w:pPr>
        <w:spacing w:after="0" w:line="11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effects of climate change could create financial risks to our business. For example, the effects of physical impacts of climate change could disrupt our operations by impacting the availability and cost of materials needed for manufacturing, exacerbate existing risks to our supply chain, disrupt our operations, and increase insurance and other operating costs. These factors may impact our decisions to construct new facilities or maintain existing facilities in areas most prone to physical climate risks. We could also face indirect financial risks passed through the supply chain and disruptions that could result in increased prices for our products and the resources needed to produce them.</w:t>
      </w:r>
    </w:p>
    <w:p>
      <w:pPr>
        <w:spacing w:after="0" w:line="64"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 growing focus on addressing global climate change has resulted in more regulations designed to reduce GHG emissions and more customer demand for products and services that have a lower carbon footprint or that help businesses and consumers reduce carbon emissions throughout their value chains. These regulations tend to be implemented under global, national and sub-national climate objectives or policies, and target the global warming potential of refrigerants, energy efficiency, and the combustion of fossil fuels. Although we offer and continue to invest in developing solutions that help our customers meet their carbon reduction and sustainability goals, many of our products combust fossil fuels, consume energy, and use refrigerants. Regulations and carbon reduction goals which seek to reduce GHG emissions could reduce demand for such products and present a risk to our business. We may be required to further increase research and development and other capital expenditures in order to develop offerings that meet these new regulations, standards, and customer demands. There can be no assurance that our new product development efforts will be successful, that our products will be accepted by the market, or that economic returns will reflect our investments in new product development.</w:t>
      </w:r>
    </w:p>
    <w:p>
      <w:pPr>
        <w:spacing w:after="0" w:line="200" w:lineRule="exact"/>
        <w:rPr>
          <w:sz w:val="20"/>
          <w:szCs w:val="20"/>
          <w:color w:val="auto"/>
        </w:rPr>
      </w:pPr>
    </w:p>
    <w:p>
      <w:pPr>
        <w:spacing w:after="0" w:line="222" w:lineRule="exact"/>
        <w:rPr>
          <w:sz w:val="20"/>
          <w:szCs w:val="20"/>
          <w:color w:val="auto"/>
        </w:rPr>
      </w:pPr>
    </w:p>
    <w:p>
      <w:pPr>
        <w:ind w:left="400" w:hanging="392"/>
        <w:spacing w:after="0"/>
        <w:tabs>
          <w:tab w:leader="none" w:pos="400" w:val="left"/>
        </w:tabs>
        <w:numPr>
          <w:ilvl w:val="0"/>
          <w:numId w:val="74"/>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36" w:name="page37"/>
    <w:bookmarkEnd w:id="36"/>
    <w:p>
      <w:pPr>
        <w:ind w:left="20"/>
        <w:spacing w:after="0"/>
        <w:tabs>
          <w:tab w:leader="none" w:pos="1026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9"/>
          <w:szCs w:val="29"/>
          <w:color w:val="D7282F"/>
        </w:rPr>
        <w:t>LEGAL AND REGULATORY RISKS</w:t>
      </w:r>
    </w:p>
    <w:p>
      <w:pPr>
        <w:spacing w:after="0" w:line="25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b w:val="1"/>
          <w:bCs w:val="1"/>
          <w:color w:val="D7282F"/>
        </w:rPr>
        <w:t>Our U.S. and non-U.S. tax liabilities are dependent, in part, upon the distribution of income among various jurisdictions in which we operate, as well as changes in tax law or regulation.</w:t>
      </w:r>
    </w:p>
    <w:p>
      <w:pPr>
        <w:spacing w:after="0" w:line="46"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Our future results of operations could be adversely affected by changes in the effective tax rate as a result of a change in the mix of earnings in countries with differing statutory tax rates, changes in tax laws, regulations and judicial rulings (or changes in the interpretation thereof), potential taxation of digital services, changes in generally accepted accounting principles, changes in the valuation of deferred tax assets and liabilities, changes in the amount of earnings permanently reinvested offshore, the results of audits and examinations of previously filed tax returns and continuing assessments of our tax exposures, and various other governmental enforcement initiatives. Our tax expense includes estimates of tax reserves and reflects other estimates and assumptions, including assessments of our future earnings, which could impact the valuation of our deferred tax assets. In addition, our future effective tax rates could be subject to volatility or adversely affected by changes in tax laws, regulations, accounting principles, or interpretations thereof.</w:t>
      </w:r>
    </w:p>
    <w:p>
      <w:pPr>
        <w:spacing w:after="0" w:line="6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Organisation for Economic Co-operation and Development (OECD)/G20 and other invited countries, developed a global tax framework inclusive of a 15% global minimum tax under the Pillar Two Global Anti-Base Erosion Rules (Pillar Two). On December 15, 2022, the Council of the European Union (EU) formally adopted the OECD’s framework to achieve a coordinated implementation amongst EU Member States consistent with EU law. The EU’s Pillar Two Directive effective dates are January 1, 2024, and January 1, 2025, for different aspects of the directive. Other major jurisdictions are actively considering and implementing changes to their tax laws to adopt certain parts of the OECD’s proposals. We have assessed this framework and determined, based upon available guidance, that these changes will not have a material impact to our results of operations. Any future changes in OECD guidance or interpretations, including local country tax legislative changes thereof, could impact our initial assessment; therefore, we will continue to monitor and refine our assessment as further guidance is made available.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D7282F"/>
        </w:rPr>
        <w:t>Changes in legislation or government regulations or policies can have a significant impact on our results of operations.</w:t>
      </w:r>
    </w:p>
    <w:p>
      <w:pPr>
        <w:spacing w:after="0" w:line="113"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The sales and margins of each of our reportable business segments are directly impacted by government regulations, including environmental, safety, performance, and product certification regulations. Within Aerospace Technologies, the operating results of Commercial Aviation Original Equipment and Commercial Aviation Aftermarket may be impacted by, among other things, mandates of the Federal Aviation Administration and other similar international regulatory bodies regulating the installation of equipment on aircraft. Our Defense and Space business unit may be affected by changes in government procurement regulations. Within Building Automation and Industrial Automation, the demand for and cost of providing products, services and solutions can be impacted by fire, security, safety, health care, environmental, and energy efficiency standards and regulations. Energy and Sustainability Solutions' results of operations can be impacted by environmental and health standards, regulations, and judicial determinations, including potential per/polyfluoroalkyl substances (PFAS) legislation and regulations that, if adopted, could impact the sale of certain products in our Advanced Materials business unit, without fully assessing level of risk or environmental impact. Growth in all our businesses within emerging markets may be adversely impacted by the inability to acquire and retain qualified employees where local employment law mandates may be restrictive. Changes in such regulations and government policies could negatively impact us; for instance, noncompliance with legislation and regulations can result in fines and penalties, and compliance with any new regulations or policies may be burdensome and/or require significant expenditures.</w:t>
      </w:r>
    </w:p>
    <w:p>
      <w:pPr>
        <w:spacing w:after="0" w:line="88" w:lineRule="exact"/>
        <w:rPr>
          <w:sz w:val="20"/>
          <w:szCs w:val="20"/>
          <w:color w:val="auto"/>
        </w:rPr>
      </w:pPr>
    </w:p>
    <w:p>
      <w:pPr>
        <w:jc w:val="both"/>
        <w:ind w:right="20"/>
        <w:spacing w:after="0" w:line="296" w:lineRule="auto"/>
        <w:rPr>
          <w:sz w:val="20"/>
          <w:szCs w:val="20"/>
          <w:color w:val="auto"/>
        </w:rPr>
      </w:pPr>
      <w:r>
        <w:rPr>
          <w:rFonts w:ascii="Arial" w:cs="Arial" w:eastAsia="Arial" w:hAnsi="Arial"/>
          <w:sz w:val="16"/>
          <w:szCs w:val="16"/>
          <w:b w:val="1"/>
          <w:bCs w:val="1"/>
          <w:color w:val="D7282F"/>
        </w:rPr>
        <w:t>Increased focus and evolving views of lawmakers on climate change and other ESG issues could have a long-term impact on our business and result of operations.</w:t>
      </w:r>
    </w:p>
    <w:p>
      <w:pPr>
        <w:spacing w:after="0" w:line="32"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Increased public awareness and concern regarding global climate change and other ESG matters may result in more international, regional, and/or federal regulatory or other stakeholder requirements or expectations that could mandate more restrictive or expansive standards, such as stricter limits on GHG emissions or more prescriptive reporting of ESG metrics, practices, and targets, than the voluntary commitments that the Company has adopted or require such changes on a more accelerated time frame. There continues to be a lack of consistent climate and other ESG legislation, which creates economic and regulatory uncertainty; however, there has been an increasing amount of legislative and regulatory activity, particularly in the European Union, United Kingdom, and U.S., although we are unable to predict at this time how the trajectory of legislative and regulatory activity in the U.S. will be impacted by the new administration. In addition, there is also an increasing number of state-level anti-ESG initiatives in the U.S. that may conflict with other regulatory requirements, resulting in regulatory uncertainty. New or revised legal and regulatory requirements could impose significant operational restrictions and compliance requirements upon the Company or its products, and could negatively impact the Company’s business, capital expenditures, results of operations, financial condition, and competitive position.</w:t>
      </w:r>
    </w:p>
    <w:p>
      <w:pPr>
        <w:spacing w:after="0" w:line="200" w:lineRule="exact"/>
        <w:rPr>
          <w:sz w:val="20"/>
          <w:szCs w:val="20"/>
          <w:color w:val="auto"/>
        </w:rPr>
      </w:pPr>
    </w:p>
    <w:p>
      <w:pPr>
        <w:spacing w:after="0" w:line="213" w:lineRule="exact"/>
        <w:rPr>
          <w:sz w:val="20"/>
          <w:szCs w:val="20"/>
          <w:color w:val="auto"/>
        </w:rPr>
      </w:pPr>
    </w:p>
    <w:p>
      <w:pPr>
        <w:ind w:left="400" w:hanging="392"/>
        <w:spacing w:after="0"/>
        <w:tabs>
          <w:tab w:leader="none" w:pos="400" w:val="left"/>
        </w:tabs>
        <w:numPr>
          <w:ilvl w:val="0"/>
          <w:numId w:val="75"/>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37" w:name="page38"/>
    <w:bookmarkEnd w:id="37"/>
    <w:p>
      <w:pPr>
        <w:ind w:left="20"/>
        <w:spacing w:after="0"/>
        <w:tabs>
          <w:tab w:leader="none" w:pos="1026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b w:val="1"/>
          <w:bCs w:val="1"/>
          <w:color w:val="D7282F"/>
        </w:rPr>
        <w:t>We cannot predict with certainty the outcome of litigation matters, government proceedings and other contingencies and uncertainties.</w:t>
      </w:r>
    </w:p>
    <w:p>
      <w:pPr>
        <w:spacing w:after="0" w:line="113"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 xml:space="preserve">We are currently, and may in the future become, subject to lawsuits, fines, investigations, and disputes (some of which involve substantial amounts claimed) arising out of the conduct of our business, including matters relating to commercial transactions, government contracts, product liability (including asbestos), the integration of emerging technologies (such as, but not limited to, artificial intelligence and machine learning), prior acquisitions and divestitures, employment, employee benefits plans, intellectual property, antitrust, anti-corruption, accounting, import and export, and environmental, health, and safety matters. Our potential liabilities are subject to change over time due to new developments, changes in settlement strategy or the impact of evidentiary requirements, and we may become subject to or be required to pay damage awards or settlements that could have a material adverse effect on our results of operations, reputation, cash flows, and financial condition. While we maintain insurance for certain risks, the amount of our insurance coverage may not be adequate to cover the total amount of all insured claims and liabilities. The incurrence of significant liabilities for which there is no or insufficient insurance coverage could adversely affect our results of operations, cash flows, liquidity, and financial condition. See Note 19 </w:t>
      </w:r>
      <w:r>
        <w:rPr>
          <w:rFonts w:ascii="Arial" w:cs="Arial" w:eastAsia="Arial" w:hAnsi="Arial"/>
          <w:sz w:val="16"/>
          <w:szCs w:val="16"/>
          <w:u w:val="single" w:color="auto"/>
          <w:color w:val="0000FF"/>
        </w:rPr>
        <w:t>Commitments and Contingencies</w:t>
      </w:r>
      <w:r>
        <w:rPr>
          <w:rFonts w:ascii="Arial" w:cs="Arial" w:eastAsia="Arial" w:hAnsi="Arial"/>
          <w:sz w:val="16"/>
          <w:szCs w:val="16"/>
          <w:color w:val="auto"/>
        </w:rPr>
        <w:t xml:space="preserve"> of Notes to Consolidated Financial Statements for further discussion regarding the uncertainty associated with asbestos-related liabilities.</w:t>
      </w:r>
    </w:p>
    <w:p>
      <w:pPr>
        <w:spacing w:after="0" w:line="200" w:lineRule="exact"/>
        <w:rPr>
          <w:sz w:val="20"/>
          <w:szCs w:val="20"/>
          <w:color w:val="auto"/>
        </w:rPr>
      </w:pPr>
    </w:p>
    <w:p>
      <w:pPr>
        <w:spacing w:after="0" w:line="213" w:lineRule="exact"/>
        <w:rPr>
          <w:sz w:val="20"/>
          <w:szCs w:val="20"/>
          <w:color w:val="auto"/>
        </w:rPr>
      </w:pPr>
    </w:p>
    <w:p>
      <w:pPr>
        <w:ind w:left="400" w:hanging="392"/>
        <w:spacing w:after="0"/>
        <w:tabs>
          <w:tab w:leader="none" w:pos="400" w:val="left"/>
        </w:tabs>
        <w:numPr>
          <w:ilvl w:val="0"/>
          <w:numId w:val="76"/>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38" w:name="page39"/>
    <w:bookmarkEnd w:id="38"/>
    <w:p>
      <w:pPr>
        <w:ind w:left="20"/>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220"/>
        <w:spacing w:after="0" w:line="297" w:lineRule="auto"/>
        <w:rPr>
          <w:sz w:val="20"/>
          <w:szCs w:val="20"/>
          <w:color w:val="auto"/>
        </w:rPr>
      </w:pPr>
      <w:r>
        <w:rPr>
          <w:rFonts w:ascii="Arial" w:cs="Arial" w:eastAsia="Arial" w:hAnsi="Arial"/>
          <w:sz w:val="36"/>
          <w:szCs w:val="36"/>
          <w:b w:val="1"/>
          <w:bCs w:val="1"/>
          <w:color w:val="auto"/>
        </w:rPr>
        <w:t>QUANTITATIVE AND QUALITATIVE DISCLOSURES ABOUT MARKET RISKS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Information relating to market risks is included within </w:t>
      </w:r>
      <w:r>
        <w:rPr>
          <w:rFonts w:ascii="Arial" w:cs="Arial" w:eastAsia="Arial" w:hAnsi="Arial"/>
          <w:sz w:val="16"/>
          <w:szCs w:val="16"/>
          <w:u w:val="single" w:color="auto"/>
          <w:color w:val="0000FF"/>
        </w:rPr>
        <w:t>Liquidity and Capital Resources</w:t>
      </w:r>
      <w:r>
        <w:rPr>
          <w:rFonts w:ascii="Arial" w:cs="Arial" w:eastAsia="Arial" w:hAnsi="Arial"/>
          <w:sz w:val="16"/>
          <w:szCs w:val="16"/>
          <w:color w:val="auto"/>
        </w:rPr>
        <w:t xml:space="preserve"> of our Form 10-K under the caption “Financial Instruments.”</w:t>
      </w:r>
    </w:p>
    <w:p>
      <w:pPr>
        <w:spacing w:after="0" w:line="359"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LIQUIDITY AND CAPITAL RESOURCES</w:t>
      </w:r>
    </w:p>
    <w:p>
      <w:pPr>
        <w:spacing w:after="0" w:line="3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(Dollars in tables in millions)</w:t>
      </w:r>
    </w:p>
    <w:p>
      <w:pPr>
        <w:spacing w:after="0" w:line="12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leverage operating cash flows as the primary source of liquidity. Each of our businesses focus on increasing operating cash flows through revenue growth, margin expansion, and improved working capital turnover. We also maintain other key sources of liquidity, including U.S. cash balances, and the ability to access non-U.S. cash balances, short-term debt from the commercial paper market, long-term borrowings, committed credit lines, and access to the public debt and equity markets.</w:t>
      </w:r>
    </w:p>
    <w:p>
      <w:pPr>
        <w:spacing w:after="0" w:line="236" w:lineRule="exact"/>
        <w:rPr>
          <w:sz w:val="20"/>
          <w:szCs w:val="20"/>
          <w:color w:val="auto"/>
        </w:rPr>
      </w:pPr>
    </w:p>
    <w:p>
      <w:pPr>
        <w:spacing w:after="0"/>
        <w:rPr>
          <w:sz w:val="20"/>
          <w:szCs w:val="20"/>
          <w:color w:val="auto"/>
        </w:rPr>
      </w:pPr>
      <w:r>
        <w:rPr>
          <w:rFonts w:ascii="Arial" w:cs="Arial" w:eastAsia="Arial" w:hAnsi="Arial"/>
          <w:sz w:val="29"/>
          <w:szCs w:val="29"/>
          <w:color w:val="D7282F"/>
        </w:rPr>
        <w:t>CASH</w:t>
      </w:r>
    </w:p>
    <w:p>
      <w:pPr>
        <w:spacing w:after="0" w:line="238"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As of December 31, 2024, and 2023, we held $11.0 billion and $8.1 billion, respectively, of cash and cash equivalents, including our short-term investments. We monitor third-party depository institutions that hold our cash and cash equivalents on a daily basis. Our emphasis is primarily safety of principal and secondarily maximizing yield of those funds. We diversify our cash and cash equivalents among counterparties to minimize exposure to any one counterparty.</w:t>
      </w:r>
    </w:p>
    <w:p>
      <w:pPr>
        <w:spacing w:after="0" w:line="27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As of December 31, 2024, we held $8.0 billion of the Company’s cash, cash equivalents, and short-term investments in non-U.S. subsidiaries. We do not have material amounts related to any jurisdiction subject to currency control restrictions that impact our ability to access and repatriate such amounts. Under current laws, we do not expect taxes on repatriation or restrictions on amounts held outside of the U.S. to have a material effect on our overall liquidity.</w:t>
      </w:r>
    </w:p>
    <w:p>
      <w:pPr>
        <w:spacing w:after="0" w:line="214" w:lineRule="exact"/>
        <w:rPr>
          <w:sz w:val="20"/>
          <w:szCs w:val="20"/>
          <w:color w:val="auto"/>
        </w:rPr>
      </w:pPr>
    </w:p>
    <w:p>
      <w:pPr>
        <w:spacing w:after="0"/>
        <w:rPr>
          <w:sz w:val="20"/>
          <w:szCs w:val="20"/>
          <w:color w:val="auto"/>
        </w:rPr>
      </w:pPr>
      <w:r>
        <w:rPr>
          <w:rFonts w:ascii="Arial" w:cs="Arial" w:eastAsia="Arial" w:hAnsi="Arial"/>
          <w:sz w:val="29"/>
          <w:szCs w:val="29"/>
          <w:color w:val="D7282F"/>
        </w:rPr>
        <w:t>CASH FLOW SUMMARY</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Our cash flows from operating, investing, and financing activities, as reflected in the Consolidated Statement of Cash Flows, are summarized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480" w:type="dxa"/>
            <w:vAlign w:val="bottom"/>
          </w:tcPr>
          <w:p>
            <w:pPr>
              <w:spacing w:after="0"/>
              <w:rPr>
                <w:sz w:val="17"/>
                <w:szCs w:val="17"/>
                <w:color w:val="auto"/>
              </w:rPr>
            </w:pPr>
          </w:p>
        </w:tc>
        <w:tc>
          <w:tcPr>
            <w:tcW w:w="14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spacing w:after="0"/>
              <w:rPr>
                <w:sz w:val="17"/>
                <w:szCs w:val="17"/>
                <w:color w:val="auto"/>
              </w:rPr>
            </w:pPr>
          </w:p>
        </w:tc>
        <w:tc>
          <w:tcPr>
            <w:tcW w:w="280" w:type="dxa"/>
            <w:vAlign w:val="bottom"/>
            <w:tcBorders>
              <w:bottom w:val="single" w:sz="8" w:color="D7282F"/>
            </w:tcBorders>
          </w:tcPr>
          <w:p>
            <w:pPr>
              <w:spacing w:after="0"/>
              <w:rPr>
                <w:sz w:val="17"/>
                <w:szCs w:val="17"/>
                <w:color w:val="auto"/>
              </w:rPr>
            </w:pPr>
          </w:p>
        </w:tc>
        <w:tc>
          <w:tcPr>
            <w:tcW w:w="2720" w:type="dxa"/>
            <w:vAlign w:val="bottom"/>
            <w:tcBorders>
              <w:bottom w:val="single" w:sz="8" w:color="D7282F"/>
            </w:tcBorders>
            <w:gridSpan w:val="5"/>
          </w:tcPr>
          <w:p>
            <w:pPr>
              <w:jc w:val="center"/>
              <w:ind w:right="208"/>
              <w:spacing w:after="0"/>
              <w:rPr>
                <w:sz w:val="20"/>
                <w:szCs w:val="20"/>
                <w:color w:val="auto"/>
              </w:rPr>
            </w:pPr>
            <w:r>
              <w:rPr>
                <w:rFonts w:ascii="Arial" w:cs="Arial" w:eastAsia="Arial" w:hAnsi="Arial"/>
                <w:sz w:val="14"/>
                <w:szCs w:val="14"/>
                <w:b w:val="1"/>
                <w:bCs w:val="1"/>
                <w:color w:val="auto"/>
              </w:rPr>
              <w:t>Years Ended December 31,</w:t>
            </w:r>
          </w:p>
        </w:tc>
        <w:tc>
          <w:tcPr>
            <w:tcW w:w="22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6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center"/>
              <w:ind w:right="148"/>
              <w:spacing w:after="0"/>
              <w:rPr>
                <w:sz w:val="20"/>
                <w:szCs w:val="20"/>
                <w:color w:val="auto"/>
              </w:rPr>
            </w:pPr>
            <w:r>
              <w:rPr>
                <w:rFonts w:ascii="Arial" w:cs="Arial" w:eastAsia="Arial" w:hAnsi="Arial"/>
                <w:sz w:val="14"/>
                <w:szCs w:val="14"/>
                <w:b w:val="1"/>
                <w:bCs w:val="1"/>
                <w:color w:val="auto"/>
              </w:rPr>
              <w:t>Change</w:t>
            </w: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jc w:val="center"/>
              <w:ind w:right="2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8"/>
        </w:trPr>
        <w:tc>
          <w:tcPr>
            <w:tcW w:w="6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center"/>
              <w:ind w:right="148"/>
              <w:spacing w:after="0" w:line="149" w:lineRule="exact"/>
              <w:rPr>
                <w:sz w:val="20"/>
                <w:szCs w:val="20"/>
                <w:color w:val="auto"/>
              </w:rPr>
            </w:pPr>
            <w:r>
              <w:rPr>
                <w:rFonts w:ascii="Arial" w:cs="Arial" w:eastAsia="Arial" w:hAnsi="Arial"/>
                <w:sz w:val="14"/>
                <w:szCs w:val="14"/>
                <w:b w:val="1"/>
                <w:bCs w:val="1"/>
                <w:color w:val="auto"/>
              </w:rPr>
              <w:t>2024</w:t>
            </w: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44"/>
        </w:trPr>
        <w:tc>
          <w:tcPr>
            <w:tcW w:w="6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2024</w:t>
            </w:r>
          </w:p>
        </w:tc>
        <w:tc>
          <w:tcPr>
            <w:tcW w:w="280" w:type="dxa"/>
            <w:vAlign w:val="bottom"/>
          </w:tcPr>
          <w:p>
            <w:pPr>
              <w:spacing w:after="0"/>
              <w:rPr>
                <w:sz w:val="12"/>
                <w:szCs w:val="12"/>
                <w:color w:val="auto"/>
              </w:rPr>
            </w:pPr>
          </w:p>
        </w:tc>
        <w:tc>
          <w:tcPr>
            <w:tcW w:w="72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2"/>
                <w:szCs w:val="12"/>
                <w:color w:val="auto"/>
              </w:rPr>
            </w:pPr>
          </w:p>
        </w:tc>
        <w:tc>
          <w:tcPr>
            <w:tcW w:w="780" w:type="dxa"/>
            <w:vAlign w:val="bottom"/>
          </w:tcPr>
          <w:p>
            <w:pPr>
              <w:jc w:val="center"/>
              <w:ind w:right="148"/>
              <w:spacing w:after="0" w:line="145" w:lineRule="exact"/>
              <w:rPr>
                <w:sz w:val="20"/>
                <w:szCs w:val="20"/>
                <w:color w:val="auto"/>
              </w:rPr>
            </w:pPr>
            <w:r>
              <w:rPr>
                <w:rFonts w:ascii="Arial" w:cs="Arial" w:eastAsia="Arial" w:hAnsi="Arial"/>
                <w:sz w:val="14"/>
                <w:szCs w:val="14"/>
                <w:b w:val="1"/>
                <w:bCs w:val="1"/>
                <w:color w:val="auto"/>
              </w:rPr>
              <w:t>vs.</w:t>
            </w:r>
          </w:p>
        </w:tc>
        <w:tc>
          <w:tcPr>
            <w:tcW w:w="280" w:type="dxa"/>
            <w:vAlign w:val="bottom"/>
          </w:tcPr>
          <w:p>
            <w:pPr>
              <w:spacing w:after="0"/>
              <w:rPr>
                <w:sz w:val="12"/>
                <w:szCs w:val="12"/>
                <w:color w:val="auto"/>
              </w:rPr>
            </w:pPr>
          </w:p>
        </w:tc>
        <w:tc>
          <w:tcPr>
            <w:tcW w:w="72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2"/>
                <w:szCs w:val="12"/>
                <w:color w:val="auto"/>
              </w:rPr>
            </w:pPr>
          </w:p>
        </w:tc>
        <w:tc>
          <w:tcPr>
            <w:tcW w:w="660" w:type="dxa"/>
            <w:vAlign w:val="bottom"/>
          </w:tcPr>
          <w:p>
            <w:pPr>
              <w:jc w:val="center"/>
              <w:ind w:right="28"/>
              <w:spacing w:after="0" w:line="145" w:lineRule="exact"/>
              <w:rPr>
                <w:sz w:val="20"/>
                <w:szCs w:val="20"/>
                <w:color w:val="auto"/>
              </w:rPr>
            </w:pPr>
            <w:r>
              <w:rPr>
                <w:rFonts w:ascii="Arial" w:cs="Arial" w:eastAsia="Arial" w:hAnsi="Arial"/>
                <w:sz w:val="14"/>
                <w:szCs w:val="14"/>
                <w:b w:val="1"/>
                <w:bCs w:val="1"/>
                <w:color w:val="auto"/>
              </w:rPr>
              <w:t>vs.</w:t>
            </w:r>
          </w:p>
        </w:tc>
        <w:tc>
          <w:tcPr>
            <w:tcW w:w="0" w:type="dxa"/>
            <w:vAlign w:val="bottom"/>
          </w:tcPr>
          <w:p>
            <w:pPr>
              <w:spacing w:after="0"/>
              <w:rPr>
                <w:sz w:val="1"/>
                <w:szCs w:val="1"/>
                <w:color w:val="auto"/>
              </w:rPr>
            </w:pPr>
          </w:p>
        </w:tc>
      </w:tr>
      <w:tr>
        <w:trPr>
          <w:trHeight w:val="189"/>
        </w:trPr>
        <w:tc>
          <w:tcPr>
            <w:tcW w:w="6480" w:type="dxa"/>
            <w:vAlign w:val="bottom"/>
            <w:tcBorders>
              <w:bottom w:val="single" w:sz="8" w:color="D7282F"/>
            </w:tcBorders>
          </w:tcPr>
          <w:p>
            <w:pPr>
              <w:spacing w:after="0"/>
              <w:rPr>
                <w:sz w:val="16"/>
                <w:szCs w:val="16"/>
                <w:color w:val="auto"/>
              </w:rPr>
            </w:pPr>
          </w:p>
        </w:tc>
        <w:tc>
          <w:tcPr>
            <w:tcW w:w="140" w:type="dxa"/>
            <w:vAlign w:val="bottom"/>
            <w:tcBorders>
              <w:bottom w:val="single" w:sz="8" w:color="D7282F"/>
            </w:tcBorders>
          </w:tcPr>
          <w:p>
            <w:pPr>
              <w:spacing w:after="0"/>
              <w:rPr>
                <w:sz w:val="16"/>
                <w:szCs w:val="16"/>
                <w:color w:val="auto"/>
              </w:rPr>
            </w:pPr>
          </w:p>
        </w:tc>
        <w:tc>
          <w:tcPr>
            <w:tcW w:w="740" w:type="dxa"/>
            <w:vAlign w:val="bottom"/>
            <w:tcBorders>
              <w:bottom w:val="single" w:sz="8" w:color="D7282F"/>
            </w:tcBorders>
            <w:vMerge w:val="continue"/>
          </w:tcPr>
          <w:p>
            <w:pPr>
              <w:spacing w:after="0"/>
              <w:rPr>
                <w:sz w:val="16"/>
                <w:szCs w:val="16"/>
                <w:color w:val="auto"/>
              </w:rPr>
            </w:pPr>
          </w:p>
        </w:tc>
        <w:tc>
          <w:tcPr>
            <w:tcW w:w="280" w:type="dxa"/>
            <w:vAlign w:val="bottom"/>
            <w:tcBorders>
              <w:bottom w:val="single" w:sz="8" w:color="D7282F"/>
            </w:tcBorders>
          </w:tcPr>
          <w:p>
            <w:pPr>
              <w:spacing w:after="0"/>
              <w:rPr>
                <w:sz w:val="16"/>
                <w:szCs w:val="16"/>
                <w:color w:val="auto"/>
              </w:rPr>
            </w:pPr>
          </w:p>
        </w:tc>
        <w:tc>
          <w:tcPr>
            <w:tcW w:w="720" w:type="dxa"/>
            <w:vAlign w:val="bottom"/>
            <w:tcBorders>
              <w:bottom w:val="single" w:sz="8" w:color="D7282F"/>
            </w:tcBorders>
            <w:vMerge w:val="continue"/>
          </w:tcPr>
          <w:p>
            <w:pPr>
              <w:spacing w:after="0"/>
              <w:rPr>
                <w:sz w:val="16"/>
                <w:szCs w:val="16"/>
                <w:color w:val="auto"/>
              </w:rPr>
            </w:pPr>
          </w:p>
        </w:tc>
        <w:tc>
          <w:tcPr>
            <w:tcW w:w="220" w:type="dxa"/>
            <w:vAlign w:val="bottom"/>
            <w:tcBorders>
              <w:bottom w:val="single" w:sz="8" w:color="D7282F"/>
            </w:tcBorders>
          </w:tcPr>
          <w:p>
            <w:pPr>
              <w:spacing w:after="0"/>
              <w:rPr>
                <w:sz w:val="16"/>
                <w:szCs w:val="16"/>
                <w:color w:val="auto"/>
              </w:rPr>
            </w:pPr>
          </w:p>
        </w:tc>
        <w:tc>
          <w:tcPr>
            <w:tcW w:w="780" w:type="dxa"/>
            <w:vAlign w:val="bottom"/>
            <w:tcBorders>
              <w:bottom w:val="single" w:sz="8" w:color="D7282F"/>
            </w:tcBorders>
          </w:tcPr>
          <w:p>
            <w:pPr>
              <w:jc w:val="center"/>
              <w:ind w:right="148"/>
              <w:spacing w:after="0"/>
              <w:rPr>
                <w:sz w:val="20"/>
                <w:szCs w:val="20"/>
                <w:color w:val="auto"/>
              </w:rPr>
            </w:pPr>
            <w:r>
              <w:rPr>
                <w:rFonts w:ascii="Arial" w:cs="Arial" w:eastAsia="Arial" w:hAnsi="Arial"/>
                <w:sz w:val="14"/>
                <w:szCs w:val="14"/>
                <w:b w:val="1"/>
                <w:bCs w:val="1"/>
                <w:color w:val="auto"/>
              </w:rPr>
              <w:t>2023</w:t>
            </w:r>
          </w:p>
        </w:tc>
        <w:tc>
          <w:tcPr>
            <w:tcW w:w="280" w:type="dxa"/>
            <w:vAlign w:val="bottom"/>
            <w:tcBorders>
              <w:bottom w:val="single" w:sz="8" w:color="D7282F"/>
            </w:tcBorders>
          </w:tcPr>
          <w:p>
            <w:pPr>
              <w:spacing w:after="0"/>
              <w:rPr>
                <w:sz w:val="16"/>
                <w:szCs w:val="16"/>
                <w:color w:val="auto"/>
              </w:rPr>
            </w:pPr>
          </w:p>
        </w:tc>
        <w:tc>
          <w:tcPr>
            <w:tcW w:w="720" w:type="dxa"/>
            <w:vAlign w:val="bottom"/>
            <w:tcBorders>
              <w:bottom w:val="single" w:sz="8" w:color="D7282F"/>
            </w:tcBorders>
            <w:vMerge w:val="continue"/>
          </w:tcPr>
          <w:p>
            <w:pPr>
              <w:spacing w:after="0"/>
              <w:rPr>
                <w:sz w:val="16"/>
                <w:szCs w:val="16"/>
                <w:color w:val="auto"/>
              </w:rPr>
            </w:pPr>
          </w:p>
        </w:tc>
        <w:tc>
          <w:tcPr>
            <w:tcW w:w="220" w:type="dxa"/>
            <w:vAlign w:val="bottom"/>
            <w:tcBorders>
              <w:bottom w:val="single" w:sz="8" w:color="D7282F"/>
            </w:tcBorders>
          </w:tcPr>
          <w:p>
            <w:pPr>
              <w:spacing w:after="0"/>
              <w:rPr>
                <w:sz w:val="16"/>
                <w:szCs w:val="16"/>
                <w:color w:val="auto"/>
              </w:rPr>
            </w:pPr>
          </w:p>
        </w:tc>
        <w:tc>
          <w:tcPr>
            <w:tcW w:w="660" w:type="dxa"/>
            <w:vAlign w:val="bottom"/>
            <w:tcBorders>
              <w:bottom w:val="single" w:sz="8" w:color="D7282F"/>
            </w:tcBorders>
          </w:tcPr>
          <w:p>
            <w:pPr>
              <w:jc w:val="center"/>
              <w:ind w:right="28"/>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95"/>
        </w:trPr>
        <w:tc>
          <w:tcPr>
            <w:tcW w:w="64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Cash and cash equivalents at beginning of period</w:t>
            </w:r>
          </w:p>
        </w:tc>
        <w:tc>
          <w:tcPr>
            <w:tcW w:w="1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7,925</w:t>
            </w:r>
          </w:p>
        </w:tc>
        <w:tc>
          <w:tcPr>
            <w:tcW w:w="2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9,627</w:t>
            </w: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(1,702)</w:t>
            </w:r>
          </w:p>
        </w:tc>
        <w:tc>
          <w:tcPr>
            <w:tcW w:w="2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10,959</w:t>
            </w: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(1,332)</w:t>
            </w:r>
          </w:p>
        </w:tc>
        <w:tc>
          <w:tcPr>
            <w:tcW w:w="0" w:type="dxa"/>
            <w:vAlign w:val="bottom"/>
          </w:tcPr>
          <w:p>
            <w:pPr>
              <w:spacing w:after="0"/>
              <w:rPr>
                <w:sz w:val="1"/>
                <w:szCs w:val="1"/>
                <w:color w:val="auto"/>
              </w:rPr>
            </w:pPr>
          </w:p>
        </w:tc>
      </w:tr>
      <w:tr>
        <w:trPr>
          <w:trHeight w:val="196"/>
        </w:trPr>
        <w:tc>
          <w:tcPr>
            <w:tcW w:w="648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Operating activities</w:t>
            </w:r>
          </w:p>
        </w:tc>
        <w:tc>
          <w:tcPr>
            <w:tcW w:w="14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spacing w:after="0"/>
              <w:rPr>
                <w:sz w:val="17"/>
                <w:szCs w:val="17"/>
                <w:color w:val="auto"/>
              </w:rPr>
            </w:pPr>
          </w:p>
        </w:tc>
        <w:tc>
          <w:tcPr>
            <w:tcW w:w="28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spacing w:after="0"/>
              <w:rPr>
                <w:sz w:val="17"/>
                <w:szCs w:val="17"/>
                <w:color w:val="auto"/>
              </w:rPr>
            </w:pPr>
          </w:p>
        </w:tc>
        <w:tc>
          <w:tcPr>
            <w:tcW w:w="22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spacing w:after="0"/>
              <w:rPr>
                <w:sz w:val="17"/>
                <w:szCs w:val="17"/>
                <w:color w:val="auto"/>
              </w:rPr>
            </w:pPr>
          </w:p>
        </w:tc>
        <w:tc>
          <w:tcPr>
            <w:tcW w:w="28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spacing w:after="0"/>
              <w:rPr>
                <w:sz w:val="17"/>
                <w:szCs w:val="17"/>
                <w:color w:val="auto"/>
              </w:rPr>
            </w:pPr>
          </w:p>
        </w:tc>
        <w:tc>
          <w:tcPr>
            <w:tcW w:w="220" w:type="dxa"/>
            <w:vAlign w:val="bottom"/>
            <w:tcBorders>
              <w:bottom w:val="single" w:sz="8" w:color="61656A"/>
            </w:tcBorders>
          </w:tcPr>
          <w:p>
            <w:pPr>
              <w:spacing w:after="0"/>
              <w:rPr>
                <w:sz w:val="17"/>
                <w:szCs w:val="17"/>
                <w:color w:val="auto"/>
              </w:rPr>
            </w:pPr>
          </w:p>
        </w:tc>
        <w:tc>
          <w:tcPr>
            <w:tcW w:w="660" w:type="dxa"/>
            <w:vAlign w:val="bottom"/>
            <w:tcBorders>
              <w:bottom w:val="single" w:sz="8" w:color="61656A"/>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4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Net income attributable to Honeywell</w:t>
            </w:r>
          </w:p>
        </w:tc>
        <w:tc>
          <w:tcPr>
            <w:tcW w:w="140" w:type="dxa"/>
            <w:vAlign w:val="bottom"/>
            <w:tcBorders>
              <w:bottom w:val="single" w:sz="8" w:color="61656A"/>
            </w:tcBorders>
          </w:tcPr>
          <w:p>
            <w:pPr>
              <w:spacing w:after="0"/>
              <w:rPr>
                <w:sz w:val="16"/>
                <w:szCs w:val="16"/>
                <w:color w:val="auto"/>
              </w:rPr>
            </w:pPr>
          </w:p>
        </w:tc>
        <w:tc>
          <w:tcPr>
            <w:tcW w:w="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5,705</w:t>
            </w:r>
          </w:p>
        </w:tc>
        <w:tc>
          <w:tcPr>
            <w:tcW w:w="280" w:type="dxa"/>
            <w:vAlign w:val="bottom"/>
            <w:tcBorders>
              <w:bottom w:val="single" w:sz="8" w:color="61656A"/>
            </w:tcBorders>
          </w:tcPr>
          <w:p>
            <w:pPr>
              <w:spacing w:after="0"/>
              <w:rPr>
                <w:sz w:val="16"/>
                <w:szCs w:val="16"/>
                <w:color w:val="auto"/>
              </w:rPr>
            </w:pPr>
          </w:p>
        </w:tc>
        <w:tc>
          <w:tcPr>
            <w:tcW w:w="7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5,658</w:t>
            </w:r>
          </w:p>
        </w:tc>
        <w:tc>
          <w:tcPr>
            <w:tcW w:w="220" w:type="dxa"/>
            <w:vAlign w:val="bottom"/>
            <w:tcBorders>
              <w:bottom w:val="single" w:sz="8" w:color="61656A"/>
            </w:tcBorders>
          </w:tcPr>
          <w:p>
            <w:pPr>
              <w:spacing w:after="0"/>
              <w:rPr>
                <w:sz w:val="16"/>
                <w:szCs w:val="16"/>
                <w:color w:val="auto"/>
              </w:rPr>
            </w:pPr>
          </w:p>
        </w:tc>
        <w:tc>
          <w:tcPr>
            <w:tcW w:w="7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47</w:t>
            </w:r>
          </w:p>
        </w:tc>
        <w:tc>
          <w:tcPr>
            <w:tcW w:w="280" w:type="dxa"/>
            <w:vAlign w:val="bottom"/>
            <w:tcBorders>
              <w:bottom w:val="single" w:sz="8" w:color="61656A"/>
            </w:tcBorders>
          </w:tcPr>
          <w:p>
            <w:pPr>
              <w:spacing w:after="0"/>
              <w:rPr>
                <w:sz w:val="16"/>
                <w:szCs w:val="16"/>
                <w:color w:val="auto"/>
              </w:rPr>
            </w:pPr>
          </w:p>
        </w:tc>
        <w:tc>
          <w:tcPr>
            <w:tcW w:w="7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4,966</w:t>
            </w:r>
          </w:p>
        </w:tc>
        <w:tc>
          <w:tcPr>
            <w:tcW w:w="220" w:type="dxa"/>
            <w:vAlign w:val="bottom"/>
            <w:tcBorders>
              <w:bottom w:val="single" w:sz="8" w:color="61656A"/>
            </w:tcBorders>
          </w:tcPr>
          <w:p>
            <w:pPr>
              <w:spacing w:after="0"/>
              <w:rPr>
                <w:sz w:val="16"/>
                <w:szCs w:val="16"/>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692</w:t>
            </w:r>
          </w:p>
        </w:tc>
        <w:tc>
          <w:tcPr>
            <w:tcW w:w="0" w:type="dxa"/>
            <w:vAlign w:val="bottom"/>
          </w:tcPr>
          <w:p>
            <w:pPr>
              <w:spacing w:after="0"/>
              <w:rPr>
                <w:sz w:val="1"/>
                <w:szCs w:val="1"/>
                <w:color w:val="auto"/>
              </w:rPr>
            </w:pPr>
          </w:p>
        </w:tc>
      </w:tr>
      <w:tr>
        <w:trPr>
          <w:trHeight w:val="196"/>
        </w:trPr>
        <w:tc>
          <w:tcPr>
            <w:tcW w:w="64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Noncash adjustments</w:t>
            </w:r>
          </w:p>
        </w:tc>
        <w:tc>
          <w:tcPr>
            <w:tcW w:w="14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1,283</w:t>
            </w:r>
          </w:p>
        </w:tc>
        <w:tc>
          <w:tcPr>
            <w:tcW w:w="28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1,980</w:t>
            </w:r>
          </w:p>
        </w:tc>
        <w:tc>
          <w:tcPr>
            <w:tcW w:w="22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(697)</w:t>
            </w:r>
          </w:p>
        </w:tc>
        <w:tc>
          <w:tcPr>
            <w:tcW w:w="28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1,946</w:t>
            </w:r>
          </w:p>
        </w:tc>
        <w:tc>
          <w:tcPr>
            <w:tcW w:w="220" w:type="dxa"/>
            <w:vAlign w:val="bottom"/>
            <w:tcBorders>
              <w:bottom w:val="single" w:sz="8" w:color="61656A"/>
            </w:tcBorders>
          </w:tcPr>
          <w:p>
            <w:pPr>
              <w:spacing w:after="0"/>
              <w:rPr>
                <w:sz w:val="17"/>
                <w:szCs w:val="17"/>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96"/>
        </w:trPr>
        <w:tc>
          <w:tcPr>
            <w:tcW w:w="64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Changes in working capital</w:t>
            </w:r>
          </w:p>
        </w:tc>
        <w:tc>
          <w:tcPr>
            <w:tcW w:w="14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(305)</w:t>
            </w:r>
          </w:p>
        </w:tc>
        <w:tc>
          <w:tcPr>
            <w:tcW w:w="28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(150)</w:t>
            </w:r>
          </w:p>
        </w:tc>
        <w:tc>
          <w:tcPr>
            <w:tcW w:w="22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(155)</w:t>
            </w:r>
          </w:p>
        </w:tc>
        <w:tc>
          <w:tcPr>
            <w:tcW w:w="28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(1,334)</w:t>
            </w:r>
          </w:p>
        </w:tc>
        <w:tc>
          <w:tcPr>
            <w:tcW w:w="220" w:type="dxa"/>
            <w:vAlign w:val="bottom"/>
            <w:tcBorders>
              <w:bottom w:val="single" w:sz="8" w:color="61656A"/>
            </w:tcBorders>
          </w:tcPr>
          <w:p>
            <w:pPr>
              <w:spacing w:after="0"/>
              <w:rPr>
                <w:sz w:val="17"/>
                <w:szCs w:val="17"/>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1,184</w:t>
            </w:r>
          </w:p>
        </w:tc>
        <w:tc>
          <w:tcPr>
            <w:tcW w:w="0" w:type="dxa"/>
            <w:vAlign w:val="bottom"/>
          </w:tcPr>
          <w:p>
            <w:pPr>
              <w:spacing w:after="0"/>
              <w:rPr>
                <w:sz w:val="1"/>
                <w:szCs w:val="1"/>
                <w:color w:val="auto"/>
              </w:rPr>
            </w:pPr>
          </w:p>
        </w:tc>
      </w:tr>
      <w:tr>
        <w:trPr>
          <w:trHeight w:val="196"/>
        </w:trPr>
        <w:tc>
          <w:tcPr>
            <w:tcW w:w="64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NARCO Buyout payment</w:t>
            </w:r>
          </w:p>
        </w:tc>
        <w:tc>
          <w:tcPr>
            <w:tcW w:w="14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(1,325)</w:t>
            </w:r>
          </w:p>
        </w:tc>
        <w:tc>
          <w:tcPr>
            <w:tcW w:w="22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1,325</w:t>
            </w:r>
          </w:p>
        </w:tc>
        <w:tc>
          <w:tcPr>
            <w:tcW w:w="28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61656A"/>
            </w:tcBorders>
          </w:tcPr>
          <w:p>
            <w:pPr>
              <w:spacing w:after="0"/>
              <w:rPr>
                <w:sz w:val="17"/>
                <w:szCs w:val="17"/>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(1,325)</w:t>
            </w:r>
          </w:p>
        </w:tc>
        <w:tc>
          <w:tcPr>
            <w:tcW w:w="0" w:type="dxa"/>
            <w:vAlign w:val="bottom"/>
          </w:tcPr>
          <w:p>
            <w:pPr>
              <w:spacing w:after="0"/>
              <w:rPr>
                <w:sz w:val="1"/>
                <w:szCs w:val="1"/>
                <w:color w:val="auto"/>
              </w:rPr>
            </w:pPr>
          </w:p>
        </w:tc>
      </w:tr>
      <w:tr>
        <w:trPr>
          <w:trHeight w:val="196"/>
        </w:trPr>
        <w:tc>
          <w:tcPr>
            <w:tcW w:w="6480" w:type="dxa"/>
            <w:vAlign w:val="bottom"/>
            <w:tcBorders>
              <w:bottom w:val="single" w:sz="8" w:color="DC202E"/>
            </w:tcBorders>
          </w:tcPr>
          <w:p>
            <w:pPr>
              <w:ind w:left="140"/>
              <w:spacing w:after="0"/>
              <w:rPr>
                <w:sz w:val="20"/>
                <w:szCs w:val="20"/>
                <w:color w:val="auto"/>
              </w:rPr>
            </w:pPr>
            <w:r>
              <w:rPr>
                <w:rFonts w:ascii="Arial" w:cs="Arial" w:eastAsia="Arial" w:hAnsi="Arial"/>
                <w:sz w:val="14"/>
                <w:szCs w:val="14"/>
                <w:color w:val="auto"/>
              </w:rPr>
              <w:t>Other operating activities</w:t>
            </w:r>
          </w:p>
        </w:tc>
        <w:tc>
          <w:tcPr>
            <w:tcW w:w="14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(586)</w:t>
            </w:r>
          </w:p>
        </w:tc>
        <w:tc>
          <w:tcPr>
            <w:tcW w:w="28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(823)</w:t>
            </w:r>
          </w:p>
        </w:tc>
        <w:tc>
          <w:tcPr>
            <w:tcW w:w="22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237</w:t>
            </w:r>
          </w:p>
        </w:tc>
        <w:tc>
          <w:tcPr>
            <w:tcW w:w="28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(304)</w:t>
            </w:r>
          </w:p>
        </w:tc>
        <w:tc>
          <w:tcPr>
            <w:tcW w:w="22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(519)</w:t>
            </w:r>
          </w:p>
        </w:tc>
        <w:tc>
          <w:tcPr>
            <w:tcW w:w="0" w:type="dxa"/>
            <w:vAlign w:val="bottom"/>
          </w:tcPr>
          <w:p>
            <w:pPr>
              <w:spacing w:after="0"/>
              <w:rPr>
                <w:sz w:val="1"/>
                <w:szCs w:val="1"/>
                <w:color w:val="auto"/>
              </w:rPr>
            </w:pPr>
          </w:p>
        </w:tc>
      </w:tr>
      <w:tr>
        <w:trPr>
          <w:trHeight w:val="199"/>
        </w:trPr>
        <w:tc>
          <w:tcPr>
            <w:tcW w:w="6480" w:type="dxa"/>
            <w:vAlign w:val="bottom"/>
            <w:tcBorders>
              <w:bottom w:val="single" w:sz="8" w:color="DC202E"/>
            </w:tcBorders>
          </w:tcPr>
          <w:p>
            <w:pPr>
              <w:ind w:left="20"/>
              <w:spacing w:after="0"/>
              <w:rPr>
                <w:sz w:val="20"/>
                <w:szCs w:val="20"/>
                <w:color w:val="auto"/>
              </w:rPr>
            </w:pPr>
            <w:r>
              <w:rPr>
                <w:rFonts w:ascii="Arial" w:cs="Arial" w:eastAsia="Arial" w:hAnsi="Arial"/>
                <w:sz w:val="14"/>
                <w:szCs w:val="14"/>
                <w:b w:val="1"/>
                <w:bCs w:val="1"/>
                <w:color w:val="auto"/>
              </w:rPr>
              <w:t>Net cash provided by operating activities</w:t>
            </w:r>
          </w:p>
        </w:tc>
        <w:tc>
          <w:tcPr>
            <w:tcW w:w="14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6,097</w:t>
            </w:r>
          </w:p>
        </w:tc>
        <w:tc>
          <w:tcPr>
            <w:tcW w:w="28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5,340</w:t>
            </w:r>
          </w:p>
        </w:tc>
        <w:tc>
          <w:tcPr>
            <w:tcW w:w="22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757</w:t>
            </w:r>
          </w:p>
        </w:tc>
        <w:tc>
          <w:tcPr>
            <w:tcW w:w="28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5,274</w:t>
            </w:r>
          </w:p>
        </w:tc>
        <w:tc>
          <w:tcPr>
            <w:tcW w:w="22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66</w:t>
            </w:r>
          </w:p>
        </w:tc>
        <w:tc>
          <w:tcPr>
            <w:tcW w:w="0" w:type="dxa"/>
            <w:vAlign w:val="bottom"/>
          </w:tcPr>
          <w:p>
            <w:pPr>
              <w:spacing w:after="0"/>
              <w:rPr>
                <w:sz w:val="1"/>
                <w:szCs w:val="1"/>
                <w:color w:val="auto"/>
              </w:rPr>
            </w:pPr>
          </w:p>
        </w:tc>
      </w:tr>
      <w:tr>
        <w:trPr>
          <w:trHeight w:val="193"/>
        </w:trPr>
        <w:tc>
          <w:tcPr>
            <w:tcW w:w="6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Net cash used for investing activities</w:t>
            </w:r>
          </w:p>
        </w:tc>
        <w:tc>
          <w:tcPr>
            <w:tcW w:w="140" w:type="dxa"/>
            <w:vAlign w:val="bottom"/>
            <w:tcBorders>
              <w:bottom w:val="single" w:sz="8" w:color="61656A"/>
            </w:tcBorders>
          </w:tcPr>
          <w:p>
            <w:pPr>
              <w:spacing w:after="0"/>
              <w:rPr>
                <w:sz w:val="16"/>
                <w:szCs w:val="16"/>
                <w:color w:val="auto"/>
              </w:rPr>
            </w:pPr>
          </w:p>
        </w:tc>
        <w:tc>
          <w:tcPr>
            <w:tcW w:w="74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(10,157)</w:t>
            </w:r>
          </w:p>
        </w:tc>
        <w:tc>
          <w:tcPr>
            <w:tcW w:w="280" w:type="dxa"/>
            <w:vAlign w:val="bottom"/>
            <w:tcBorders>
              <w:bottom w:val="single" w:sz="8" w:color="61656A"/>
            </w:tcBorders>
          </w:tcPr>
          <w:p>
            <w:pPr>
              <w:spacing w:after="0"/>
              <w:rPr>
                <w:sz w:val="16"/>
                <w:szCs w:val="16"/>
                <w:color w:val="auto"/>
              </w:rPr>
            </w:pPr>
          </w:p>
        </w:tc>
        <w:tc>
          <w:tcPr>
            <w:tcW w:w="7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(1,293)</w:t>
            </w:r>
          </w:p>
        </w:tc>
        <w:tc>
          <w:tcPr>
            <w:tcW w:w="220" w:type="dxa"/>
            <w:vAlign w:val="bottom"/>
            <w:tcBorders>
              <w:bottom w:val="single" w:sz="8" w:color="61656A"/>
            </w:tcBorders>
          </w:tcPr>
          <w:p>
            <w:pPr>
              <w:spacing w:after="0"/>
              <w:rPr>
                <w:sz w:val="16"/>
                <w:szCs w:val="16"/>
                <w:color w:val="auto"/>
              </w:rPr>
            </w:pPr>
          </w:p>
        </w:tc>
        <w:tc>
          <w:tcPr>
            <w:tcW w:w="78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(8,864)</w:t>
            </w:r>
          </w:p>
        </w:tc>
        <w:tc>
          <w:tcPr>
            <w:tcW w:w="280" w:type="dxa"/>
            <w:vAlign w:val="bottom"/>
            <w:tcBorders>
              <w:bottom w:val="single" w:sz="8" w:color="61656A"/>
            </w:tcBorders>
          </w:tcPr>
          <w:p>
            <w:pPr>
              <w:spacing w:after="0"/>
              <w:rPr>
                <w:sz w:val="16"/>
                <w:szCs w:val="16"/>
                <w:color w:val="auto"/>
              </w:rPr>
            </w:pPr>
          </w:p>
        </w:tc>
        <w:tc>
          <w:tcPr>
            <w:tcW w:w="7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(93)</w:t>
            </w:r>
          </w:p>
        </w:tc>
        <w:tc>
          <w:tcPr>
            <w:tcW w:w="220" w:type="dxa"/>
            <w:vAlign w:val="bottom"/>
            <w:tcBorders>
              <w:bottom w:val="single" w:sz="8" w:color="61656A"/>
            </w:tcBorders>
          </w:tcPr>
          <w:p>
            <w:pPr>
              <w:spacing w:after="0"/>
              <w:rPr>
                <w:sz w:val="16"/>
                <w:szCs w:val="16"/>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(1,200)</w:t>
            </w:r>
          </w:p>
        </w:tc>
        <w:tc>
          <w:tcPr>
            <w:tcW w:w="0" w:type="dxa"/>
            <w:vAlign w:val="bottom"/>
          </w:tcPr>
          <w:p>
            <w:pPr>
              <w:spacing w:after="0"/>
              <w:rPr>
                <w:sz w:val="1"/>
                <w:szCs w:val="1"/>
                <w:color w:val="auto"/>
              </w:rPr>
            </w:pPr>
          </w:p>
        </w:tc>
      </w:tr>
      <w:tr>
        <w:trPr>
          <w:trHeight w:val="196"/>
        </w:trPr>
        <w:tc>
          <w:tcPr>
            <w:tcW w:w="6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Net cash provided by (used for) financing activities</w:t>
            </w:r>
          </w:p>
        </w:tc>
        <w:tc>
          <w:tcPr>
            <w:tcW w:w="14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6,839</w:t>
            </w:r>
          </w:p>
        </w:tc>
        <w:tc>
          <w:tcPr>
            <w:tcW w:w="28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(5,763)</w:t>
            </w:r>
          </w:p>
        </w:tc>
        <w:tc>
          <w:tcPr>
            <w:tcW w:w="22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12,602</w:t>
            </w:r>
          </w:p>
        </w:tc>
        <w:tc>
          <w:tcPr>
            <w:tcW w:w="28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(6,330)</w:t>
            </w:r>
          </w:p>
        </w:tc>
        <w:tc>
          <w:tcPr>
            <w:tcW w:w="220" w:type="dxa"/>
            <w:vAlign w:val="bottom"/>
            <w:tcBorders>
              <w:bottom w:val="single" w:sz="8" w:color="61656A"/>
            </w:tcBorders>
          </w:tcPr>
          <w:p>
            <w:pPr>
              <w:spacing w:after="0"/>
              <w:rPr>
                <w:sz w:val="17"/>
                <w:szCs w:val="17"/>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567</w:t>
            </w:r>
          </w:p>
        </w:tc>
        <w:tc>
          <w:tcPr>
            <w:tcW w:w="0" w:type="dxa"/>
            <w:vAlign w:val="bottom"/>
          </w:tcPr>
          <w:p>
            <w:pPr>
              <w:spacing w:after="0"/>
              <w:rPr>
                <w:sz w:val="1"/>
                <w:szCs w:val="1"/>
                <w:color w:val="auto"/>
              </w:rPr>
            </w:pPr>
          </w:p>
        </w:tc>
      </w:tr>
      <w:tr>
        <w:trPr>
          <w:trHeight w:val="196"/>
        </w:trPr>
        <w:tc>
          <w:tcPr>
            <w:tcW w:w="64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Effect of foreign exchange rate changes on cash and cash equivalents</w:t>
            </w:r>
          </w:p>
        </w:tc>
        <w:tc>
          <w:tcPr>
            <w:tcW w:w="14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(137)</w:t>
            </w:r>
          </w:p>
        </w:tc>
        <w:tc>
          <w:tcPr>
            <w:tcW w:w="28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14</w:t>
            </w:r>
          </w:p>
        </w:tc>
        <w:tc>
          <w:tcPr>
            <w:tcW w:w="22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(151)</w:t>
            </w:r>
          </w:p>
        </w:tc>
        <w:tc>
          <w:tcPr>
            <w:tcW w:w="28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(183)</w:t>
            </w:r>
          </w:p>
        </w:tc>
        <w:tc>
          <w:tcPr>
            <w:tcW w:w="22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197</w:t>
            </w:r>
          </w:p>
        </w:tc>
        <w:tc>
          <w:tcPr>
            <w:tcW w:w="0" w:type="dxa"/>
            <w:vAlign w:val="bottom"/>
          </w:tcPr>
          <w:p>
            <w:pPr>
              <w:spacing w:after="0"/>
              <w:rPr>
                <w:sz w:val="1"/>
                <w:szCs w:val="1"/>
                <w:color w:val="auto"/>
              </w:rPr>
            </w:pPr>
          </w:p>
        </w:tc>
      </w:tr>
      <w:tr>
        <w:trPr>
          <w:trHeight w:val="199"/>
        </w:trPr>
        <w:tc>
          <w:tcPr>
            <w:tcW w:w="64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Net increase (decrease) in cash and cash equivalents</w:t>
            </w:r>
          </w:p>
        </w:tc>
        <w:tc>
          <w:tcPr>
            <w:tcW w:w="14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2,642</w:t>
            </w:r>
          </w:p>
        </w:tc>
        <w:tc>
          <w:tcPr>
            <w:tcW w:w="28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(1,702)</w:t>
            </w:r>
          </w:p>
        </w:tc>
        <w:tc>
          <w:tcPr>
            <w:tcW w:w="22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4,344</w:t>
            </w:r>
          </w:p>
        </w:tc>
        <w:tc>
          <w:tcPr>
            <w:tcW w:w="28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(1,332)</w:t>
            </w:r>
          </w:p>
        </w:tc>
        <w:tc>
          <w:tcPr>
            <w:tcW w:w="22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(370)</w:t>
            </w:r>
          </w:p>
        </w:tc>
        <w:tc>
          <w:tcPr>
            <w:tcW w:w="0" w:type="dxa"/>
            <w:vAlign w:val="bottom"/>
          </w:tcPr>
          <w:p>
            <w:pPr>
              <w:spacing w:after="0"/>
              <w:rPr>
                <w:sz w:val="1"/>
                <w:szCs w:val="1"/>
                <w:color w:val="auto"/>
              </w:rPr>
            </w:pPr>
          </w:p>
        </w:tc>
      </w:tr>
      <w:tr>
        <w:trPr>
          <w:trHeight w:val="196"/>
        </w:trPr>
        <w:tc>
          <w:tcPr>
            <w:tcW w:w="64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Cash and cash equivalents at end of period</w:t>
            </w:r>
          </w:p>
        </w:tc>
        <w:tc>
          <w:tcPr>
            <w:tcW w:w="1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10,567</w:t>
            </w:r>
          </w:p>
        </w:tc>
        <w:tc>
          <w:tcPr>
            <w:tcW w:w="2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7,925</w:t>
            </w: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2,642</w:t>
            </w:r>
          </w:p>
        </w:tc>
        <w:tc>
          <w:tcPr>
            <w:tcW w:w="2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9,627</w:t>
            </w: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(1,702)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D7282F"/>
        </w:rPr>
        <w:t>37</w:t>
      </w:r>
      <w:r>
        <w:rPr>
          <w:sz w:val="20"/>
          <w:szCs w:val="20"/>
          <w:color w:val="auto"/>
        </w:rPr>
        <w:tab/>
      </w: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39" w:name="page40"/>
    <w:bookmarkEnd w:id="39"/>
    <w:p>
      <w:pPr>
        <w:ind w:left="20"/>
        <w:spacing w:after="0"/>
        <w:tabs>
          <w:tab w:leader="none" w:pos="886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LIQUIDITY AND CAPITAL 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Year ended December 31, 2024</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Net cash provided by operating activities was largely driven by Net income.</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Net cash used for investing activities was driven by $8,880 million of cash paid for acquisitions and $1,164 million of capital expenditures.</w:t>
      </w:r>
    </w:p>
    <w:p>
      <w:pPr>
        <w:spacing w:after="0" w:line="113"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Net cash provided by financing activities was driven by $10,408 million of long-term debt proceeds and $2,260 million of net proceeds of commercial paper, partially offset by $2,902 million of cash dividends paid, $1,812 million of repayments of long-term debt, and $1,655 million of repurchases of common stock.</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2024 compared with 2023</w:t>
      </w:r>
    </w:p>
    <w:p>
      <w:pPr>
        <w:spacing w:after="0" w:line="21"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Net cash provided by operating activities increased by $757 million, primarily due to the $1,325 million payment made by the Company pursuant to the NARCO Amended Buyout Agreement in 2023, partially offset by $697 million decrease of noncash adjustments, driven by $616 million decline in repositioning and other charges.</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Net cash used for investing activities increased by $8,864 million, driven by a $8,162 million increase in cash paid for acquisitions.</w:t>
      </w:r>
    </w:p>
    <w:p>
      <w:pPr>
        <w:spacing w:after="0" w:line="1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Net cash provided by (used for) financing activities increased by $12,602 million, driven by $7,422 million increase in long-term debt proceeds, primarily to fund our recent acquisitions, $2,932 million increase in net proceeds of commercial paper, and $2,060 million decrease in repurchases of common stock.</w:t>
      </w:r>
    </w:p>
    <w:p>
      <w:pPr>
        <w:spacing w:after="0" w:line="6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See Note 19 </w:t>
      </w:r>
      <w:r>
        <w:rPr>
          <w:rFonts w:ascii="Arial" w:cs="Arial" w:eastAsia="Arial" w:hAnsi="Arial"/>
          <w:sz w:val="16"/>
          <w:szCs w:val="16"/>
          <w:u w:val="single" w:color="auto"/>
          <w:color w:val="0000FF"/>
        </w:rPr>
        <w:t>Commitments and Contingencies</w:t>
      </w:r>
      <w:r>
        <w:rPr>
          <w:rFonts w:ascii="Arial" w:cs="Arial" w:eastAsia="Arial" w:hAnsi="Arial"/>
          <w:sz w:val="16"/>
          <w:szCs w:val="16"/>
          <w:color w:val="auto"/>
        </w:rPr>
        <w:t xml:space="preserve"> of Notes to Consolidated Financial Statements for additional information on the NARCO Amended Buyout Agreement.</w:t>
      </w:r>
    </w:p>
    <w:p>
      <w:pPr>
        <w:spacing w:after="0" w:line="219" w:lineRule="exact"/>
        <w:rPr>
          <w:sz w:val="20"/>
          <w:szCs w:val="20"/>
          <w:color w:val="auto"/>
        </w:rPr>
      </w:pPr>
    </w:p>
    <w:p>
      <w:pPr>
        <w:spacing w:after="0"/>
        <w:rPr>
          <w:sz w:val="20"/>
          <w:szCs w:val="20"/>
          <w:color w:val="auto"/>
        </w:rPr>
      </w:pPr>
      <w:r>
        <w:rPr>
          <w:rFonts w:ascii="Arial" w:cs="Arial" w:eastAsia="Arial" w:hAnsi="Arial"/>
          <w:sz w:val="29"/>
          <w:szCs w:val="29"/>
          <w:color w:val="D7282F"/>
        </w:rPr>
        <w:t>CASH REQUIREMENTS AND ASSESSMENT OF CURRENT LIQUIDITY</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In addition to our normal operating cash requirements, we expect our primary cash requirements in 2025 to be as follows:</w:t>
      </w:r>
    </w:p>
    <w:p>
      <w:pPr>
        <w:spacing w:after="0" w:line="127" w:lineRule="exact"/>
        <w:rPr>
          <w:sz w:val="20"/>
          <w:szCs w:val="20"/>
          <w:color w:val="auto"/>
        </w:rPr>
      </w:pPr>
    </w:p>
    <w:p>
      <w:pPr>
        <w:ind w:left="200" w:hanging="192"/>
        <w:spacing w:after="0" w:line="286" w:lineRule="auto"/>
        <w:tabs>
          <w:tab w:leader="none" w:pos="197" w:val="left"/>
        </w:tabs>
        <w:numPr>
          <w:ilvl w:val="0"/>
          <w:numId w:val="77"/>
        </w:numPr>
        <w:rPr>
          <w:rFonts w:ascii="Arial" w:cs="Arial" w:eastAsia="Arial" w:hAnsi="Arial"/>
          <w:sz w:val="16"/>
          <w:szCs w:val="16"/>
          <w:b w:val="1"/>
          <w:bCs w:val="1"/>
          <w:color w:val="D7282F"/>
        </w:rPr>
      </w:pPr>
      <w:r>
        <w:rPr>
          <w:rFonts w:ascii="Arial" w:cs="Arial" w:eastAsia="Arial" w:hAnsi="Arial"/>
          <w:sz w:val="16"/>
          <w:szCs w:val="16"/>
          <w:color w:val="auto"/>
        </w:rPr>
        <w:t>Capital expenditures—we expect to spend approximately $1.3 billion for capital expenditures in 2025 primarily for growth, production and capacity expansion, implementation of cost reduction measures, maintenance, and replacement.</w:t>
      </w:r>
    </w:p>
    <w:p>
      <w:pPr>
        <w:spacing w:after="0" w:line="20" w:lineRule="exact"/>
        <w:rPr>
          <w:rFonts w:ascii="Arial" w:cs="Arial" w:eastAsia="Arial" w:hAnsi="Arial"/>
          <w:sz w:val="16"/>
          <w:szCs w:val="16"/>
          <w:b w:val="1"/>
          <w:bCs w:val="1"/>
          <w:color w:val="D7282F"/>
        </w:rPr>
      </w:pPr>
    </w:p>
    <w:p>
      <w:pPr>
        <w:jc w:val="both"/>
        <w:ind w:left="200" w:hanging="192"/>
        <w:spacing w:after="0" w:line="260" w:lineRule="auto"/>
        <w:tabs>
          <w:tab w:leader="none" w:pos="197" w:val="left"/>
        </w:tabs>
        <w:numPr>
          <w:ilvl w:val="0"/>
          <w:numId w:val="77"/>
        </w:numPr>
        <w:rPr>
          <w:rFonts w:ascii="Arial" w:cs="Arial" w:eastAsia="Arial" w:hAnsi="Arial"/>
          <w:sz w:val="16"/>
          <w:szCs w:val="16"/>
          <w:b w:val="1"/>
          <w:bCs w:val="1"/>
          <w:color w:val="D7282F"/>
        </w:rPr>
      </w:pPr>
      <w:r>
        <w:rPr>
          <w:rFonts w:ascii="Arial" w:cs="Arial" w:eastAsia="Arial" w:hAnsi="Arial"/>
          <w:sz w:val="16"/>
          <w:szCs w:val="16"/>
          <w:color w:val="auto"/>
        </w:rPr>
        <w:t>Share repurchases—under our share repurchase program, $5.5 billion was available as of December 31, 2024, for additional share repurchases as authorized by the Board on April 24, 2023. We expect to repurchase outstanding shares from time to time to offset the dilutive impact of employee stock-based compensation plans, including option exercises, restricted unit vesting and matching contributions under our savings plans. Additionally, we seek to reduce share count via share repurchases as and when attractive opportunities arise. The amount and timing of future repurchases may vary depending on market conditions and our level of operating, financing, and other investing activities.</w:t>
      </w:r>
    </w:p>
    <w:p>
      <w:pPr>
        <w:spacing w:after="0" w:line="42" w:lineRule="exact"/>
        <w:rPr>
          <w:rFonts w:ascii="Arial" w:cs="Arial" w:eastAsia="Arial" w:hAnsi="Arial"/>
          <w:sz w:val="16"/>
          <w:szCs w:val="16"/>
          <w:b w:val="1"/>
          <w:bCs w:val="1"/>
          <w:color w:val="D7282F"/>
        </w:rPr>
      </w:pPr>
    </w:p>
    <w:p>
      <w:pPr>
        <w:jc w:val="both"/>
        <w:ind w:left="200" w:hanging="192"/>
        <w:spacing w:after="0" w:line="275" w:lineRule="auto"/>
        <w:tabs>
          <w:tab w:leader="none" w:pos="197" w:val="left"/>
        </w:tabs>
        <w:numPr>
          <w:ilvl w:val="0"/>
          <w:numId w:val="77"/>
        </w:numPr>
        <w:rPr>
          <w:rFonts w:ascii="Arial" w:cs="Arial" w:eastAsia="Arial" w:hAnsi="Arial"/>
          <w:sz w:val="16"/>
          <w:szCs w:val="16"/>
          <w:b w:val="1"/>
          <w:bCs w:val="1"/>
          <w:color w:val="D7282F"/>
        </w:rPr>
      </w:pPr>
      <w:r>
        <w:rPr>
          <w:rFonts w:ascii="Arial" w:cs="Arial" w:eastAsia="Arial" w:hAnsi="Arial"/>
          <w:sz w:val="16"/>
          <w:szCs w:val="16"/>
          <w:color w:val="auto"/>
        </w:rPr>
        <w:t>Mergers and acquisitions—in addition to the proposed spin-off of the Advanced Materials business and intended separation of the Automation and Aerospace Technologies businesses into three stand-alone, publicly traded companies and the sale of the PPE business, we expect to evaluate and undertake actions to optimize our portfolio, including executing on strategic bolt-on acquisitions over the course of 2025.</w:t>
      </w:r>
    </w:p>
    <w:p>
      <w:pPr>
        <w:spacing w:after="0" w:line="29" w:lineRule="exact"/>
        <w:rPr>
          <w:rFonts w:ascii="Arial" w:cs="Arial" w:eastAsia="Arial" w:hAnsi="Arial"/>
          <w:sz w:val="16"/>
          <w:szCs w:val="16"/>
          <w:b w:val="1"/>
          <w:bCs w:val="1"/>
          <w:color w:val="D7282F"/>
        </w:rPr>
      </w:pPr>
    </w:p>
    <w:p>
      <w:pPr>
        <w:ind w:left="200" w:right="20" w:hanging="192"/>
        <w:spacing w:after="0" w:line="286" w:lineRule="auto"/>
        <w:tabs>
          <w:tab w:leader="none" w:pos="197" w:val="left"/>
        </w:tabs>
        <w:numPr>
          <w:ilvl w:val="0"/>
          <w:numId w:val="77"/>
        </w:numPr>
        <w:rPr>
          <w:rFonts w:ascii="Arial" w:cs="Arial" w:eastAsia="Arial" w:hAnsi="Arial"/>
          <w:sz w:val="16"/>
          <w:szCs w:val="16"/>
          <w:b w:val="1"/>
          <w:bCs w:val="1"/>
          <w:color w:val="D7282F"/>
        </w:rPr>
      </w:pPr>
      <w:r>
        <w:rPr>
          <w:rFonts w:ascii="Arial" w:cs="Arial" w:eastAsia="Arial" w:hAnsi="Arial"/>
          <w:sz w:val="16"/>
          <w:szCs w:val="16"/>
          <w:color w:val="auto"/>
        </w:rPr>
        <w:t>Dividends—we increased our quarterly dividend rate by 5% to $1.13 per share of common stock effective with the fourth quarter 2024 dividend. We intend to continue to pay quarterly dividends in 2025.</w:t>
      </w:r>
    </w:p>
    <w:p>
      <w:pPr>
        <w:spacing w:after="0" w:line="48"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We sell trade receivables to unaffiliated financial institutions with limited or no recourse. We account for trade receivable sales as sales and, accordingly, receivables sold are excluded from Accounts receivable—net in the Consolidated Balance Sheet and are reflected in Cash flows from operating activities in the Consolidated Statement of Cash Flows. The difference between the carrying amount of the trade receivables sold and the cash received is recorded in Cost of products and services sold in the Consolidated Statement of Operations. The impact of this program is not material to our overall liquidity.</w:t>
      </w:r>
    </w:p>
    <w:p>
      <w:pPr>
        <w:spacing w:after="0" w:line="60"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 xml:space="preserve">Additionally, we continue to assess the relative strength of each business in our portfolio as to strategic fit, market position, profit, and cash flow contribution in order to identify target investment and acquisition opportunities in order to upgrade our combined portfolio. We identify acquisition candidates that will further our strategic plan and strengthen our existing core businesses. During the year ended December 31, 2024, we acquired Access Solutions for total consideration of $4.9 billion, net of cash acquired, CAES for total consideration of $1.9 billion, net of cash acquired, LNG for $1.8 billion, net of cash acquired, and Civitanavi Systems S.p.A. for total consideration of $200 million, net of cash acquired. We also identify businesses that do not fit into our long-term strategic plan based on their market position, relative profitability, or growth potential. These businesses are considered for potential divestiture, restructuring, or other repositioning actions, subject to regulatory constraints. On October 8, 2024, we announced our intention to spin off the Advanced Materials business into an independent, U.S. publicly traded company, which is targeted to be completed by the end of 2025 or early 2026. In addition, on November 22, 2024, we announced an agreement to sell our personal protective equipment business for $1.3 billion, with the assets and liabilities of the business classified as held for sale until the closing date of a sale. On February 6, 2025, the Company announced its intention to separate its Automation and Aerospace Technologies businesses into independent, U.S. publicly traded companies. See Note 2 </w:t>
      </w:r>
      <w:r>
        <w:rPr>
          <w:rFonts w:ascii="Arial" w:cs="Arial" w:eastAsia="Arial" w:hAnsi="Arial"/>
          <w:sz w:val="16"/>
          <w:szCs w:val="16"/>
          <w:u w:val="single" w:color="auto"/>
          <w:color w:val="0000FF"/>
        </w:rPr>
        <w:t>Acquisitions, Divestitures, and Assets and Liabilities</w:t>
      </w:r>
      <w:r>
        <w:rPr>
          <w:rFonts w:ascii="Arial" w:cs="Arial" w:eastAsia="Arial" w:hAnsi="Arial"/>
          <w:sz w:val="16"/>
          <w:szCs w:val="16"/>
          <w:color w:val="auto"/>
        </w:rPr>
        <w:t xml:space="preserve"> </w:t>
      </w:r>
      <w:r>
        <w:rPr>
          <w:rFonts w:ascii="Arial" w:cs="Arial" w:eastAsia="Arial" w:hAnsi="Arial"/>
          <w:sz w:val="16"/>
          <w:szCs w:val="16"/>
          <w:u w:val="single" w:color="auto"/>
          <w:color w:val="0000FF"/>
        </w:rPr>
        <w:t>Held for Sale</w:t>
      </w:r>
      <w:r>
        <w:rPr>
          <w:rFonts w:ascii="Arial" w:cs="Arial" w:eastAsia="Arial" w:hAnsi="Arial"/>
          <w:sz w:val="16"/>
          <w:szCs w:val="16"/>
          <w:color w:val="0000FF"/>
        </w:rPr>
        <w:t xml:space="preserve"> </w:t>
      </w:r>
      <w:r>
        <w:rPr>
          <w:rFonts w:ascii="Arial" w:cs="Arial" w:eastAsia="Arial" w:hAnsi="Arial"/>
          <w:sz w:val="16"/>
          <w:szCs w:val="16"/>
          <w:color w:val="000000"/>
        </w:rPr>
        <w:t>of Notes to Consolidated Financial Statements for additional discussion.</w:t>
      </w:r>
    </w:p>
    <w:p>
      <w:pPr>
        <w:spacing w:after="0" w:line="200" w:lineRule="exact"/>
        <w:rPr>
          <w:sz w:val="20"/>
          <w:szCs w:val="20"/>
          <w:color w:val="auto"/>
        </w:rPr>
      </w:pPr>
    </w:p>
    <w:p>
      <w:pPr>
        <w:spacing w:after="0" w:line="228" w:lineRule="exact"/>
        <w:rPr>
          <w:sz w:val="20"/>
          <w:szCs w:val="20"/>
          <w:color w:val="auto"/>
        </w:rPr>
      </w:pPr>
    </w:p>
    <w:p>
      <w:pPr>
        <w:ind w:left="400" w:hanging="392"/>
        <w:spacing w:after="0"/>
        <w:tabs>
          <w:tab w:leader="none" w:pos="400" w:val="left"/>
        </w:tabs>
        <w:numPr>
          <w:ilvl w:val="0"/>
          <w:numId w:val="78"/>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40" w:name="page41"/>
    <w:bookmarkEnd w:id="40"/>
    <w:p>
      <w:pPr>
        <w:ind w:left="20"/>
        <w:spacing w:after="0"/>
        <w:tabs>
          <w:tab w:leader="none" w:pos="886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LIQUIDITY AND CAPITAL 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Based on past performance and current expectations, we believe that our operating cash flows will be sufficient to meet our future operating cash needs for at least the next twelve months. Our available cash, committed credit lines, and access to the public debt and equity markets provide additional sources of short-term and long-term liquidity to fund current operations, debt maturities, and future investment opportunities. During the twelve months ended December 31, 2024, our net cash provided by financing activities included proceeds of $10.4 billion from the issuance of long-term debt primarily to fund the Access Solutions, CAES, LNG, and Civitanavi Systems S.p.A. acquisitions.</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See Note 9 </w:t>
      </w:r>
      <w:r>
        <w:rPr>
          <w:rFonts w:ascii="Arial" w:cs="Arial" w:eastAsia="Arial" w:hAnsi="Arial"/>
          <w:sz w:val="16"/>
          <w:szCs w:val="16"/>
          <w:u w:val="single" w:color="auto"/>
          <w:color w:val="0000FF"/>
        </w:rPr>
        <w:t>Long-term Debt and Credit Agreements</w:t>
      </w:r>
      <w:r>
        <w:rPr>
          <w:rFonts w:ascii="Arial" w:cs="Arial" w:eastAsia="Arial" w:hAnsi="Arial"/>
          <w:sz w:val="16"/>
          <w:szCs w:val="16"/>
          <w:color w:val="auto"/>
        </w:rPr>
        <w:t xml:space="preserve"> of Notes to Consolidated Financial Statements for additional discussion of items impacting our liquidity.</w:t>
      </w:r>
    </w:p>
    <w:p>
      <w:pPr>
        <w:spacing w:after="0" w:line="284" w:lineRule="exact"/>
        <w:rPr>
          <w:sz w:val="20"/>
          <w:szCs w:val="20"/>
          <w:color w:val="auto"/>
        </w:rPr>
      </w:pPr>
    </w:p>
    <w:p>
      <w:pPr>
        <w:spacing w:after="0"/>
        <w:rPr>
          <w:sz w:val="20"/>
          <w:szCs w:val="20"/>
          <w:color w:val="auto"/>
        </w:rPr>
      </w:pPr>
      <w:r>
        <w:rPr>
          <w:rFonts w:ascii="Arial" w:cs="Arial" w:eastAsia="Arial" w:hAnsi="Arial"/>
          <w:sz w:val="29"/>
          <w:szCs w:val="29"/>
          <w:color w:val="D7282F"/>
        </w:rPr>
        <w:t>BORROWINGS</w:t>
      </w:r>
    </w:p>
    <w:p>
      <w:pPr>
        <w:spacing w:after="0" w:line="238"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We leverage a variety of debt instruments to manage our overall borrowing costs. As of December 31, 2024, and 2023, our total borrowings were $31.1 billion and $20.4 billion, respectively.</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480" w:type="dxa"/>
            <w:vAlign w:val="bottom"/>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gridSpan w:val="3"/>
          </w:tcPr>
          <w:p>
            <w:pPr>
              <w:jc w:val="right"/>
              <w:ind w:right="348"/>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9480" w:type="dxa"/>
            <w:vAlign w:val="bottom"/>
            <w:tcBorders>
              <w:bottom w:val="single" w:sz="8" w:color="D7282F"/>
            </w:tcBorders>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2024</w:t>
            </w:r>
          </w:p>
        </w:tc>
        <w:tc>
          <w:tcPr>
            <w:tcW w:w="28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2023</w:t>
            </w:r>
          </w:p>
        </w:tc>
      </w:tr>
      <w:tr>
        <w:trPr>
          <w:trHeight w:val="193"/>
        </w:trPr>
        <w:tc>
          <w:tcPr>
            <w:tcW w:w="9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Fixed rate notes</w:t>
            </w:r>
          </w:p>
        </w:tc>
        <w:tc>
          <w:tcPr>
            <w:tcW w:w="160" w:type="dxa"/>
            <w:vAlign w:val="bottom"/>
            <w:tcBorders>
              <w:bottom w:val="single" w:sz="8" w:color="888B8D"/>
            </w:tcBorders>
          </w:tcPr>
          <w:p>
            <w:pPr>
              <w:jc w:val="right"/>
              <w:ind w:right="8"/>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25,853</w:t>
            </w:r>
          </w:p>
        </w:tc>
        <w:tc>
          <w:tcPr>
            <w:tcW w:w="280" w:type="dxa"/>
            <w:vAlign w:val="bottom"/>
            <w:tcBorders>
              <w:bottom w:val="single" w:sz="8" w:color="888B8D"/>
            </w:tcBorders>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18,530</w:t>
            </w:r>
          </w:p>
        </w:tc>
      </w:tr>
      <w:tr>
        <w:trPr>
          <w:trHeight w:val="196"/>
        </w:trPr>
        <w:tc>
          <w:tcPr>
            <w:tcW w:w="9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Commercial paper</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4,271</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2,083</w:t>
            </w:r>
          </w:p>
        </w:tc>
      </w:tr>
      <w:tr>
        <w:trPr>
          <w:trHeight w:val="196"/>
        </w:trPr>
        <w:tc>
          <w:tcPr>
            <w:tcW w:w="9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Term loan</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1,000</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9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Variable rate notes</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22</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22</w:t>
            </w:r>
          </w:p>
        </w:tc>
      </w:tr>
      <w:tr>
        <w:trPr>
          <w:trHeight w:val="196"/>
        </w:trPr>
        <w:tc>
          <w:tcPr>
            <w:tcW w:w="9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Other</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392</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219</w:t>
            </w:r>
          </w:p>
        </w:tc>
      </w:tr>
      <w:tr>
        <w:trPr>
          <w:trHeight w:val="196"/>
        </w:trPr>
        <w:tc>
          <w:tcPr>
            <w:tcW w:w="9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Fair value of hedging instruments</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(136)</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(166)</w:t>
            </w:r>
          </w:p>
        </w:tc>
      </w:tr>
      <w:tr>
        <w:trPr>
          <w:trHeight w:val="196"/>
        </w:trPr>
        <w:tc>
          <w:tcPr>
            <w:tcW w:w="94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Debt issuance costs</w:t>
            </w:r>
          </w:p>
        </w:tc>
        <w:tc>
          <w:tcPr>
            <w:tcW w:w="1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(303)</w:t>
            </w:r>
          </w:p>
        </w:tc>
        <w:tc>
          <w:tcPr>
            <w:tcW w:w="28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(245)</w:t>
            </w:r>
          </w:p>
        </w:tc>
      </w:tr>
      <w:tr>
        <w:trPr>
          <w:trHeight w:val="199"/>
        </w:trPr>
        <w:tc>
          <w:tcPr>
            <w:tcW w:w="948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borrowings</w:t>
            </w:r>
          </w:p>
        </w:tc>
        <w:tc>
          <w:tcPr>
            <w:tcW w:w="16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31,099</w:t>
            </w:r>
          </w:p>
        </w:tc>
        <w:tc>
          <w:tcPr>
            <w:tcW w:w="2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20,443</w:t>
            </w:r>
          </w:p>
        </w:tc>
      </w:tr>
    </w:tbl>
    <w:p>
      <w:pPr>
        <w:spacing w:after="0" w:line="188"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A key source of liquidity is our ability to access the corporate bond markets. Through these markets, we issue a variety of long-term fixed rate notes to manage our overall funding costs.</w:t>
      </w:r>
    </w:p>
    <w:p>
      <w:pPr>
        <w:spacing w:after="0" w:line="48"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Another key source of liquidity is our ability to access the commercial paper market. Commercial paper notes are sold at a discount or premium and have a maturity of not more than 365 days from date of issuance. Borrowings under the commercial paper program are available for general corporate purposes as well as for financing acquisitions. The weighted average interest rate on commercial paper and other short-term borrowings outstanding was 4.22% and 4.29% as of December 31, 2024, and 2023, respectively.</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color w:val="auto"/>
        </w:rPr>
        <w:t>We also have the following loan and revolving credit agreements:</w:t>
      </w:r>
    </w:p>
    <w:p>
      <w:pPr>
        <w:spacing w:after="0" w:line="113" w:lineRule="exact"/>
        <w:rPr>
          <w:sz w:val="20"/>
          <w:szCs w:val="20"/>
          <w:color w:val="auto"/>
        </w:rPr>
      </w:pPr>
    </w:p>
    <w:p>
      <w:pPr>
        <w:jc w:val="both"/>
        <w:ind w:left="200" w:hanging="192"/>
        <w:spacing w:after="0" w:line="271" w:lineRule="auto"/>
        <w:tabs>
          <w:tab w:leader="none" w:pos="197" w:val="left"/>
        </w:tabs>
        <w:numPr>
          <w:ilvl w:val="0"/>
          <w:numId w:val="79"/>
        </w:numPr>
        <w:rPr>
          <w:rFonts w:ascii="Arial" w:cs="Arial" w:eastAsia="Arial" w:hAnsi="Arial"/>
          <w:sz w:val="16"/>
          <w:szCs w:val="16"/>
          <w:b w:val="1"/>
          <w:bCs w:val="1"/>
          <w:color w:val="D7282F"/>
        </w:rPr>
      </w:pPr>
      <w:r>
        <w:rPr>
          <w:rFonts w:ascii="Arial" w:cs="Arial" w:eastAsia="Arial" w:hAnsi="Arial"/>
          <w:sz w:val="16"/>
          <w:szCs w:val="16"/>
          <w:color w:val="auto"/>
        </w:rPr>
        <w:t>A $1.0 billion Fixed Rate Term Loan Credit Agreement (the Fixed Rate Term Loan Credit Agreement), dated as of August 12, 2024. Amounts borrowed under the Fixed Rate Term Loan Credit Agreement are required to be repaid no later than August 12, 2027, unless the Fixed Rate Term Loan Credit Agreement is terminated earlier pursuant to its terms. As of December 31, 2024, there were $1.0 billion of borrowings outstanding under the Fixed Rate Term Loan Credit Agreement.</w:t>
      </w:r>
    </w:p>
    <w:p>
      <w:pPr>
        <w:spacing w:after="0" w:line="19" w:lineRule="exact"/>
        <w:rPr>
          <w:rFonts w:ascii="Arial" w:cs="Arial" w:eastAsia="Arial" w:hAnsi="Arial"/>
          <w:sz w:val="16"/>
          <w:szCs w:val="16"/>
          <w:b w:val="1"/>
          <w:bCs w:val="1"/>
          <w:color w:val="D7282F"/>
        </w:rPr>
      </w:pPr>
    </w:p>
    <w:p>
      <w:pPr>
        <w:jc w:val="both"/>
        <w:ind w:left="200" w:hanging="192"/>
        <w:spacing w:after="0" w:line="261" w:lineRule="auto"/>
        <w:tabs>
          <w:tab w:leader="none" w:pos="197" w:val="left"/>
        </w:tabs>
        <w:numPr>
          <w:ilvl w:val="0"/>
          <w:numId w:val="79"/>
        </w:numPr>
        <w:rPr>
          <w:rFonts w:ascii="Arial" w:cs="Arial" w:eastAsia="Arial" w:hAnsi="Arial"/>
          <w:sz w:val="16"/>
          <w:szCs w:val="16"/>
          <w:b w:val="1"/>
          <w:bCs w:val="1"/>
          <w:color w:val="D7282F"/>
        </w:rPr>
      </w:pPr>
      <w:r>
        <w:rPr>
          <w:rFonts w:ascii="Arial" w:cs="Arial" w:eastAsia="Arial" w:hAnsi="Arial"/>
          <w:sz w:val="16"/>
          <w:szCs w:val="16"/>
          <w:color w:val="auto"/>
        </w:rPr>
        <w:t>A $1.5 billion 364-day credit agreement (the 364-Day Credit Agreement) with a syndicate of banks, dated as of March 18, 2024. Amounts borrowed under the 364-Day Credit Agreement are required to be repaid no later than March 17, 2025, unless (i) we elect to convert all then outstanding amounts into a term loan, upon which such amounts shall be repaid in full on March 17, 2026, or (ii) the 364-Day Credit Agreement is terminated earlier pursuant to its terms. The 364-Day Credit Agreement replaced the previously reported $1.5 billion 364-day credit agreement dated as of March 20, 2023, which was terminated in accordance with its terms effective March 18, 2024. As of December 31, 2024, there were no outstanding borrowings under our 364-Day Credit Agreement.</w:t>
      </w:r>
    </w:p>
    <w:p>
      <w:pPr>
        <w:spacing w:after="0" w:line="41" w:lineRule="exact"/>
        <w:rPr>
          <w:rFonts w:ascii="Arial" w:cs="Arial" w:eastAsia="Arial" w:hAnsi="Arial"/>
          <w:sz w:val="16"/>
          <w:szCs w:val="16"/>
          <w:b w:val="1"/>
          <w:bCs w:val="1"/>
          <w:color w:val="D7282F"/>
        </w:rPr>
      </w:pPr>
    </w:p>
    <w:p>
      <w:pPr>
        <w:jc w:val="both"/>
        <w:ind w:left="200" w:hanging="192"/>
        <w:spacing w:after="0" w:line="265" w:lineRule="auto"/>
        <w:tabs>
          <w:tab w:leader="none" w:pos="197" w:val="left"/>
        </w:tabs>
        <w:numPr>
          <w:ilvl w:val="0"/>
          <w:numId w:val="79"/>
        </w:numPr>
        <w:rPr>
          <w:rFonts w:ascii="Arial" w:cs="Arial" w:eastAsia="Arial" w:hAnsi="Arial"/>
          <w:sz w:val="16"/>
          <w:szCs w:val="16"/>
          <w:color w:val="D7282F"/>
        </w:rPr>
      </w:pPr>
      <w:r>
        <w:rPr>
          <w:rFonts w:ascii="Arial" w:cs="Arial" w:eastAsia="Arial" w:hAnsi="Arial"/>
          <w:sz w:val="16"/>
          <w:szCs w:val="16"/>
          <w:color w:val="auto"/>
        </w:rPr>
        <w:t>A $4.0 billion five-year credit agreement (the Five-Year Credit Agreement) with a syndicate of banks, dated as of March 18, 2024. Commitments under the Five-Year Credit Agreement can be increased pursuant to the terms of the Five-Year Credit Agreement to an aggregate amount not to exceed $4.5 billion. The Five-Year Credit Agreement amended and restated the previously reported $4.0 billion amended and restated five-year credit agreement dated as of March 20, 2023. As of December 31, 2024, there were no outstanding borrowings under our Five-Year Credit Agreement.</w:t>
      </w:r>
    </w:p>
    <w:p>
      <w:pPr>
        <w:spacing w:after="0" w:line="7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We also have a current shelf registration statement filed with the SEC under which we may issue additional debt securities, common stock, and preferred stock that may be offered in one or more offerings on terms to be determined at the time of the offering. We anticipate that net proceeds of any offering would be used for general corporate purposes, including repayment of existing indebtedness, share repurchases, capital expenditures, and acquisitions.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See Note 9 </w:t>
      </w:r>
      <w:r>
        <w:rPr>
          <w:rFonts w:ascii="Arial" w:cs="Arial" w:eastAsia="Arial" w:hAnsi="Arial"/>
          <w:sz w:val="16"/>
          <w:szCs w:val="16"/>
          <w:u w:val="single" w:color="auto"/>
          <w:color w:val="0000FF"/>
        </w:rPr>
        <w:t>Long-Term Debt and Credit Agreements</w:t>
      </w:r>
      <w:r>
        <w:rPr>
          <w:rFonts w:ascii="Arial" w:cs="Arial" w:eastAsia="Arial" w:hAnsi="Arial"/>
          <w:sz w:val="16"/>
          <w:szCs w:val="16"/>
          <w:color w:val="auto"/>
        </w:rPr>
        <w:t xml:space="preserve"> of Notes to Consolidated Financial Statements for additional information regarding our debt instruments.</w:t>
      </w:r>
    </w:p>
    <w:p>
      <w:pPr>
        <w:spacing w:after="0" w:line="200" w:lineRule="exact"/>
        <w:rPr>
          <w:sz w:val="20"/>
          <w:szCs w:val="20"/>
          <w:color w:val="auto"/>
        </w:rPr>
      </w:pPr>
    </w:p>
    <w:p>
      <w:pPr>
        <w:spacing w:after="0" w:line="252" w:lineRule="exact"/>
        <w:rPr>
          <w:sz w:val="20"/>
          <w:szCs w:val="20"/>
          <w:color w:val="auto"/>
        </w:rPr>
      </w:pPr>
    </w:p>
    <w:p>
      <w:pPr>
        <w:ind w:left="400" w:hanging="392"/>
        <w:spacing w:after="0"/>
        <w:tabs>
          <w:tab w:leader="none" w:pos="400" w:val="left"/>
        </w:tabs>
        <w:numPr>
          <w:ilvl w:val="0"/>
          <w:numId w:val="80"/>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41" w:name="page42"/>
    <w:bookmarkEnd w:id="41"/>
    <w:p>
      <w:pPr>
        <w:ind w:left="20"/>
        <w:spacing w:after="0"/>
        <w:tabs>
          <w:tab w:leader="none" w:pos="886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LIQUIDITY AND CAPITAL 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9"/>
          <w:szCs w:val="29"/>
          <w:color w:val="D7282F"/>
        </w:rPr>
        <w:t>CREDIT RATINGS</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Our ability to access the global debt capital markets and the related cost of these borrowings is affected by the strength of our credit rating and market conditions. Our credit ratings are periodically reviewed by the major independent debt-rating agencies. As of December 31, 2024, S&amp;P Global Inc. (S&amp;P), Fitch Ratings Inc. (Fitch), and Moody’s Investor Service (Moody's) have ratings on our debt set forth in the table below:</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880" w:type="dxa"/>
            <w:vAlign w:val="bottom"/>
            <w:tcBorders>
              <w:bottom w:val="single" w:sz="8" w:color="D7282F"/>
            </w:tcBorders>
          </w:tcPr>
          <w:p>
            <w:pPr>
              <w:spacing w:after="0"/>
              <w:rPr>
                <w:sz w:val="17"/>
                <w:szCs w:val="17"/>
                <w:color w:val="auto"/>
              </w:rPr>
            </w:pPr>
          </w:p>
        </w:tc>
        <w:tc>
          <w:tcPr>
            <w:tcW w:w="4200" w:type="dxa"/>
            <w:vAlign w:val="bottom"/>
            <w:tcBorders>
              <w:bottom w:val="single" w:sz="8" w:color="D7282F"/>
            </w:tcBorders>
          </w:tcPr>
          <w:p>
            <w:pPr>
              <w:jc w:val="center"/>
              <w:ind w:left="2508"/>
              <w:spacing w:after="0"/>
              <w:rPr>
                <w:sz w:val="20"/>
                <w:szCs w:val="20"/>
                <w:color w:val="auto"/>
              </w:rPr>
            </w:pPr>
            <w:r>
              <w:rPr>
                <w:rFonts w:ascii="Arial" w:cs="Arial" w:eastAsia="Arial" w:hAnsi="Arial"/>
                <w:sz w:val="14"/>
                <w:szCs w:val="14"/>
                <w:b w:val="1"/>
                <w:bCs w:val="1"/>
                <w:color w:val="auto"/>
              </w:rPr>
              <w:t>S&amp;P</w:t>
            </w:r>
          </w:p>
        </w:tc>
        <w:tc>
          <w:tcPr>
            <w:tcW w:w="1600" w:type="dxa"/>
            <w:vAlign w:val="bottom"/>
            <w:tcBorders>
              <w:bottom w:val="single" w:sz="8" w:color="D7282F"/>
            </w:tcBorders>
          </w:tcPr>
          <w:p>
            <w:pPr>
              <w:jc w:val="center"/>
              <w:spacing w:after="0"/>
              <w:rPr>
                <w:sz w:val="20"/>
                <w:szCs w:val="20"/>
                <w:color w:val="auto"/>
              </w:rPr>
            </w:pPr>
            <w:r>
              <w:rPr>
                <w:rFonts w:ascii="Arial" w:cs="Arial" w:eastAsia="Arial" w:hAnsi="Arial"/>
                <w:sz w:val="14"/>
                <w:szCs w:val="14"/>
                <w:b w:val="1"/>
                <w:bCs w:val="1"/>
                <w:color w:val="auto"/>
              </w:rPr>
              <w:t>Fitch</w:t>
            </w:r>
          </w:p>
        </w:tc>
        <w:tc>
          <w:tcPr>
            <w:tcW w:w="1560" w:type="dxa"/>
            <w:vAlign w:val="bottom"/>
            <w:tcBorders>
              <w:bottom w:val="single" w:sz="8" w:color="D7282F"/>
            </w:tcBorders>
          </w:tcPr>
          <w:p>
            <w:pPr>
              <w:jc w:val="center"/>
              <w:ind w:left="68"/>
              <w:spacing w:after="0"/>
              <w:rPr>
                <w:sz w:val="20"/>
                <w:szCs w:val="20"/>
                <w:color w:val="auto"/>
              </w:rPr>
            </w:pPr>
            <w:r>
              <w:rPr>
                <w:rFonts w:ascii="Arial" w:cs="Arial" w:eastAsia="Arial" w:hAnsi="Arial"/>
                <w:sz w:val="14"/>
                <w:szCs w:val="14"/>
                <w:b w:val="1"/>
                <w:bCs w:val="1"/>
                <w:color w:val="auto"/>
              </w:rPr>
              <w:t>Moody's</w:t>
            </w:r>
          </w:p>
        </w:tc>
      </w:tr>
      <w:tr>
        <w:trPr>
          <w:trHeight w:val="193"/>
        </w:trPr>
        <w:tc>
          <w:tcPr>
            <w:tcW w:w="38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Outlook</w:t>
            </w:r>
          </w:p>
        </w:tc>
        <w:tc>
          <w:tcPr>
            <w:tcW w:w="4200" w:type="dxa"/>
            <w:vAlign w:val="bottom"/>
            <w:tcBorders>
              <w:bottom w:val="single" w:sz="8" w:color="61656A"/>
            </w:tcBorders>
          </w:tcPr>
          <w:p>
            <w:pPr>
              <w:jc w:val="center"/>
              <w:ind w:left="2508"/>
              <w:spacing w:after="0"/>
              <w:rPr>
                <w:sz w:val="20"/>
                <w:szCs w:val="20"/>
                <w:color w:val="auto"/>
              </w:rPr>
            </w:pPr>
            <w:r>
              <w:rPr>
                <w:rFonts w:ascii="Arial" w:cs="Arial" w:eastAsia="Arial" w:hAnsi="Arial"/>
                <w:sz w:val="14"/>
                <w:szCs w:val="14"/>
                <w:color w:val="auto"/>
              </w:rPr>
              <w:t>Stable</w:t>
            </w:r>
          </w:p>
        </w:tc>
        <w:tc>
          <w:tcPr>
            <w:tcW w:w="1600" w:type="dxa"/>
            <w:vAlign w:val="bottom"/>
            <w:tcBorders>
              <w:bottom w:val="single" w:sz="8" w:color="61656A"/>
            </w:tcBorders>
          </w:tcPr>
          <w:p>
            <w:pPr>
              <w:jc w:val="center"/>
              <w:spacing w:after="0"/>
              <w:rPr>
                <w:sz w:val="20"/>
                <w:szCs w:val="20"/>
                <w:color w:val="auto"/>
              </w:rPr>
            </w:pPr>
            <w:r>
              <w:rPr>
                <w:rFonts w:ascii="Arial" w:cs="Arial" w:eastAsia="Arial" w:hAnsi="Arial"/>
                <w:sz w:val="14"/>
                <w:szCs w:val="14"/>
                <w:color w:val="auto"/>
              </w:rPr>
              <w:t>Stable</w:t>
            </w:r>
          </w:p>
        </w:tc>
        <w:tc>
          <w:tcPr>
            <w:tcW w:w="1560" w:type="dxa"/>
            <w:vAlign w:val="bottom"/>
            <w:tcBorders>
              <w:bottom w:val="single" w:sz="8" w:color="61656A"/>
            </w:tcBorders>
          </w:tcPr>
          <w:p>
            <w:pPr>
              <w:jc w:val="center"/>
              <w:ind w:left="68"/>
              <w:spacing w:after="0"/>
              <w:rPr>
                <w:sz w:val="20"/>
                <w:szCs w:val="20"/>
                <w:color w:val="auto"/>
              </w:rPr>
            </w:pPr>
            <w:r>
              <w:rPr>
                <w:rFonts w:ascii="Arial" w:cs="Arial" w:eastAsia="Arial" w:hAnsi="Arial"/>
                <w:sz w:val="14"/>
                <w:szCs w:val="14"/>
                <w:color w:val="auto"/>
              </w:rPr>
              <w:t>Positive</w:t>
            </w:r>
          </w:p>
        </w:tc>
      </w:tr>
      <w:tr>
        <w:trPr>
          <w:trHeight w:val="196"/>
        </w:trPr>
        <w:tc>
          <w:tcPr>
            <w:tcW w:w="38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Short-term</w:t>
            </w:r>
          </w:p>
        </w:tc>
        <w:tc>
          <w:tcPr>
            <w:tcW w:w="4200" w:type="dxa"/>
            <w:vAlign w:val="bottom"/>
            <w:tcBorders>
              <w:bottom w:val="single" w:sz="8" w:color="61656A"/>
            </w:tcBorders>
          </w:tcPr>
          <w:p>
            <w:pPr>
              <w:jc w:val="center"/>
              <w:ind w:left="2508"/>
              <w:spacing w:after="0"/>
              <w:rPr>
                <w:sz w:val="20"/>
                <w:szCs w:val="20"/>
                <w:color w:val="auto"/>
              </w:rPr>
            </w:pPr>
            <w:r>
              <w:rPr>
                <w:rFonts w:ascii="Arial" w:cs="Arial" w:eastAsia="Arial" w:hAnsi="Arial"/>
                <w:sz w:val="14"/>
                <w:szCs w:val="14"/>
                <w:color w:val="auto"/>
              </w:rPr>
              <w:t>A-1</w:t>
            </w:r>
          </w:p>
        </w:tc>
        <w:tc>
          <w:tcPr>
            <w:tcW w:w="1600" w:type="dxa"/>
            <w:vAlign w:val="bottom"/>
            <w:tcBorders>
              <w:bottom w:val="single" w:sz="8" w:color="61656A"/>
            </w:tcBorders>
          </w:tcPr>
          <w:p>
            <w:pPr>
              <w:jc w:val="center"/>
              <w:spacing w:after="0"/>
              <w:rPr>
                <w:sz w:val="20"/>
                <w:szCs w:val="20"/>
                <w:color w:val="auto"/>
              </w:rPr>
            </w:pPr>
            <w:r>
              <w:rPr>
                <w:rFonts w:ascii="Arial" w:cs="Arial" w:eastAsia="Arial" w:hAnsi="Arial"/>
                <w:sz w:val="14"/>
                <w:szCs w:val="14"/>
                <w:color w:val="auto"/>
                <w:w w:val="97"/>
              </w:rPr>
              <w:t>F1</w:t>
            </w:r>
          </w:p>
        </w:tc>
        <w:tc>
          <w:tcPr>
            <w:tcW w:w="1560" w:type="dxa"/>
            <w:vAlign w:val="bottom"/>
            <w:tcBorders>
              <w:bottom w:val="single" w:sz="8" w:color="61656A"/>
            </w:tcBorders>
          </w:tcPr>
          <w:p>
            <w:pPr>
              <w:jc w:val="center"/>
              <w:ind w:left="88"/>
              <w:spacing w:after="0"/>
              <w:rPr>
                <w:sz w:val="20"/>
                <w:szCs w:val="20"/>
                <w:color w:val="auto"/>
              </w:rPr>
            </w:pPr>
            <w:r>
              <w:rPr>
                <w:rFonts w:ascii="Arial" w:cs="Arial" w:eastAsia="Arial" w:hAnsi="Arial"/>
                <w:sz w:val="14"/>
                <w:szCs w:val="14"/>
                <w:color w:val="auto"/>
                <w:w w:val="93"/>
              </w:rPr>
              <w:t>P1</w:t>
            </w:r>
          </w:p>
        </w:tc>
      </w:tr>
      <w:tr>
        <w:trPr>
          <w:trHeight w:val="196"/>
        </w:trPr>
        <w:tc>
          <w:tcPr>
            <w:tcW w:w="38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Long-term</w:t>
            </w:r>
          </w:p>
        </w:tc>
        <w:tc>
          <w:tcPr>
            <w:tcW w:w="4200" w:type="dxa"/>
            <w:vAlign w:val="bottom"/>
            <w:tcBorders>
              <w:bottom w:val="single" w:sz="8" w:color="D7282F"/>
            </w:tcBorders>
          </w:tcPr>
          <w:p>
            <w:pPr>
              <w:jc w:val="center"/>
              <w:ind w:left="2508"/>
              <w:spacing w:after="0"/>
              <w:rPr>
                <w:sz w:val="20"/>
                <w:szCs w:val="20"/>
                <w:color w:val="auto"/>
              </w:rPr>
            </w:pPr>
            <w:r>
              <w:rPr>
                <w:rFonts w:ascii="Arial" w:cs="Arial" w:eastAsia="Arial" w:hAnsi="Arial"/>
                <w:sz w:val="14"/>
                <w:szCs w:val="14"/>
                <w:color w:val="auto"/>
              </w:rPr>
              <w:t>A</w:t>
            </w:r>
          </w:p>
        </w:tc>
        <w:tc>
          <w:tcPr>
            <w:tcW w:w="1600" w:type="dxa"/>
            <w:vAlign w:val="bottom"/>
            <w:tcBorders>
              <w:bottom w:val="single" w:sz="8" w:color="D7282F"/>
            </w:tcBorders>
          </w:tcPr>
          <w:p>
            <w:pPr>
              <w:jc w:val="center"/>
              <w:spacing w:after="0"/>
              <w:rPr>
                <w:sz w:val="20"/>
                <w:szCs w:val="20"/>
                <w:color w:val="auto"/>
              </w:rPr>
            </w:pPr>
            <w:r>
              <w:rPr>
                <w:rFonts w:ascii="Arial" w:cs="Arial" w:eastAsia="Arial" w:hAnsi="Arial"/>
                <w:sz w:val="14"/>
                <w:szCs w:val="14"/>
                <w:color w:val="auto"/>
              </w:rPr>
              <w:t>A</w:t>
            </w:r>
          </w:p>
        </w:tc>
        <w:tc>
          <w:tcPr>
            <w:tcW w:w="1560" w:type="dxa"/>
            <w:vAlign w:val="bottom"/>
            <w:tcBorders>
              <w:bottom w:val="single" w:sz="8" w:color="D7282F"/>
            </w:tcBorders>
          </w:tcPr>
          <w:p>
            <w:pPr>
              <w:jc w:val="center"/>
              <w:ind w:left="88"/>
              <w:spacing w:after="0"/>
              <w:rPr>
                <w:sz w:val="20"/>
                <w:szCs w:val="20"/>
                <w:color w:val="auto"/>
              </w:rPr>
            </w:pPr>
            <w:r>
              <w:rPr>
                <w:rFonts w:ascii="Arial" w:cs="Arial" w:eastAsia="Arial" w:hAnsi="Arial"/>
                <w:sz w:val="14"/>
                <w:szCs w:val="14"/>
                <w:color w:val="auto"/>
                <w:w w:val="93"/>
              </w:rPr>
              <w:t>A2</w:t>
            </w:r>
          </w:p>
        </w:tc>
      </w:tr>
    </w:tbl>
    <w:p>
      <w:pPr>
        <w:spacing w:after="0" w:line="346" w:lineRule="exact"/>
        <w:rPr>
          <w:sz w:val="20"/>
          <w:szCs w:val="20"/>
          <w:color w:val="auto"/>
        </w:rPr>
      </w:pPr>
    </w:p>
    <w:p>
      <w:pPr>
        <w:spacing w:after="0"/>
        <w:rPr>
          <w:sz w:val="20"/>
          <w:szCs w:val="20"/>
          <w:color w:val="auto"/>
        </w:rPr>
      </w:pPr>
      <w:r>
        <w:rPr>
          <w:rFonts w:ascii="Arial" w:cs="Arial" w:eastAsia="Arial" w:hAnsi="Arial"/>
          <w:sz w:val="29"/>
          <w:szCs w:val="29"/>
          <w:color w:val="D7282F"/>
        </w:rPr>
        <w:t>CONTRACTUAL OBLIGATIONS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Following is a summary of our significant contractual obligations and probable liability payments as of December 31, 2024:</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Borders>
              <w:bottom w:val="single" w:sz="8" w:color="D7282F"/>
            </w:tcBorders>
          </w:tcPr>
          <w:p>
            <w:pPr>
              <w:spacing w:after="0"/>
              <w:rPr>
                <w:sz w:val="17"/>
                <w:szCs w:val="17"/>
                <w:color w:val="auto"/>
              </w:rPr>
            </w:pPr>
          </w:p>
        </w:tc>
        <w:tc>
          <w:tcPr>
            <w:tcW w:w="2260" w:type="dxa"/>
            <w:vAlign w:val="bottom"/>
            <w:tcBorders>
              <w:bottom w:val="single" w:sz="8" w:color="D7282F"/>
            </w:tcBorders>
            <w:gridSpan w:val="5"/>
          </w:tcPr>
          <w:p>
            <w:pPr>
              <w:jc w:val="right"/>
              <w:ind w:right="428"/>
              <w:spacing w:after="0"/>
              <w:rPr>
                <w:sz w:val="20"/>
                <w:szCs w:val="20"/>
                <w:color w:val="auto"/>
              </w:rPr>
            </w:pPr>
            <w:r>
              <w:rPr>
                <w:rFonts w:ascii="Arial" w:cs="Arial" w:eastAsia="Arial" w:hAnsi="Arial"/>
                <w:sz w:val="14"/>
                <w:szCs w:val="14"/>
                <w:b w:val="1"/>
                <w:bCs w:val="1"/>
                <w:color w:val="auto"/>
              </w:rPr>
              <w:t>Payments by Period</w:t>
            </w: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51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60" w:type="dxa"/>
            <w:vAlign w:val="bottom"/>
            <w:vMerge w:val="restart"/>
          </w:tcPr>
          <w:p>
            <w:pPr>
              <w:jc w:val="right"/>
              <w:ind w:right="428"/>
              <w:spacing w:after="0"/>
              <w:rPr>
                <w:sz w:val="20"/>
                <w:szCs w:val="20"/>
                <w:color w:val="auto"/>
              </w:rPr>
            </w:pPr>
            <w:r>
              <w:rPr>
                <w:rFonts w:ascii="Arial" w:cs="Arial" w:eastAsia="Arial" w:hAnsi="Arial"/>
                <w:sz w:val="14"/>
                <w:szCs w:val="14"/>
                <w:b w:val="1"/>
                <w:bCs w:val="1"/>
                <w:color w:val="auto"/>
              </w:rPr>
              <w:t>Total</w:t>
            </w:r>
            <w:r>
              <w:rPr>
                <w:rFonts w:ascii="Arial" w:cs="Arial" w:eastAsia="Arial" w:hAnsi="Arial"/>
                <w:sz w:val="18"/>
                <w:szCs w:val="18"/>
                <w:b w:val="1"/>
                <w:bCs w:val="1"/>
                <w:color w:val="auto"/>
                <w:vertAlign w:val="superscript"/>
              </w:rPr>
              <w:t>6,7</w:t>
            </w:r>
          </w:p>
        </w:tc>
        <w:tc>
          <w:tcPr>
            <w:tcW w:w="140" w:type="dxa"/>
            <w:vAlign w:val="bottom"/>
          </w:tcPr>
          <w:p>
            <w:pPr>
              <w:spacing w:after="0"/>
              <w:rPr>
                <w:sz w:val="15"/>
                <w:szCs w:val="15"/>
                <w:color w:val="auto"/>
              </w:rPr>
            </w:pPr>
          </w:p>
        </w:tc>
        <w:tc>
          <w:tcPr>
            <w:tcW w:w="62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2025</w:t>
            </w:r>
          </w:p>
        </w:tc>
        <w:tc>
          <w:tcPr>
            <w:tcW w:w="220" w:type="dxa"/>
            <w:vAlign w:val="bottom"/>
          </w:tcPr>
          <w:p>
            <w:pPr>
              <w:spacing w:after="0"/>
              <w:rPr>
                <w:sz w:val="15"/>
                <w:szCs w:val="15"/>
                <w:color w:val="auto"/>
              </w:rPr>
            </w:pPr>
          </w:p>
        </w:tc>
        <w:tc>
          <w:tcPr>
            <w:tcW w:w="660" w:type="dxa"/>
            <w:vAlign w:val="bottom"/>
          </w:tcPr>
          <w:p>
            <w:pPr>
              <w:jc w:val="right"/>
              <w:ind w:right="168"/>
              <w:spacing w:after="0"/>
              <w:rPr>
                <w:sz w:val="20"/>
                <w:szCs w:val="20"/>
                <w:color w:val="auto"/>
              </w:rPr>
            </w:pPr>
            <w:r>
              <w:rPr>
                <w:rFonts w:ascii="Arial" w:cs="Arial" w:eastAsia="Arial" w:hAnsi="Arial"/>
                <w:sz w:val="14"/>
                <w:szCs w:val="14"/>
                <w:b w:val="1"/>
                <w:bCs w:val="1"/>
                <w:color w:val="auto"/>
              </w:rPr>
              <w:t>2026 -</w:t>
            </w:r>
          </w:p>
        </w:tc>
        <w:tc>
          <w:tcPr>
            <w:tcW w:w="220" w:type="dxa"/>
            <w:vAlign w:val="bottom"/>
          </w:tcPr>
          <w:p>
            <w:pPr>
              <w:spacing w:after="0"/>
              <w:rPr>
                <w:sz w:val="15"/>
                <w:szCs w:val="15"/>
                <w:color w:val="auto"/>
              </w:rPr>
            </w:pPr>
          </w:p>
        </w:tc>
        <w:tc>
          <w:tcPr>
            <w:tcW w:w="540" w:type="dxa"/>
            <w:vAlign w:val="bottom"/>
          </w:tcPr>
          <w:p>
            <w:pPr>
              <w:jc w:val="right"/>
              <w:ind w:right="48"/>
              <w:spacing w:after="0"/>
              <w:rPr>
                <w:sz w:val="20"/>
                <w:szCs w:val="20"/>
                <w:color w:val="auto"/>
              </w:rPr>
            </w:pPr>
            <w:r>
              <w:rPr>
                <w:rFonts w:ascii="Arial" w:cs="Arial" w:eastAsia="Arial" w:hAnsi="Arial"/>
                <w:sz w:val="14"/>
                <w:szCs w:val="14"/>
                <w:b w:val="1"/>
                <w:bCs w:val="1"/>
                <w:color w:val="auto"/>
              </w:rPr>
              <w:t>2028 -</w:t>
            </w:r>
          </w:p>
        </w:tc>
        <w:tc>
          <w:tcPr>
            <w:tcW w:w="360" w:type="dxa"/>
            <w:vAlign w:val="bottom"/>
          </w:tcPr>
          <w:p>
            <w:pPr>
              <w:spacing w:after="0"/>
              <w:rPr>
                <w:sz w:val="15"/>
                <w:szCs w:val="15"/>
                <w:color w:val="auto"/>
              </w:rPr>
            </w:pPr>
          </w:p>
        </w:tc>
        <w:tc>
          <w:tcPr>
            <w:tcW w:w="90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Thereafter</w:t>
            </w:r>
          </w:p>
        </w:tc>
        <w:tc>
          <w:tcPr>
            <w:tcW w:w="0" w:type="dxa"/>
            <w:vAlign w:val="bottom"/>
          </w:tcPr>
          <w:p>
            <w:pPr>
              <w:spacing w:after="0"/>
              <w:rPr>
                <w:sz w:val="1"/>
                <w:szCs w:val="1"/>
                <w:color w:val="auto"/>
              </w:rPr>
            </w:pPr>
          </w:p>
        </w:tc>
      </w:tr>
      <w:tr>
        <w:trPr>
          <w:trHeight w:val="185"/>
        </w:trPr>
        <w:tc>
          <w:tcPr>
            <w:tcW w:w="5140" w:type="dxa"/>
            <w:vAlign w:val="bottom"/>
            <w:tcBorders>
              <w:bottom w:val="single" w:sz="8" w:color="D7282F"/>
            </w:tcBorders>
          </w:tcPr>
          <w:p>
            <w:pPr>
              <w:spacing w:after="0"/>
              <w:rPr>
                <w:sz w:val="16"/>
                <w:szCs w:val="16"/>
                <w:color w:val="auto"/>
              </w:rPr>
            </w:pPr>
          </w:p>
        </w:tc>
        <w:tc>
          <w:tcPr>
            <w:tcW w:w="1380" w:type="dxa"/>
            <w:vAlign w:val="bottom"/>
            <w:tcBorders>
              <w:bottom w:val="single" w:sz="8" w:color="D7282F"/>
            </w:tcBorders>
          </w:tcPr>
          <w:p>
            <w:pPr>
              <w:spacing w:after="0"/>
              <w:rPr>
                <w:sz w:val="16"/>
                <w:szCs w:val="16"/>
                <w:color w:val="auto"/>
              </w:rPr>
            </w:pPr>
          </w:p>
        </w:tc>
        <w:tc>
          <w:tcPr>
            <w:tcW w:w="1060" w:type="dxa"/>
            <w:vAlign w:val="bottom"/>
            <w:tcBorders>
              <w:bottom w:val="single" w:sz="8" w:color="D7282F"/>
            </w:tcBorders>
            <w:vMerge w:val="continue"/>
          </w:tcPr>
          <w:p>
            <w:pPr>
              <w:spacing w:after="0"/>
              <w:rPr>
                <w:sz w:val="16"/>
                <w:szCs w:val="16"/>
                <w:color w:val="auto"/>
              </w:rPr>
            </w:pPr>
          </w:p>
        </w:tc>
        <w:tc>
          <w:tcPr>
            <w:tcW w:w="140" w:type="dxa"/>
            <w:vAlign w:val="bottom"/>
            <w:tcBorders>
              <w:bottom w:val="single" w:sz="8" w:color="D7282F"/>
            </w:tcBorders>
          </w:tcPr>
          <w:p>
            <w:pPr>
              <w:spacing w:after="0"/>
              <w:rPr>
                <w:sz w:val="16"/>
                <w:szCs w:val="16"/>
                <w:color w:val="auto"/>
              </w:rPr>
            </w:pPr>
          </w:p>
        </w:tc>
        <w:tc>
          <w:tcPr>
            <w:tcW w:w="620" w:type="dxa"/>
            <w:vAlign w:val="bottom"/>
            <w:tcBorders>
              <w:bottom w:val="single" w:sz="8" w:color="D7282F"/>
            </w:tcBorders>
            <w:vMerge w:val="continue"/>
          </w:tcPr>
          <w:p>
            <w:pPr>
              <w:spacing w:after="0"/>
              <w:rPr>
                <w:sz w:val="16"/>
                <w:szCs w:val="16"/>
                <w:color w:val="auto"/>
              </w:rPr>
            </w:pPr>
          </w:p>
        </w:tc>
        <w:tc>
          <w:tcPr>
            <w:tcW w:w="220" w:type="dxa"/>
            <w:vAlign w:val="bottom"/>
            <w:tcBorders>
              <w:bottom w:val="single" w:sz="8" w:color="D7282F"/>
            </w:tcBorders>
          </w:tcPr>
          <w:p>
            <w:pPr>
              <w:spacing w:after="0"/>
              <w:rPr>
                <w:sz w:val="16"/>
                <w:szCs w:val="16"/>
                <w:color w:val="auto"/>
              </w:rPr>
            </w:pPr>
          </w:p>
        </w:tc>
        <w:tc>
          <w:tcPr>
            <w:tcW w:w="66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2027</w:t>
            </w:r>
          </w:p>
        </w:tc>
        <w:tc>
          <w:tcPr>
            <w:tcW w:w="220" w:type="dxa"/>
            <w:vAlign w:val="bottom"/>
            <w:tcBorders>
              <w:bottom w:val="single" w:sz="8" w:color="D7282F"/>
            </w:tcBorders>
          </w:tcPr>
          <w:p>
            <w:pPr>
              <w:spacing w:after="0"/>
              <w:rPr>
                <w:sz w:val="16"/>
                <w:szCs w:val="16"/>
                <w:color w:val="auto"/>
              </w:rPr>
            </w:pPr>
          </w:p>
        </w:tc>
        <w:tc>
          <w:tcPr>
            <w:tcW w:w="5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2029</w:t>
            </w:r>
          </w:p>
        </w:tc>
        <w:tc>
          <w:tcPr>
            <w:tcW w:w="360" w:type="dxa"/>
            <w:vAlign w:val="bottom"/>
            <w:tcBorders>
              <w:bottom w:val="single" w:sz="8" w:color="D7282F"/>
            </w:tcBorders>
          </w:tcPr>
          <w:p>
            <w:pPr>
              <w:spacing w:after="0"/>
              <w:rPr>
                <w:sz w:val="16"/>
                <w:szCs w:val="16"/>
                <w:color w:val="auto"/>
              </w:rPr>
            </w:pPr>
          </w:p>
        </w:tc>
        <w:tc>
          <w:tcPr>
            <w:tcW w:w="900" w:type="dxa"/>
            <w:vAlign w:val="bottom"/>
            <w:tcBorders>
              <w:bottom w:val="single" w:sz="8" w:color="D7282F"/>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140" w:type="dxa"/>
            <w:vAlign w:val="bottom"/>
            <w:tcBorders>
              <w:bottom w:val="single" w:sz="8" w:color="888B8D"/>
            </w:tcBorders>
          </w:tcPr>
          <w:p>
            <w:pPr>
              <w:ind w:left="20"/>
              <w:spacing w:after="0" w:line="196" w:lineRule="exact"/>
              <w:rPr>
                <w:sz w:val="20"/>
                <w:szCs w:val="20"/>
                <w:color w:val="auto"/>
              </w:rPr>
            </w:pPr>
            <w:r>
              <w:rPr>
                <w:rFonts w:ascii="Arial" w:cs="Arial" w:eastAsia="Arial" w:hAnsi="Arial"/>
                <w:sz w:val="14"/>
                <w:szCs w:val="14"/>
                <w:color w:val="auto"/>
              </w:rPr>
              <w:t>Long-term debt, including finance leases</w:t>
            </w:r>
            <w:r>
              <w:rPr>
                <w:rFonts w:ascii="Arial" w:cs="Arial" w:eastAsia="Arial" w:hAnsi="Arial"/>
                <w:sz w:val="18"/>
                <w:szCs w:val="18"/>
                <w:color w:val="auto"/>
                <w:vertAlign w:val="superscript"/>
              </w:rPr>
              <w:t>1</w:t>
            </w:r>
          </w:p>
        </w:tc>
        <w:tc>
          <w:tcPr>
            <w:tcW w:w="1380" w:type="dxa"/>
            <w:vAlign w:val="bottom"/>
            <w:tcBorders>
              <w:bottom w:val="single" w:sz="8" w:color="888B8D"/>
            </w:tcBorders>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888B8D"/>
            </w:tcBorders>
          </w:tcPr>
          <w:p>
            <w:pPr>
              <w:jc w:val="right"/>
              <w:ind w:right="228"/>
              <w:spacing w:after="0"/>
              <w:rPr>
                <w:sz w:val="20"/>
                <w:szCs w:val="20"/>
                <w:color w:val="auto"/>
              </w:rPr>
            </w:pPr>
            <w:r>
              <w:rPr>
                <w:rFonts w:ascii="Arial" w:cs="Arial" w:eastAsia="Arial" w:hAnsi="Arial"/>
                <w:sz w:val="14"/>
                <w:szCs w:val="14"/>
                <w:color w:val="auto"/>
              </w:rPr>
              <w:t>27,265</w:t>
            </w:r>
          </w:p>
        </w:tc>
        <w:tc>
          <w:tcPr>
            <w:tcW w:w="1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1,347</w:t>
            </w:r>
          </w:p>
        </w:tc>
        <w:tc>
          <w:tcPr>
            <w:tcW w:w="22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5,809</w:t>
            </w:r>
          </w:p>
        </w:tc>
        <w:tc>
          <w:tcPr>
            <w:tcW w:w="22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3,500</w:t>
            </w:r>
          </w:p>
        </w:tc>
        <w:tc>
          <w:tcPr>
            <w:tcW w:w="3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16,609</w:t>
            </w:r>
          </w:p>
        </w:tc>
        <w:tc>
          <w:tcPr>
            <w:tcW w:w="0" w:type="dxa"/>
            <w:vAlign w:val="bottom"/>
          </w:tcPr>
          <w:p>
            <w:pPr>
              <w:spacing w:after="0"/>
              <w:rPr>
                <w:sz w:val="1"/>
                <w:szCs w:val="1"/>
                <w:color w:val="auto"/>
              </w:rPr>
            </w:pPr>
          </w:p>
        </w:tc>
      </w:tr>
      <w:tr>
        <w:trPr>
          <w:trHeight w:val="192"/>
        </w:trPr>
        <w:tc>
          <w:tcPr>
            <w:tcW w:w="514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Interest payments on long-term debt, including finance leases</w:t>
            </w:r>
          </w:p>
        </w:tc>
        <w:tc>
          <w:tcPr>
            <w:tcW w:w="1380" w:type="dxa"/>
            <w:vAlign w:val="bottom"/>
            <w:tcBorders>
              <w:bottom w:val="single" w:sz="8" w:color="888B8D"/>
            </w:tcBorders>
          </w:tcPr>
          <w:p>
            <w:pPr>
              <w:spacing w:after="0"/>
              <w:rPr>
                <w:sz w:val="16"/>
                <w:szCs w:val="16"/>
                <w:color w:val="auto"/>
              </w:rPr>
            </w:pPr>
          </w:p>
        </w:tc>
        <w:tc>
          <w:tcPr>
            <w:tcW w:w="1060" w:type="dxa"/>
            <w:vAlign w:val="bottom"/>
            <w:tcBorders>
              <w:bottom w:val="single" w:sz="8" w:color="888B8D"/>
            </w:tcBorders>
          </w:tcPr>
          <w:p>
            <w:pPr>
              <w:jc w:val="right"/>
              <w:ind w:right="228"/>
              <w:spacing w:after="0"/>
              <w:rPr>
                <w:sz w:val="20"/>
                <w:szCs w:val="20"/>
                <w:color w:val="auto"/>
              </w:rPr>
            </w:pPr>
            <w:r>
              <w:rPr>
                <w:rFonts w:ascii="Arial" w:cs="Arial" w:eastAsia="Arial" w:hAnsi="Arial"/>
                <w:sz w:val="14"/>
                <w:szCs w:val="14"/>
                <w:color w:val="auto"/>
              </w:rPr>
              <w:t>10,833</w:t>
            </w:r>
          </w:p>
        </w:tc>
        <w:tc>
          <w:tcPr>
            <w:tcW w:w="140" w:type="dxa"/>
            <w:vAlign w:val="bottom"/>
            <w:tcBorders>
              <w:bottom w:val="single" w:sz="8" w:color="888B8D"/>
            </w:tcBorders>
          </w:tcPr>
          <w:p>
            <w:pPr>
              <w:spacing w:after="0"/>
              <w:rPr>
                <w:sz w:val="16"/>
                <w:szCs w:val="16"/>
                <w:color w:val="auto"/>
              </w:rPr>
            </w:pPr>
          </w:p>
        </w:tc>
        <w:tc>
          <w:tcPr>
            <w:tcW w:w="6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1,010</w:t>
            </w:r>
          </w:p>
        </w:tc>
        <w:tc>
          <w:tcPr>
            <w:tcW w:w="220" w:type="dxa"/>
            <w:vAlign w:val="bottom"/>
            <w:tcBorders>
              <w:bottom w:val="single" w:sz="8" w:color="888B8D"/>
            </w:tcBorders>
          </w:tcPr>
          <w:p>
            <w:pPr>
              <w:spacing w:after="0"/>
              <w:rPr>
                <w:sz w:val="16"/>
                <w:szCs w:val="16"/>
                <w:color w:val="auto"/>
              </w:rPr>
            </w:pPr>
          </w:p>
        </w:tc>
        <w:tc>
          <w:tcPr>
            <w:tcW w:w="66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1,933</w:t>
            </w:r>
          </w:p>
        </w:tc>
        <w:tc>
          <w:tcPr>
            <w:tcW w:w="220" w:type="dxa"/>
            <w:vAlign w:val="bottom"/>
            <w:tcBorders>
              <w:bottom w:val="single" w:sz="8" w:color="888B8D"/>
            </w:tcBorders>
          </w:tcPr>
          <w:p>
            <w:pPr>
              <w:spacing w:after="0"/>
              <w:rPr>
                <w:sz w:val="16"/>
                <w:szCs w:val="16"/>
                <w:color w:val="auto"/>
              </w:rPr>
            </w:pPr>
          </w:p>
        </w:tc>
        <w:tc>
          <w:tcPr>
            <w:tcW w:w="5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1,546</w:t>
            </w:r>
          </w:p>
        </w:tc>
        <w:tc>
          <w:tcPr>
            <w:tcW w:w="360" w:type="dxa"/>
            <w:vAlign w:val="bottom"/>
            <w:tcBorders>
              <w:bottom w:val="single" w:sz="8" w:color="888B8D"/>
            </w:tcBorders>
          </w:tcPr>
          <w:p>
            <w:pPr>
              <w:spacing w:after="0"/>
              <w:rPr>
                <w:sz w:val="16"/>
                <w:szCs w:val="16"/>
                <w:color w:val="auto"/>
              </w:rPr>
            </w:pPr>
          </w:p>
        </w:tc>
        <w:tc>
          <w:tcPr>
            <w:tcW w:w="9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6,344</w:t>
            </w:r>
          </w:p>
        </w:tc>
        <w:tc>
          <w:tcPr>
            <w:tcW w:w="0" w:type="dxa"/>
            <w:vAlign w:val="bottom"/>
          </w:tcPr>
          <w:p>
            <w:pPr>
              <w:spacing w:after="0"/>
              <w:rPr>
                <w:sz w:val="1"/>
                <w:szCs w:val="1"/>
                <w:color w:val="auto"/>
              </w:rPr>
            </w:pPr>
          </w:p>
        </w:tc>
      </w:tr>
      <w:tr>
        <w:trPr>
          <w:trHeight w:val="196"/>
        </w:trPr>
        <w:tc>
          <w:tcPr>
            <w:tcW w:w="514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Operating lease liabilities</w:t>
            </w:r>
          </w:p>
        </w:tc>
        <w:tc>
          <w:tcPr>
            <w:tcW w:w="1380" w:type="dxa"/>
            <w:vAlign w:val="bottom"/>
            <w:tcBorders>
              <w:bottom w:val="single" w:sz="8" w:color="888B8D"/>
            </w:tcBorders>
          </w:tcPr>
          <w:p>
            <w:pPr>
              <w:spacing w:after="0"/>
              <w:rPr>
                <w:sz w:val="17"/>
                <w:szCs w:val="17"/>
                <w:color w:val="auto"/>
              </w:rPr>
            </w:pPr>
          </w:p>
        </w:tc>
        <w:tc>
          <w:tcPr>
            <w:tcW w:w="1060" w:type="dxa"/>
            <w:vAlign w:val="bottom"/>
            <w:tcBorders>
              <w:bottom w:val="single" w:sz="8" w:color="888B8D"/>
            </w:tcBorders>
          </w:tcPr>
          <w:p>
            <w:pPr>
              <w:jc w:val="right"/>
              <w:ind w:right="228"/>
              <w:spacing w:after="0"/>
              <w:rPr>
                <w:sz w:val="20"/>
                <w:szCs w:val="20"/>
                <w:color w:val="auto"/>
              </w:rPr>
            </w:pPr>
            <w:r>
              <w:rPr>
                <w:rFonts w:ascii="Arial" w:cs="Arial" w:eastAsia="Arial" w:hAnsi="Arial"/>
                <w:sz w:val="14"/>
                <w:szCs w:val="14"/>
                <w:color w:val="auto"/>
              </w:rPr>
              <w:t>1,302</w:t>
            </w:r>
          </w:p>
        </w:tc>
        <w:tc>
          <w:tcPr>
            <w:tcW w:w="140" w:type="dxa"/>
            <w:vAlign w:val="bottom"/>
            <w:tcBorders>
              <w:bottom w:val="single" w:sz="8" w:color="888B8D"/>
            </w:tcBorders>
          </w:tcPr>
          <w:p>
            <w:pPr>
              <w:spacing w:after="0"/>
              <w:rPr>
                <w:sz w:val="17"/>
                <w:szCs w:val="17"/>
                <w:color w:val="auto"/>
              </w:rPr>
            </w:pPr>
          </w:p>
        </w:tc>
        <w:tc>
          <w:tcPr>
            <w:tcW w:w="6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235</w:t>
            </w:r>
          </w:p>
        </w:tc>
        <w:tc>
          <w:tcPr>
            <w:tcW w:w="220" w:type="dxa"/>
            <w:vAlign w:val="bottom"/>
            <w:tcBorders>
              <w:bottom w:val="single" w:sz="8" w:color="888B8D"/>
            </w:tcBorders>
          </w:tcPr>
          <w:p>
            <w:pPr>
              <w:spacing w:after="0"/>
              <w:rPr>
                <w:sz w:val="17"/>
                <w:szCs w:val="17"/>
                <w:color w:val="auto"/>
              </w:rPr>
            </w:pPr>
          </w:p>
        </w:tc>
        <w:tc>
          <w:tcPr>
            <w:tcW w:w="66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384</w:t>
            </w:r>
          </w:p>
        </w:tc>
        <w:tc>
          <w:tcPr>
            <w:tcW w:w="220" w:type="dxa"/>
            <w:vAlign w:val="bottom"/>
            <w:tcBorders>
              <w:bottom w:val="single" w:sz="8" w:color="888B8D"/>
            </w:tcBorders>
          </w:tcPr>
          <w:p>
            <w:pPr>
              <w:spacing w:after="0"/>
              <w:rPr>
                <w:sz w:val="17"/>
                <w:szCs w:val="17"/>
                <w:color w:val="auto"/>
              </w:rPr>
            </w:pPr>
          </w:p>
        </w:tc>
        <w:tc>
          <w:tcPr>
            <w:tcW w:w="5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261</w:t>
            </w:r>
          </w:p>
        </w:tc>
        <w:tc>
          <w:tcPr>
            <w:tcW w:w="360" w:type="dxa"/>
            <w:vAlign w:val="bottom"/>
            <w:tcBorders>
              <w:bottom w:val="single" w:sz="8" w:color="888B8D"/>
            </w:tcBorders>
          </w:tcPr>
          <w:p>
            <w:pPr>
              <w:spacing w:after="0"/>
              <w:rPr>
                <w:sz w:val="17"/>
                <w:szCs w:val="17"/>
                <w:color w:val="auto"/>
              </w:rPr>
            </w:pPr>
          </w:p>
        </w:tc>
        <w:tc>
          <w:tcPr>
            <w:tcW w:w="9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422</w:t>
            </w:r>
          </w:p>
        </w:tc>
        <w:tc>
          <w:tcPr>
            <w:tcW w:w="0" w:type="dxa"/>
            <w:vAlign w:val="bottom"/>
          </w:tcPr>
          <w:p>
            <w:pPr>
              <w:spacing w:after="0"/>
              <w:rPr>
                <w:sz w:val="1"/>
                <w:szCs w:val="1"/>
                <w:color w:val="auto"/>
              </w:rPr>
            </w:pPr>
          </w:p>
        </w:tc>
      </w:tr>
      <w:tr>
        <w:trPr>
          <w:trHeight w:val="200"/>
        </w:trPr>
        <w:tc>
          <w:tcPr>
            <w:tcW w:w="5140" w:type="dxa"/>
            <w:vAlign w:val="bottom"/>
            <w:tcBorders>
              <w:bottom w:val="single" w:sz="8" w:color="888B8D"/>
            </w:tcBorders>
          </w:tcPr>
          <w:p>
            <w:pPr>
              <w:ind w:left="20"/>
              <w:spacing w:after="0" w:line="200" w:lineRule="exact"/>
              <w:rPr>
                <w:sz w:val="20"/>
                <w:szCs w:val="20"/>
                <w:color w:val="auto"/>
              </w:rPr>
            </w:pPr>
            <w:r>
              <w:rPr>
                <w:rFonts w:ascii="Arial" w:cs="Arial" w:eastAsia="Arial" w:hAnsi="Arial"/>
                <w:sz w:val="14"/>
                <w:szCs w:val="14"/>
                <w:color w:val="auto"/>
              </w:rPr>
              <w:t>Purchase obligations</w:t>
            </w:r>
            <w:r>
              <w:rPr>
                <w:rFonts w:ascii="Arial" w:cs="Arial" w:eastAsia="Arial" w:hAnsi="Arial"/>
                <w:sz w:val="18"/>
                <w:szCs w:val="18"/>
                <w:color w:val="auto"/>
                <w:vertAlign w:val="superscript"/>
              </w:rPr>
              <w:t>2</w:t>
            </w:r>
          </w:p>
        </w:tc>
        <w:tc>
          <w:tcPr>
            <w:tcW w:w="1380" w:type="dxa"/>
            <w:vAlign w:val="bottom"/>
            <w:tcBorders>
              <w:bottom w:val="single" w:sz="8" w:color="888B8D"/>
            </w:tcBorders>
          </w:tcPr>
          <w:p>
            <w:pPr>
              <w:spacing w:after="0"/>
              <w:rPr>
                <w:sz w:val="17"/>
                <w:szCs w:val="17"/>
                <w:color w:val="auto"/>
              </w:rPr>
            </w:pPr>
          </w:p>
        </w:tc>
        <w:tc>
          <w:tcPr>
            <w:tcW w:w="1060" w:type="dxa"/>
            <w:vAlign w:val="bottom"/>
            <w:tcBorders>
              <w:bottom w:val="single" w:sz="8" w:color="888B8D"/>
            </w:tcBorders>
          </w:tcPr>
          <w:p>
            <w:pPr>
              <w:jc w:val="right"/>
              <w:ind w:right="228"/>
              <w:spacing w:after="0"/>
              <w:rPr>
                <w:sz w:val="20"/>
                <w:szCs w:val="20"/>
                <w:color w:val="auto"/>
              </w:rPr>
            </w:pPr>
            <w:r>
              <w:rPr>
                <w:rFonts w:ascii="Arial" w:cs="Arial" w:eastAsia="Arial" w:hAnsi="Arial"/>
                <w:sz w:val="14"/>
                <w:szCs w:val="14"/>
                <w:color w:val="auto"/>
              </w:rPr>
              <w:t>3,580</w:t>
            </w:r>
          </w:p>
        </w:tc>
        <w:tc>
          <w:tcPr>
            <w:tcW w:w="140" w:type="dxa"/>
            <w:vAlign w:val="bottom"/>
            <w:tcBorders>
              <w:bottom w:val="single" w:sz="8" w:color="888B8D"/>
            </w:tcBorders>
          </w:tcPr>
          <w:p>
            <w:pPr>
              <w:spacing w:after="0"/>
              <w:rPr>
                <w:sz w:val="17"/>
                <w:szCs w:val="17"/>
                <w:color w:val="auto"/>
              </w:rPr>
            </w:pPr>
          </w:p>
        </w:tc>
        <w:tc>
          <w:tcPr>
            <w:tcW w:w="6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1,907</w:t>
            </w:r>
          </w:p>
        </w:tc>
        <w:tc>
          <w:tcPr>
            <w:tcW w:w="220" w:type="dxa"/>
            <w:vAlign w:val="bottom"/>
            <w:tcBorders>
              <w:bottom w:val="single" w:sz="8" w:color="888B8D"/>
            </w:tcBorders>
          </w:tcPr>
          <w:p>
            <w:pPr>
              <w:spacing w:after="0"/>
              <w:rPr>
                <w:sz w:val="17"/>
                <w:szCs w:val="17"/>
                <w:color w:val="auto"/>
              </w:rPr>
            </w:pPr>
          </w:p>
        </w:tc>
        <w:tc>
          <w:tcPr>
            <w:tcW w:w="66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1,377</w:t>
            </w:r>
          </w:p>
        </w:tc>
        <w:tc>
          <w:tcPr>
            <w:tcW w:w="220" w:type="dxa"/>
            <w:vAlign w:val="bottom"/>
            <w:tcBorders>
              <w:bottom w:val="single" w:sz="8" w:color="888B8D"/>
            </w:tcBorders>
          </w:tcPr>
          <w:p>
            <w:pPr>
              <w:spacing w:after="0"/>
              <w:rPr>
                <w:sz w:val="17"/>
                <w:szCs w:val="17"/>
                <w:color w:val="auto"/>
              </w:rPr>
            </w:pPr>
          </w:p>
        </w:tc>
        <w:tc>
          <w:tcPr>
            <w:tcW w:w="5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275</w:t>
            </w:r>
          </w:p>
        </w:tc>
        <w:tc>
          <w:tcPr>
            <w:tcW w:w="360" w:type="dxa"/>
            <w:vAlign w:val="bottom"/>
            <w:tcBorders>
              <w:bottom w:val="single" w:sz="8" w:color="888B8D"/>
            </w:tcBorders>
          </w:tcPr>
          <w:p>
            <w:pPr>
              <w:spacing w:after="0"/>
              <w:rPr>
                <w:sz w:val="17"/>
                <w:szCs w:val="17"/>
                <w:color w:val="auto"/>
              </w:rPr>
            </w:pPr>
          </w:p>
        </w:tc>
        <w:tc>
          <w:tcPr>
            <w:tcW w:w="9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96"/>
        </w:trPr>
        <w:tc>
          <w:tcPr>
            <w:tcW w:w="5140" w:type="dxa"/>
            <w:vAlign w:val="bottom"/>
            <w:tcBorders>
              <w:bottom w:val="single" w:sz="8" w:color="888B8D"/>
            </w:tcBorders>
          </w:tcPr>
          <w:p>
            <w:pPr>
              <w:ind w:left="20"/>
              <w:spacing w:after="0" w:line="196" w:lineRule="exact"/>
              <w:rPr>
                <w:sz w:val="20"/>
                <w:szCs w:val="20"/>
                <w:color w:val="auto"/>
              </w:rPr>
            </w:pPr>
            <w:r>
              <w:rPr>
                <w:rFonts w:ascii="Arial" w:cs="Arial" w:eastAsia="Arial" w:hAnsi="Arial"/>
                <w:sz w:val="14"/>
                <w:szCs w:val="14"/>
                <w:color w:val="auto"/>
              </w:rPr>
              <w:t>Estimated environmental liability payments</w:t>
            </w:r>
            <w:r>
              <w:rPr>
                <w:rFonts w:ascii="Arial" w:cs="Arial" w:eastAsia="Arial" w:hAnsi="Arial"/>
                <w:sz w:val="18"/>
                <w:szCs w:val="18"/>
                <w:color w:val="auto"/>
                <w:vertAlign w:val="superscript"/>
              </w:rPr>
              <w:t>3</w:t>
            </w:r>
          </w:p>
        </w:tc>
        <w:tc>
          <w:tcPr>
            <w:tcW w:w="1380" w:type="dxa"/>
            <w:vAlign w:val="bottom"/>
            <w:tcBorders>
              <w:bottom w:val="single" w:sz="8" w:color="888B8D"/>
            </w:tcBorders>
          </w:tcPr>
          <w:p>
            <w:pPr>
              <w:spacing w:after="0"/>
              <w:rPr>
                <w:sz w:val="17"/>
                <w:szCs w:val="17"/>
                <w:color w:val="auto"/>
              </w:rPr>
            </w:pPr>
          </w:p>
        </w:tc>
        <w:tc>
          <w:tcPr>
            <w:tcW w:w="1060" w:type="dxa"/>
            <w:vAlign w:val="bottom"/>
            <w:tcBorders>
              <w:bottom w:val="single" w:sz="8" w:color="888B8D"/>
            </w:tcBorders>
          </w:tcPr>
          <w:p>
            <w:pPr>
              <w:jc w:val="right"/>
              <w:ind w:right="228"/>
              <w:spacing w:after="0"/>
              <w:rPr>
                <w:sz w:val="20"/>
                <w:szCs w:val="20"/>
                <w:color w:val="auto"/>
              </w:rPr>
            </w:pPr>
            <w:r>
              <w:rPr>
                <w:rFonts w:ascii="Arial" w:cs="Arial" w:eastAsia="Arial" w:hAnsi="Arial"/>
                <w:sz w:val="14"/>
                <w:szCs w:val="14"/>
                <w:color w:val="auto"/>
              </w:rPr>
              <w:t>678</w:t>
            </w:r>
          </w:p>
        </w:tc>
        <w:tc>
          <w:tcPr>
            <w:tcW w:w="140" w:type="dxa"/>
            <w:vAlign w:val="bottom"/>
            <w:tcBorders>
              <w:bottom w:val="single" w:sz="8" w:color="888B8D"/>
            </w:tcBorders>
          </w:tcPr>
          <w:p>
            <w:pPr>
              <w:spacing w:after="0"/>
              <w:rPr>
                <w:sz w:val="17"/>
                <w:szCs w:val="17"/>
                <w:color w:val="auto"/>
              </w:rPr>
            </w:pPr>
          </w:p>
        </w:tc>
        <w:tc>
          <w:tcPr>
            <w:tcW w:w="6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244</w:t>
            </w:r>
          </w:p>
        </w:tc>
        <w:tc>
          <w:tcPr>
            <w:tcW w:w="220" w:type="dxa"/>
            <w:vAlign w:val="bottom"/>
            <w:tcBorders>
              <w:bottom w:val="single" w:sz="8" w:color="888B8D"/>
            </w:tcBorders>
          </w:tcPr>
          <w:p>
            <w:pPr>
              <w:spacing w:after="0"/>
              <w:rPr>
                <w:sz w:val="17"/>
                <w:szCs w:val="17"/>
                <w:color w:val="auto"/>
              </w:rPr>
            </w:pPr>
          </w:p>
        </w:tc>
        <w:tc>
          <w:tcPr>
            <w:tcW w:w="66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204</w:t>
            </w:r>
          </w:p>
        </w:tc>
        <w:tc>
          <w:tcPr>
            <w:tcW w:w="220" w:type="dxa"/>
            <w:vAlign w:val="bottom"/>
            <w:tcBorders>
              <w:bottom w:val="single" w:sz="8" w:color="888B8D"/>
            </w:tcBorders>
          </w:tcPr>
          <w:p>
            <w:pPr>
              <w:spacing w:after="0"/>
              <w:rPr>
                <w:sz w:val="17"/>
                <w:szCs w:val="17"/>
                <w:color w:val="auto"/>
              </w:rPr>
            </w:pPr>
          </w:p>
        </w:tc>
        <w:tc>
          <w:tcPr>
            <w:tcW w:w="5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143</w:t>
            </w:r>
          </w:p>
        </w:tc>
        <w:tc>
          <w:tcPr>
            <w:tcW w:w="360" w:type="dxa"/>
            <w:vAlign w:val="bottom"/>
            <w:tcBorders>
              <w:bottom w:val="single" w:sz="8" w:color="888B8D"/>
            </w:tcBorders>
          </w:tcPr>
          <w:p>
            <w:pPr>
              <w:spacing w:after="0"/>
              <w:rPr>
                <w:sz w:val="17"/>
                <w:szCs w:val="17"/>
                <w:color w:val="auto"/>
              </w:rPr>
            </w:pPr>
          </w:p>
        </w:tc>
        <w:tc>
          <w:tcPr>
            <w:tcW w:w="9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196"/>
        </w:trPr>
        <w:tc>
          <w:tcPr>
            <w:tcW w:w="5140" w:type="dxa"/>
            <w:vAlign w:val="bottom"/>
            <w:tcBorders>
              <w:bottom w:val="single" w:sz="8" w:color="888B8D"/>
            </w:tcBorders>
          </w:tcPr>
          <w:p>
            <w:pPr>
              <w:ind w:left="20"/>
              <w:spacing w:after="0" w:line="196" w:lineRule="exact"/>
              <w:rPr>
                <w:sz w:val="20"/>
                <w:szCs w:val="20"/>
                <w:color w:val="auto"/>
              </w:rPr>
            </w:pPr>
            <w:r>
              <w:rPr>
                <w:rFonts w:ascii="Arial" w:cs="Arial" w:eastAsia="Arial" w:hAnsi="Arial"/>
                <w:sz w:val="14"/>
                <w:szCs w:val="14"/>
                <w:color w:val="auto"/>
              </w:rPr>
              <w:t>Asbestos-related liability payments</w:t>
            </w:r>
            <w:r>
              <w:rPr>
                <w:rFonts w:ascii="Arial" w:cs="Arial" w:eastAsia="Arial" w:hAnsi="Arial"/>
                <w:sz w:val="18"/>
                <w:szCs w:val="18"/>
                <w:color w:val="auto"/>
                <w:vertAlign w:val="superscript"/>
              </w:rPr>
              <w:t>4</w:t>
            </w:r>
          </w:p>
        </w:tc>
        <w:tc>
          <w:tcPr>
            <w:tcW w:w="1380" w:type="dxa"/>
            <w:vAlign w:val="bottom"/>
            <w:tcBorders>
              <w:bottom w:val="single" w:sz="8" w:color="888B8D"/>
            </w:tcBorders>
          </w:tcPr>
          <w:p>
            <w:pPr>
              <w:spacing w:after="0"/>
              <w:rPr>
                <w:sz w:val="17"/>
                <w:szCs w:val="17"/>
                <w:color w:val="auto"/>
              </w:rPr>
            </w:pPr>
          </w:p>
        </w:tc>
        <w:tc>
          <w:tcPr>
            <w:tcW w:w="1060" w:type="dxa"/>
            <w:vAlign w:val="bottom"/>
            <w:tcBorders>
              <w:bottom w:val="single" w:sz="8" w:color="888B8D"/>
            </w:tcBorders>
          </w:tcPr>
          <w:p>
            <w:pPr>
              <w:jc w:val="right"/>
              <w:ind w:right="228"/>
              <w:spacing w:after="0"/>
              <w:rPr>
                <w:sz w:val="20"/>
                <w:szCs w:val="20"/>
                <w:color w:val="auto"/>
              </w:rPr>
            </w:pPr>
            <w:r>
              <w:rPr>
                <w:rFonts w:ascii="Arial" w:cs="Arial" w:eastAsia="Arial" w:hAnsi="Arial"/>
                <w:sz w:val="14"/>
                <w:szCs w:val="14"/>
                <w:color w:val="auto"/>
              </w:rPr>
              <w:t>1,482</w:t>
            </w:r>
          </w:p>
        </w:tc>
        <w:tc>
          <w:tcPr>
            <w:tcW w:w="140" w:type="dxa"/>
            <w:vAlign w:val="bottom"/>
            <w:tcBorders>
              <w:bottom w:val="single" w:sz="8" w:color="888B8D"/>
            </w:tcBorders>
          </w:tcPr>
          <w:p>
            <w:pPr>
              <w:spacing w:after="0"/>
              <w:rPr>
                <w:sz w:val="17"/>
                <w:szCs w:val="17"/>
                <w:color w:val="auto"/>
              </w:rPr>
            </w:pPr>
          </w:p>
        </w:tc>
        <w:tc>
          <w:tcPr>
            <w:tcW w:w="6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157</w:t>
            </w:r>
          </w:p>
        </w:tc>
        <w:tc>
          <w:tcPr>
            <w:tcW w:w="220" w:type="dxa"/>
            <w:vAlign w:val="bottom"/>
            <w:tcBorders>
              <w:bottom w:val="single" w:sz="8" w:color="888B8D"/>
            </w:tcBorders>
          </w:tcPr>
          <w:p>
            <w:pPr>
              <w:spacing w:after="0"/>
              <w:rPr>
                <w:sz w:val="17"/>
                <w:szCs w:val="17"/>
                <w:color w:val="auto"/>
              </w:rPr>
            </w:pPr>
          </w:p>
        </w:tc>
        <w:tc>
          <w:tcPr>
            <w:tcW w:w="66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255</w:t>
            </w:r>
          </w:p>
        </w:tc>
        <w:tc>
          <w:tcPr>
            <w:tcW w:w="220" w:type="dxa"/>
            <w:vAlign w:val="bottom"/>
            <w:tcBorders>
              <w:bottom w:val="single" w:sz="8" w:color="888B8D"/>
            </w:tcBorders>
          </w:tcPr>
          <w:p>
            <w:pPr>
              <w:spacing w:after="0"/>
              <w:rPr>
                <w:sz w:val="17"/>
                <w:szCs w:val="17"/>
                <w:color w:val="auto"/>
              </w:rPr>
            </w:pPr>
          </w:p>
        </w:tc>
        <w:tc>
          <w:tcPr>
            <w:tcW w:w="5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217</w:t>
            </w:r>
          </w:p>
        </w:tc>
        <w:tc>
          <w:tcPr>
            <w:tcW w:w="360" w:type="dxa"/>
            <w:vAlign w:val="bottom"/>
            <w:tcBorders>
              <w:bottom w:val="single" w:sz="8" w:color="888B8D"/>
            </w:tcBorders>
          </w:tcPr>
          <w:p>
            <w:pPr>
              <w:spacing w:after="0"/>
              <w:rPr>
                <w:sz w:val="17"/>
                <w:szCs w:val="17"/>
                <w:color w:val="auto"/>
              </w:rPr>
            </w:pPr>
          </w:p>
        </w:tc>
        <w:tc>
          <w:tcPr>
            <w:tcW w:w="9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853</w:t>
            </w:r>
          </w:p>
        </w:tc>
        <w:tc>
          <w:tcPr>
            <w:tcW w:w="0" w:type="dxa"/>
            <w:vAlign w:val="bottom"/>
          </w:tcPr>
          <w:p>
            <w:pPr>
              <w:spacing w:after="0"/>
              <w:rPr>
                <w:sz w:val="1"/>
                <w:szCs w:val="1"/>
                <w:color w:val="auto"/>
              </w:rPr>
            </w:pPr>
          </w:p>
        </w:tc>
      </w:tr>
      <w:tr>
        <w:trPr>
          <w:trHeight w:val="196"/>
        </w:trPr>
        <w:tc>
          <w:tcPr>
            <w:tcW w:w="5140" w:type="dxa"/>
            <w:vAlign w:val="bottom"/>
            <w:tcBorders>
              <w:bottom w:val="single" w:sz="8" w:color="D7282F"/>
            </w:tcBorders>
          </w:tcPr>
          <w:p>
            <w:pPr>
              <w:ind w:left="20"/>
              <w:spacing w:after="0" w:line="196" w:lineRule="exact"/>
              <w:rPr>
                <w:sz w:val="20"/>
                <w:szCs w:val="20"/>
                <w:color w:val="auto"/>
              </w:rPr>
            </w:pPr>
            <w:r>
              <w:rPr>
                <w:rFonts w:ascii="Arial" w:cs="Arial" w:eastAsia="Arial" w:hAnsi="Arial"/>
                <w:sz w:val="14"/>
                <w:szCs w:val="14"/>
                <w:color w:val="auto"/>
              </w:rPr>
              <w:t>Asbestos insurance recoveries</w:t>
            </w:r>
            <w:r>
              <w:rPr>
                <w:rFonts w:ascii="Arial" w:cs="Arial" w:eastAsia="Arial" w:hAnsi="Arial"/>
                <w:sz w:val="18"/>
                <w:szCs w:val="18"/>
                <w:color w:val="auto"/>
                <w:vertAlign w:val="superscript"/>
              </w:rPr>
              <w:t>5</w:t>
            </w:r>
          </w:p>
        </w:tc>
        <w:tc>
          <w:tcPr>
            <w:tcW w:w="1380" w:type="dxa"/>
            <w:vAlign w:val="bottom"/>
            <w:tcBorders>
              <w:bottom w:val="single" w:sz="8" w:color="D7282F"/>
            </w:tcBorders>
          </w:tcPr>
          <w:p>
            <w:pPr>
              <w:spacing w:after="0"/>
              <w:rPr>
                <w:sz w:val="17"/>
                <w:szCs w:val="17"/>
                <w:color w:val="auto"/>
              </w:rPr>
            </w:pPr>
          </w:p>
        </w:tc>
        <w:tc>
          <w:tcPr>
            <w:tcW w:w="1060" w:type="dxa"/>
            <w:vAlign w:val="bottom"/>
            <w:tcBorders>
              <w:bottom w:val="single" w:sz="8" w:color="D7282F"/>
            </w:tcBorders>
          </w:tcPr>
          <w:p>
            <w:pPr>
              <w:jc w:val="right"/>
              <w:ind w:right="188"/>
              <w:spacing w:after="0"/>
              <w:rPr>
                <w:sz w:val="20"/>
                <w:szCs w:val="20"/>
                <w:color w:val="auto"/>
              </w:rPr>
            </w:pPr>
            <w:r>
              <w:rPr>
                <w:rFonts w:ascii="Arial" w:cs="Arial" w:eastAsia="Arial" w:hAnsi="Arial"/>
                <w:sz w:val="14"/>
                <w:szCs w:val="14"/>
                <w:color w:val="auto"/>
              </w:rPr>
              <w:t>(110)</w:t>
            </w:r>
          </w:p>
        </w:tc>
        <w:tc>
          <w:tcPr>
            <w:tcW w:w="14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(14)</w:t>
            </w:r>
          </w:p>
        </w:tc>
        <w:tc>
          <w:tcPr>
            <w:tcW w:w="22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(22)</w:t>
            </w:r>
          </w:p>
        </w:tc>
        <w:tc>
          <w:tcPr>
            <w:tcW w:w="220" w:type="dxa"/>
            <w:vAlign w:val="bottom"/>
            <w:tcBorders>
              <w:bottom w:val="single" w:sz="8" w:color="D7282F"/>
            </w:tcBorders>
          </w:tcPr>
          <w:p>
            <w:pPr>
              <w:spacing w:after="0"/>
              <w:rPr>
                <w:sz w:val="17"/>
                <w:szCs w:val="17"/>
                <w:color w:val="auto"/>
              </w:rPr>
            </w:pPr>
          </w:p>
        </w:tc>
        <w:tc>
          <w:tcPr>
            <w:tcW w:w="5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(16)</w:t>
            </w:r>
          </w:p>
        </w:tc>
        <w:tc>
          <w:tcPr>
            <w:tcW w:w="360" w:type="dxa"/>
            <w:vAlign w:val="bottom"/>
            <w:tcBorders>
              <w:bottom w:val="single" w:sz="8" w:color="D7282F"/>
            </w:tcBorders>
          </w:tcPr>
          <w:p>
            <w:pPr>
              <w:spacing w:after="0"/>
              <w:rPr>
                <w:sz w:val="17"/>
                <w:szCs w:val="17"/>
                <w:color w:val="auto"/>
              </w:rPr>
            </w:pPr>
          </w:p>
        </w:tc>
        <w:tc>
          <w:tcPr>
            <w:tcW w:w="9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195"/>
        </w:trPr>
        <w:tc>
          <w:tcPr>
            <w:tcW w:w="5140" w:type="dxa"/>
            <w:vAlign w:val="bottom"/>
            <w:tcBorders>
              <w:bottom w:val="single" w:sz="8" w:color="D7282F"/>
            </w:tcBorders>
          </w:tcPr>
          <w:p>
            <w:pPr>
              <w:ind w:left="180"/>
              <w:spacing w:after="0"/>
              <w:rPr>
                <w:sz w:val="20"/>
                <w:szCs w:val="20"/>
                <w:color w:val="auto"/>
              </w:rPr>
            </w:pPr>
            <w:r>
              <w:rPr>
                <w:rFonts w:ascii="Arial" w:cs="Arial" w:eastAsia="Arial" w:hAnsi="Arial"/>
                <w:sz w:val="14"/>
                <w:szCs w:val="14"/>
                <w:b w:val="1"/>
                <w:bCs w:val="1"/>
                <w:color w:val="auto"/>
              </w:rPr>
              <w:t>Total contractual obligations</w:t>
            </w:r>
          </w:p>
        </w:tc>
        <w:tc>
          <w:tcPr>
            <w:tcW w:w="138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D7282F"/>
            </w:tcBorders>
          </w:tcPr>
          <w:p>
            <w:pPr>
              <w:jc w:val="right"/>
              <w:ind w:right="228"/>
              <w:spacing w:after="0"/>
              <w:rPr>
                <w:sz w:val="20"/>
                <w:szCs w:val="20"/>
                <w:color w:val="auto"/>
              </w:rPr>
            </w:pPr>
            <w:r>
              <w:rPr>
                <w:rFonts w:ascii="Arial" w:cs="Arial" w:eastAsia="Arial" w:hAnsi="Arial"/>
                <w:sz w:val="14"/>
                <w:szCs w:val="14"/>
                <w:b w:val="1"/>
                <w:bCs w:val="1"/>
                <w:color w:val="auto"/>
              </w:rPr>
              <w:t>45,030</w:t>
            </w:r>
          </w:p>
        </w:tc>
        <w:tc>
          <w:tcPr>
            <w:tcW w:w="1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4,886</w:t>
            </w: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9,940</w:t>
            </w: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5,926</w:t>
            </w:r>
          </w:p>
        </w:tc>
        <w:tc>
          <w:tcPr>
            <w:tcW w:w="3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24,278</w:t>
            </w: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480" w:hanging="344"/>
        <w:spacing w:after="0"/>
        <w:tabs>
          <w:tab w:leader="none" w:pos="480" w:val="left"/>
        </w:tabs>
        <w:numPr>
          <w:ilvl w:val="0"/>
          <w:numId w:val="81"/>
        </w:numPr>
        <w:rPr>
          <w:rFonts w:ascii="Arial" w:cs="Arial" w:eastAsia="Arial" w:hAnsi="Arial"/>
          <w:sz w:val="13"/>
          <w:szCs w:val="13"/>
          <w:color w:val="auto"/>
        </w:rPr>
      </w:pPr>
      <w:r>
        <w:rPr>
          <w:rFonts w:ascii="Arial" w:cs="Arial" w:eastAsia="Arial" w:hAnsi="Arial"/>
          <w:sz w:val="13"/>
          <w:szCs w:val="13"/>
          <w:color w:val="auto"/>
        </w:rPr>
        <w:t>Assumes all long-term debt is outstanding until scheduled maturity.</w:t>
      </w:r>
    </w:p>
    <w:p>
      <w:pPr>
        <w:spacing w:after="0" w:line="26" w:lineRule="exact"/>
        <w:rPr>
          <w:sz w:val="20"/>
          <w:szCs w:val="20"/>
          <w:color w:val="auto"/>
        </w:rPr>
      </w:pPr>
    </w:p>
    <w:p>
      <w:pPr>
        <w:ind w:left="480" w:hanging="344"/>
        <w:spacing w:after="0"/>
        <w:tabs>
          <w:tab w:leader="none" w:pos="480" w:val="left"/>
        </w:tabs>
        <w:numPr>
          <w:ilvl w:val="0"/>
          <w:numId w:val="82"/>
        </w:numPr>
        <w:rPr>
          <w:rFonts w:ascii="Arial" w:cs="Arial" w:eastAsia="Arial" w:hAnsi="Arial"/>
          <w:sz w:val="13"/>
          <w:szCs w:val="13"/>
          <w:color w:val="auto"/>
        </w:rPr>
      </w:pPr>
      <w:r>
        <w:rPr>
          <w:rFonts w:ascii="Arial" w:cs="Arial" w:eastAsia="Arial" w:hAnsi="Arial"/>
          <w:sz w:val="13"/>
          <w:szCs w:val="13"/>
          <w:color w:val="auto"/>
        </w:rPr>
        <w:t>Purchase obligations are entered into with various vendors in the normal course of business and are consistent with our expected requirements.</w:t>
      </w:r>
    </w:p>
    <w:p>
      <w:pPr>
        <w:ind w:left="480" w:hanging="344"/>
        <w:spacing w:after="0" w:line="194" w:lineRule="auto"/>
        <w:tabs>
          <w:tab w:leader="none" w:pos="480" w:val="left"/>
        </w:tabs>
        <w:numPr>
          <w:ilvl w:val="0"/>
          <w:numId w:val="83"/>
        </w:numPr>
        <w:rPr>
          <w:rFonts w:ascii="Arial" w:cs="Arial" w:eastAsia="Arial" w:hAnsi="Arial"/>
          <w:sz w:val="25"/>
          <w:szCs w:val="25"/>
          <w:color w:val="auto"/>
          <w:vertAlign w:val="superscript"/>
        </w:rPr>
      </w:pPr>
      <w:r>
        <w:rPr>
          <w:rFonts w:ascii="Arial" w:cs="Arial" w:eastAsia="Arial" w:hAnsi="Arial"/>
          <w:sz w:val="13"/>
          <w:szCs w:val="13"/>
          <w:color w:val="auto"/>
        </w:rPr>
        <w:t>The payment amounts in the table only reflect the environmental liabilities which are probable and reasonably estimable as of December 31, 2024.</w:t>
      </w:r>
    </w:p>
    <w:p>
      <w:pPr>
        <w:spacing w:after="0" w:line="145" w:lineRule="exact"/>
        <w:rPr>
          <w:sz w:val="20"/>
          <w:szCs w:val="20"/>
          <w:color w:val="auto"/>
        </w:rPr>
      </w:pPr>
    </w:p>
    <w:p>
      <w:pPr>
        <w:ind w:left="480" w:right="20" w:hanging="344"/>
        <w:spacing w:after="0" w:line="180" w:lineRule="auto"/>
        <w:tabs>
          <w:tab w:leader="none" w:pos="480" w:val="left"/>
        </w:tabs>
        <w:numPr>
          <w:ilvl w:val="0"/>
          <w:numId w:val="84"/>
        </w:numPr>
        <w:rPr>
          <w:rFonts w:ascii="Arial" w:cs="Arial" w:eastAsia="Arial" w:hAnsi="Arial"/>
          <w:sz w:val="25"/>
          <w:szCs w:val="25"/>
          <w:color w:val="auto"/>
          <w:vertAlign w:val="superscript"/>
        </w:rPr>
      </w:pPr>
      <w:r>
        <w:rPr>
          <w:rFonts w:ascii="Arial" w:cs="Arial" w:eastAsia="Arial" w:hAnsi="Arial"/>
          <w:sz w:val="13"/>
          <w:szCs w:val="13"/>
          <w:color w:val="auto"/>
        </w:rPr>
        <w:t xml:space="preserve">These amounts are estimates of asbestos-related cash payments for Bendix Friction Materials (Bendix) based on our asbestos-related liabilities which are probable and reasonably estimable as of December 31, 2024. See Asbestos Matters in Note 19 </w:t>
      </w:r>
      <w:r>
        <w:rPr>
          <w:rFonts w:ascii="Arial" w:cs="Arial" w:eastAsia="Arial" w:hAnsi="Arial"/>
          <w:sz w:val="13"/>
          <w:szCs w:val="13"/>
          <w:u w:val="single" w:color="auto"/>
          <w:color w:val="0000FF"/>
        </w:rPr>
        <w:t>Commitments and Contingencies</w:t>
      </w:r>
      <w:r>
        <w:rPr>
          <w:rFonts w:ascii="Arial" w:cs="Arial" w:eastAsia="Arial" w:hAnsi="Arial"/>
          <w:sz w:val="13"/>
          <w:szCs w:val="13"/>
          <w:color w:val="auto"/>
        </w:rPr>
        <w:t xml:space="preserve"> of Notes to Consolidated Financial Statements for additional information.</w:t>
      </w:r>
    </w:p>
    <w:p>
      <w:pPr>
        <w:spacing w:after="0" w:line="131" w:lineRule="exact"/>
        <w:rPr>
          <w:sz w:val="20"/>
          <w:szCs w:val="20"/>
          <w:color w:val="auto"/>
        </w:rPr>
      </w:pPr>
    </w:p>
    <w:p>
      <w:pPr>
        <w:ind w:left="480" w:right="20" w:hanging="344"/>
        <w:spacing w:after="0" w:line="180" w:lineRule="auto"/>
        <w:tabs>
          <w:tab w:leader="none" w:pos="480" w:val="left"/>
        </w:tabs>
        <w:numPr>
          <w:ilvl w:val="0"/>
          <w:numId w:val="85"/>
        </w:numPr>
        <w:rPr>
          <w:rFonts w:ascii="Arial" w:cs="Arial" w:eastAsia="Arial" w:hAnsi="Arial"/>
          <w:sz w:val="25"/>
          <w:szCs w:val="25"/>
          <w:color w:val="auto"/>
          <w:vertAlign w:val="superscript"/>
        </w:rPr>
      </w:pPr>
      <w:r>
        <w:rPr>
          <w:rFonts w:ascii="Arial" w:cs="Arial" w:eastAsia="Arial" w:hAnsi="Arial"/>
          <w:sz w:val="13"/>
          <w:szCs w:val="13"/>
          <w:color w:val="auto"/>
        </w:rPr>
        <w:t xml:space="preserve">These amounts represent our insurance recoveries that are deemed probable for the Bendix asbestos-related liabilities as of December 31, 2024. See Asbestos Matters in Note 19 </w:t>
      </w:r>
      <w:r>
        <w:rPr>
          <w:rFonts w:ascii="Arial" w:cs="Arial" w:eastAsia="Arial" w:hAnsi="Arial"/>
          <w:sz w:val="13"/>
          <w:szCs w:val="13"/>
          <w:u w:val="single" w:color="auto"/>
          <w:color w:val="0000FF"/>
        </w:rPr>
        <w:t>Commitments and Contingencies</w:t>
      </w:r>
      <w:r>
        <w:rPr>
          <w:rFonts w:ascii="Arial" w:cs="Arial" w:eastAsia="Arial" w:hAnsi="Arial"/>
          <w:sz w:val="13"/>
          <w:szCs w:val="13"/>
          <w:color w:val="0000FF"/>
        </w:rPr>
        <w:t xml:space="preserve"> </w:t>
      </w:r>
      <w:r>
        <w:rPr>
          <w:rFonts w:ascii="Arial" w:cs="Arial" w:eastAsia="Arial" w:hAnsi="Arial"/>
          <w:sz w:val="13"/>
          <w:szCs w:val="13"/>
          <w:color w:val="000000"/>
        </w:rPr>
        <w:t>of Notes to Consolidated Financial Statements for additional information.</w:t>
      </w:r>
    </w:p>
    <w:p>
      <w:pPr>
        <w:spacing w:after="0" w:line="10" w:lineRule="exact"/>
        <w:rPr>
          <w:sz w:val="20"/>
          <w:szCs w:val="20"/>
          <w:color w:val="auto"/>
        </w:rPr>
      </w:pPr>
    </w:p>
    <w:p>
      <w:pPr>
        <w:ind w:left="480" w:hanging="344"/>
        <w:spacing w:after="0"/>
        <w:tabs>
          <w:tab w:leader="none" w:pos="480" w:val="left"/>
        </w:tabs>
        <w:numPr>
          <w:ilvl w:val="0"/>
          <w:numId w:val="86"/>
        </w:numPr>
        <w:rPr>
          <w:rFonts w:ascii="Arial" w:cs="Arial" w:eastAsia="Arial" w:hAnsi="Arial"/>
          <w:sz w:val="25"/>
          <w:szCs w:val="25"/>
          <w:color w:val="auto"/>
          <w:vertAlign w:val="superscript"/>
        </w:rPr>
      </w:pPr>
      <w:r>
        <w:rPr>
          <w:rFonts w:ascii="Arial" w:cs="Arial" w:eastAsia="Arial" w:hAnsi="Arial"/>
          <w:sz w:val="13"/>
          <w:szCs w:val="13"/>
          <w:color w:val="auto"/>
        </w:rPr>
        <w:t xml:space="preserve">The table excludes tax liability payments, including those for unrecognized tax benefits. See Note 5 </w:t>
      </w:r>
      <w:r>
        <w:rPr>
          <w:rFonts w:ascii="Arial" w:cs="Arial" w:eastAsia="Arial" w:hAnsi="Arial"/>
          <w:sz w:val="13"/>
          <w:szCs w:val="13"/>
          <w:u w:val="single" w:color="auto"/>
          <w:color w:val="0000FF"/>
        </w:rPr>
        <w:t>Income Taxes</w:t>
      </w:r>
      <w:r>
        <w:rPr>
          <w:rFonts w:ascii="Arial" w:cs="Arial" w:eastAsia="Arial" w:hAnsi="Arial"/>
          <w:sz w:val="13"/>
          <w:szCs w:val="13"/>
          <w:color w:val="auto"/>
        </w:rPr>
        <w:t xml:space="preserve"> of Notes to Consolidated Financial Statements for additional information.</w:t>
      </w:r>
    </w:p>
    <w:p>
      <w:pPr>
        <w:spacing w:after="0" w:line="145" w:lineRule="exact"/>
        <w:rPr>
          <w:sz w:val="20"/>
          <w:szCs w:val="20"/>
          <w:color w:val="auto"/>
        </w:rPr>
      </w:pPr>
    </w:p>
    <w:p>
      <w:pPr>
        <w:ind w:left="480" w:right="20" w:hanging="344"/>
        <w:spacing w:after="0" w:line="180" w:lineRule="auto"/>
        <w:tabs>
          <w:tab w:leader="none" w:pos="480" w:val="left"/>
        </w:tabs>
        <w:numPr>
          <w:ilvl w:val="0"/>
          <w:numId w:val="87"/>
        </w:numPr>
        <w:rPr>
          <w:rFonts w:ascii="Arial" w:cs="Arial" w:eastAsia="Arial" w:hAnsi="Arial"/>
          <w:sz w:val="25"/>
          <w:szCs w:val="25"/>
          <w:color w:val="auto"/>
          <w:vertAlign w:val="superscript"/>
        </w:rPr>
      </w:pPr>
      <w:r>
        <w:rPr>
          <w:rFonts w:ascii="Arial" w:cs="Arial" w:eastAsia="Arial" w:hAnsi="Arial"/>
          <w:sz w:val="13"/>
          <w:szCs w:val="13"/>
          <w:color w:val="auto"/>
        </w:rPr>
        <w:t xml:space="preserve">The table excludes expected proceeds from the indemnification and reimbursement agreements entered into with Resideo Technologies, Inc. (Resideo). See Note 19 </w:t>
      </w:r>
      <w:r>
        <w:rPr>
          <w:rFonts w:ascii="Arial" w:cs="Arial" w:eastAsia="Arial" w:hAnsi="Arial"/>
          <w:sz w:val="13"/>
          <w:szCs w:val="13"/>
          <w:u w:val="single" w:color="auto"/>
          <w:color w:val="0000FF"/>
        </w:rPr>
        <w:t>Commitments and</w:t>
      </w:r>
      <w:r>
        <w:rPr>
          <w:rFonts w:ascii="Arial" w:cs="Arial" w:eastAsia="Arial" w:hAnsi="Arial"/>
          <w:sz w:val="13"/>
          <w:szCs w:val="13"/>
          <w:color w:val="auto"/>
        </w:rPr>
        <w:t xml:space="preserve"> </w:t>
      </w:r>
      <w:r>
        <w:rPr>
          <w:rFonts w:ascii="Arial" w:cs="Arial" w:eastAsia="Arial" w:hAnsi="Arial"/>
          <w:sz w:val="13"/>
          <w:szCs w:val="13"/>
          <w:u w:val="single" w:color="auto"/>
          <w:color w:val="0000FF"/>
        </w:rPr>
        <w:t>Contingencies</w:t>
      </w:r>
      <w:r>
        <w:rPr>
          <w:rFonts w:ascii="Arial" w:cs="Arial" w:eastAsia="Arial" w:hAnsi="Arial"/>
          <w:sz w:val="13"/>
          <w:szCs w:val="13"/>
          <w:color w:val="0000FF"/>
        </w:rPr>
        <w:t xml:space="preserve"> </w:t>
      </w:r>
      <w:r>
        <w:rPr>
          <w:rFonts w:ascii="Arial" w:cs="Arial" w:eastAsia="Arial" w:hAnsi="Arial"/>
          <w:sz w:val="13"/>
          <w:szCs w:val="13"/>
          <w:color w:val="000000"/>
        </w:rPr>
        <w:t>of Notes to Consolidated Financial Statements for additional information.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9"/>
          <w:szCs w:val="29"/>
          <w:color w:val="D7282F"/>
        </w:rPr>
        <w:t>ASBESTOS MATTERS</w:t>
      </w:r>
    </w:p>
    <w:p>
      <w:pPr>
        <w:spacing w:after="0" w:line="23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 xml:space="preserve">Payments, net of insurance recoveries, related to known asbestos matters were $209 million, $109 million, and $166 million for the years ended December 31, 2024, 2023, and 2022, respectively, and are estimated to be approximately $157 million in 2025. We expect to make payments associated with these asbestos matters from operating cash flows. The timing of these payments depends on several factors, including the timing of litigation and settlements of liability claims. In early 2023, we made payments of approximately $1.3 billion in connection with the NARCO Buyout. For additional information regarding the NARCO Buyout, see Note 19 </w:t>
      </w:r>
      <w:r>
        <w:rPr>
          <w:rFonts w:ascii="Arial" w:cs="Arial" w:eastAsia="Arial" w:hAnsi="Arial"/>
          <w:sz w:val="16"/>
          <w:szCs w:val="16"/>
          <w:u w:val="single" w:color="auto"/>
          <w:color w:val="0000FF"/>
        </w:rPr>
        <w:t>Commitments and Contingencies</w:t>
      </w:r>
      <w:r>
        <w:rPr>
          <w:rFonts w:ascii="Arial" w:cs="Arial" w:eastAsia="Arial" w:hAnsi="Arial"/>
          <w:sz w:val="16"/>
          <w:szCs w:val="16"/>
          <w:color w:val="auto"/>
        </w:rPr>
        <w:t xml:space="preserve"> of Notes to Consolidated Financial Statements.</w:t>
      </w:r>
    </w:p>
    <w:p>
      <w:pPr>
        <w:spacing w:after="0" w:line="200" w:lineRule="exact"/>
        <w:rPr>
          <w:sz w:val="20"/>
          <w:szCs w:val="20"/>
          <w:color w:val="auto"/>
        </w:rPr>
      </w:pPr>
    </w:p>
    <w:p>
      <w:pPr>
        <w:spacing w:after="0" w:line="203" w:lineRule="exact"/>
        <w:rPr>
          <w:sz w:val="20"/>
          <w:szCs w:val="20"/>
          <w:color w:val="auto"/>
        </w:rPr>
      </w:pPr>
    </w:p>
    <w:p>
      <w:pPr>
        <w:ind w:left="400" w:hanging="392"/>
        <w:spacing w:after="0"/>
        <w:tabs>
          <w:tab w:leader="none" w:pos="400" w:val="left"/>
        </w:tabs>
        <w:numPr>
          <w:ilvl w:val="0"/>
          <w:numId w:val="88"/>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42" w:name="page43"/>
    <w:bookmarkEnd w:id="42"/>
    <w:p>
      <w:pPr>
        <w:ind w:left="20"/>
        <w:spacing w:after="0"/>
        <w:tabs>
          <w:tab w:leader="none" w:pos="886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LIQUIDITY AND CAPITAL 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9"/>
          <w:szCs w:val="29"/>
          <w:color w:val="D7282F"/>
        </w:rPr>
        <w:t>ENVIRONMENTAL MATTERS</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Accruals for environmental matters deemed probable and reasonably estimable were $261 million, $222 million, and $186 million for the years ended December 31, 2024, 2023, and 2022, respectively. In addition, for the years ended December 31, 2024, 2023, and 2022, we incurred operating costs for ongoing businesses of approximately $124 million, $110 million, and $71 million, respectively, relating to compliance with environmental regulations.</w:t>
      </w:r>
    </w:p>
    <w:p>
      <w:pPr>
        <w:spacing w:after="0" w:line="5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Payments related to known environmental matters were $224 million, $196 million, and $211 million for the years ended December 31, 2024, 2023, and 2022, respectively, and are estimated to be approximately $244 million in 2025. We expect to make payments associated with these environmental matters from operating cash flows. The timing of these payments depends on several factors, including the timing of litigation and settlements of remediation liability, personal injury and property damage claims, regulatory approval of cleanup projects, execution timeframe of projects, remedial techniques to be utilized, and agreement with other parties.</w:t>
      </w:r>
    </w:p>
    <w:p>
      <w:pPr>
        <w:spacing w:after="0" w:line="64"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Reimbursements from Resideo for payments related to environmental matters at certain sites, as defined in the indemnification and reimbursement agreement, were $140 million in 2024 and are expected to be $140 million in 2025.</w:t>
      </w:r>
    </w:p>
    <w:p>
      <w:pPr>
        <w:spacing w:after="0" w:line="61"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 xml:space="preserve">See Note 19 </w:t>
      </w:r>
      <w:r>
        <w:rPr>
          <w:rFonts w:ascii="Arial" w:cs="Arial" w:eastAsia="Arial" w:hAnsi="Arial"/>
          <w:sz w:val="16"/>
          <w:szCs w:val="16"/>
          <w:u w:val="single" w:color="auto"/>
          <w:color w:val="0000FF"/>
        </w:rPr>
        <w:t>Commitments and Contingencies</w:t>
      </w:r>
      <w:r>
        <w:rPr>
          <w:rFonts w:ascii="Arial" w:cs="Arial" w:eastAsia="Arial" w:hAnsi="Arial"/>
          <w:sz w:val="16"/>
          <w:szCs w:val="16"/>
          <w:color w:val="auto"/>
        </w:rPr>
        <w:t xml:space="preserve"> of Notes to Consolidated Financial Statements for further discussion of our environmental matters and the indemnification and reimbursement agreement entered into with Resideo.</w:t>
      </w:r>
    </w:p>
    <w:p>
      <w:pPr>
        <w:spacing w:after="0" w:line="219" w:lineRule="exact"/>
        <w:rPr>
          <w:sz w:val="20"/>
          <w:szCs w:val="20"/>
          <w:color w:val="auto"/>
        </w:rPr>
      </w:pPr>
    </w:p>
    <w:p>
      <w:pPr>
        <w:spacing w:after="0"/>
        <w:rPr>
          <w:sz w:val="20"/>
          <w:szCs w:val="20"/>
          <w:color w:val="auto"/>
        </w:rPr>
      </w:pPr>
      <w:r>
        <w:rPr>
          <w:rFonts w:ascii="Arial" w:cs="Arial" w:eastAsia="Arial" w:hAnsi="Arial"/>
          <w:sz w:val="29"/>
          <w:szCs w:val="29"/>
          <w:color w:val="D7282F"/>
        </w:rPr>
        <w:t>FINANCIAL INSTRUMENTS</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Company uses derivative financial instruments to reduce risks from interest and foreign currency exchange rate fluctuations. Derivative financial instruments are not used for trading or other speculative purposes, and we do not use leveraged derivative financial instruments.</w:t>
      </w:r>
    </w:p>
    <w:p>
      <w:pPr>
        <w:spacing w:after="0" w:line="48"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The following table illustrates the potential change in fair value for interest rate sensitive instruments based on a hypothetical immediate one percentage point increase in interest rates across all maturities and the potential change in fair value for foreign exchange rate sensitive instruments based on a 10% weakening of the U.S. dollar versus local currency exchange rates across all maturities as of December 31, 2024, and 2023:</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960" w:type="dxa"/>
            <w:vAlign w:val="bottom"/>
            <w:vMerge w:val="restart"/>
          </w:tcPr>
          <w:p>
            <w:pPr>
              <w:jc w:val="center"/>
              <w:ind w:right="188"/>
              <w:spacing w:after="0"/>
              <w:rPr>
                <w:sz w:val="20"/>
                <w:szCs w:val="20"/>
                <w:color w:val="auto"/>
              </w:rPr>
            </w:pPr>
            <w:r>
              <w:rPr>
                <w:rFonts w:ascii="Arial" w:cs="Arial" w:eastAsia="Arial" w:hAnsi="Arial"/>
                <w:sz w:val="14"/>
                <w:szCs w:val="14"/>
                <w:b w:val="1"/>
                <w:bCs w:val="1"/>
                <w:color w:val="auto"/>
              </w:rPr>
              <w:t>Carrying</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center"/>
              <w:ind w:right="48"/>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49"/>
        </w:trPr>
        <w:tc>
          <w:tcPr>
            <w:tcW w:w="47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44"/>
        </w:trPr>
        <w:tc>
          <w:tcPr>
            <w:tcW w:w="47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960" w:type="dxa"/>
            <w:vAlign w:val="bottom"/>
          </w:tcPr>
          <w:p>
            <w:pPr>
              <w:jc w:val="center"/>
              <w:ind w:right="168"/>
              <w:spacing w:after="0" w:line="145" w:lineRule="exact"/>
              <w:rPr>
                <w:sz w:val="20"/>
                <w:szCs w:val="20"/>
                <w:color w:val="auto"/>
              </w:rPr>
            </w:pPr>
            <w:r>
              <w:rPr>
                <w:rFonts w:ascii="Arial" w:cs="Arial" w:eastAsia="Arial" w:hAnsi="Arial"/>
                <w:sz w:val="14"/>
                <w:szCs w:val="14"/>
                <w:b w:val="1"/>
                <w:bCs w:val="1"/>
                <w:color w:val="auto"/>
              </w:rPr>
              <w:t>Value or</w:t>
            </w:r>
          </w:p>
        </w:tc>
        <w:tc>
          <w:tcPr>
            <w:tcW w:w="300" w:type="dxa"/>
            <w:vAlign w:val="bottom"/>
          </w:tcPr>
          <w:p>
            <w:pPr>
              <w:spacing w:after="0"/>
              <w:rPr>
                <w:sz w:val="12"/>
                <w:szCs w:val="12"/>
                <w:color w:val="auto"/>
              </w:rPr>
            </w:pPr>
          </w:p>
        </w:tc>
        <w:tc>
          <w:tcPr>
            <w:tcW w:w="100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Carrying</w:t>
            </w:r>
          </w:p>
        </w:tc>
        <w:tc>
          <w:tcPr>
            <w:tcW w:w="320" w:type="dxa"/>
            <w:vAlign w:val="bottom"/>
          </w:tcPr>
          <w:p>
            <w:pPr>
              <w:spacing w:after="0"/>
              <w:rPr>
                <w:sz w:val="12"/>
                <w:szCs w:val="12"/>
                <w:color w:val="auto"/>
              </w:rPr>
            </w:pPr>
          </w:p>
        </w:tc>
        <w:tc>
          <w:tcPr>
            <w:tcW w:w="940" w:type="dxa"/>
            <w:vAlign w:val="bottom"/>
            <w:vMerge w:val="restart"/>
          </w:tcPr>
          <w:p>
            <w:pPr>
              <w:jc w:val="right"/>
              <w:ind w:right="428"/>
              <w:spacing w:after="0"/>
              <w:rPr>
                <w:sz w:val="20"/>
                <w:szCs w:val="20"/>
                <w:color w:val="auto"/>
              </w:rPr>
            </w:pPr>
            <w:r>
              <w:rPr>
                <w:rFonts w:ascii="Arial" w:cs="Arial" w:eastAsia="Arial" w:hAnsi="Arial"/>
                <w:sz w:val="14"/>
                <w:szCs w:val="14"/>
                <w:b w:val="1"/>
                <w:bCs w:val="1"/>
                <w:color w:val="auto"/>
              </w:rPr>
              <w:t>Fair</w:t>
            </w:r>
          </w:p>
        </w:tc>
        <w:tc>
          <w:tcPr>
            <w:tcW w:w="240" w:type="dxa"/>
            <w:vAlign w:val="bottom"/>
          </w:tcPr>
          <w:p>
            <w:pPr>
              <w:spacing w:after="0"/>
              <w:rPr>
                <w:sz w:val="12"/>
                <w:szCs w:val="12"/>
                <w:color w:val="auto"/>
              </w:rPr>
            </w:pPr>
          </w:p>
        </w:tc>
        <w:tc>
          <w:tcPr>
            <w:tcW w:w="920" w:type="dxa"/>
            <w:vAlign w:val="bottom"/>
          </w:tcPr>
          <w:p>
            <w:pPr>
              <w:jc w:val="center"/>
              <w:ind w:right="48"/>
              <w:spacing w:after="0" w:line="145" w:lineRule="exact"/>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960" w:type="dxa"/>
            <w:vAlign w:val="bottom"/>
          </w:tcPr>
          <w:p>
            <w:pPr>
              <w:jc w:val="center"/>
              <w:ind w:right="188"/>
              <w:spacing w:after="0" w:line="149" w:lineRule="exact"/>
              <w:rPr>
                <w:sz w:val="20"/>
                <w:szCs w:val="20"/>
                <w:color w:val="auto"/>
              </w:rPr>
            </w:pPr>
            <w:r>
              <w:rPr>
                <w:rFonts w:ascii="Arial" w:cs="Arial" w:eastAsia="Arial" w:hAnsi="Arial"/>
                <w:sz w:val="14"/>
                <w:szCs w:val="14"/>
                <w:b w:val="1"/>
                <w:bCs w:val="1"/>
                <w:color w:val="auto"/>
              </w:rPr>
              <w:t>Notional</w:t>
            </w:r>
          </w:p>
        </w:tc>
        <w:tc>
          <w:tcPr>
            <w:tcW w:w="3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rPr>
              <w:t>in Fair</w:t>
            </w:r>
          </w:p>
        </w:tc>
        <w:tc>
          <w:tcPr>
            <w:tcW w:w="0" w:type="dxa"/>
            <w:vAlign w:val="bottom"/>
          </w:tcPr>
          <w:p>
            <w:pPr>
              <w:spacing w:after="0"/>
              <w:rPr>
                <w:sz w:val="1"/>
                <w:szCs w:val="1"/>
                <w:color w:val="auto"/>
              </w:rPr>
            </w:pPr>
          </w:p>
        </w:tc>
      </w:tr>
      <w:tr>
        <w:trPr>
          <w:trHeight w:val="189"/>
        </w:trPr>
        <w:tc>
          <w:tcPr>
            <w:tcW w:w="4740" w:type="dxa"/>
            <w:vAlign w:val="bottom"/>
            <w:tcBorders>
              <w:bottom w:val="single" w:sz="8" w:color="D7282F"/>
            </w:tcBorders>
          </w:tcPr>
          <w:p>
            <w:pPr>
              <w:spacing w:after="0"/>
              <w:rPr>
                <w:sz w:val="16"/>
                <w:szCs w:val="16"/>
                <w:color w:val="auto"/>
              </w:rPr>
            </w:pPr>
          </w:p>
        </w:tc>
        <w:tc>
          <w:tcPr>
            <w:tcW w:w="1820" w:type="dxa"/>
            <w:vAlign w:val="bottom"/>
            <w:tcBorders>
              <w:bottom w:val="single" w:sz="8" w:color="D7282F"/>
            </w:tcBorders>
          </w:tcPr>
          <w:p>
            <w:pPr>
              <w:spacing w:after="0"/>
              <w:rPr>
                <w:sz w:val="16"/>
                <w:szCs w:val="16"/>
                <w:color w:val="auto"/>
              </w:rPr>
            </w:pPr>
          </w:p>
        </w:tc>
        <w:tc>
          <w:tcPr>
            <w:tcW w:w="960" w:type="dxa"/>
            <w:vAlign w:val="bottom"/>
            <w:tcBorders>
              <w:bottom w:val="single" w:sz="8" w:color="D7282F"/>
            </w:tcBorders>
          </w:tcPr>
          <w:p>
            <w:pPr>
              <w:jc w:val="center"/>
              <w:ind w:right="188"/>
              <w:spacing w:after="0"/>
              <w:rPr>
                <w:sz w:val="20"/>
                <w:szCs w:val="20"/>
                <w:color w:val="auto"/>
              </w:rPr>
            </w:pPr>
            <w:r>
              <w:rPr>
                <w:rFonts w:ascii="Arial" w:cs="Arial" w:eastAsia="Arial" w:hAnsi="Arial"/>
                <w:sz w:val="14"/>
                <w:szCs w:val="14"/>
                <w:b w:val="1"/>
                <w:bCs w:val="1"/>
                <w:color w:val="auto"/>
              </w:rPr>
              <w:t>Amount</w:t>
            </w:r>
          </w:p>
        </w:tc>
        <w:tc>
          <w:tcPr>
            <w:tcW w:w="300" w:type="dxa"/>
            <w:vAlign w:val="bottom"/>
            <w:tcBorders>
              <w:bottom w:val="single" w:sz="8" w:color="D7282F"/>
            </w:tcBorders>
          </w:tcPr>
          <w:p>
            <w:pPr>
              <w:spacing w:after="0"/>
              <w:rPr>
                <w:sz w:val="16"/>
                <w:szCs w:val="16"/>
                <w:color w:val="auto"/>
              </w:rPr>
            </w:pPr>
          </w:p>
        </w:tc>
        <w:tc>
          <w:tcPr>
            <w:tcW w:w="1000" w:type="dxa"/>
            <w:vAlign w:val="bottom"/>
            <w:tcBorders>
              <w:bottom w:val="single" w:sz="8" w:color="D7282F"/>
            </w:tcBorders>
          </w:tcPr>
          <w:p>
            <w:pPr>
              <w:jc w:val="right"/>
              <w:ind w:right="348"/>
              <w:spacing w:after="0" w:line="189" w:lineRule="exact"/>
              <w:rPr>
                <w:sz w:val="20"/>
                <w:szCs w:val="20"/>
                <w:color w:val="auto"/>
              </w:rPr>
            </w:pPr>
            <w:r>
              <w:rPr>
                <w:rFonts w:ascii="Arial" w:cs="Arial" w:eastAsia="Arial" w:hAnsi="Arial"/>
                <w:sz w:val="14"/>
                <w:szCs w:val="14"/>
                <w:b w:val="1"/>
                <w:bCs w:val="1"/>
                <w:color w:val="auto"/>
              </w:rPr>
              <w:t>Value</w:t>
            </w:r>
            <w:r>
              <w:rPr>
                <w:rFonts w:ascii="Arial" w:cs="Arial" w:eastAsia="Arial" w:hAnsi="Arial"/>
                <w:sz w:val="18"/>
                <w:szCs w:val="18"/>
                <w:b w:val="1"/>
                <w:bCs w:val="1"/>
                <w:color w:val="auto"/>
                <w:vertAlign w:val="superscript"/>
              </w:rPr>
              <w:t>1</w:t>
            </w:r>
          </w:p>
        </w:tc>
        <w:tc>
          <w:tcPr>
            <w:tcW w:w="320" w:type="dxa"/>
            <w:vAlign w:val="bottom"/>
            <w:tcBorders>
              <w:bottom w:val="single" w:sz="8" w:color="D7282F"/>
            </w:tcBorders>
          </w:tcPr>
          <w:p>
            <w:pPr>
              <w:spacing w:after="0"/>
              <w:rPr>
                <w:sz w:val="16"/>
                <w:szCs w:val="16"/>
                <w:color w:val="auto"/>
              </w:rPr>
            </w:pPr>
          </w:p>
        </w:tc>
        <w:tc>
          <w:tcPr>
            <w:tcW w:w="940" w:type="dxa"/>
            <w:vAlign w:val="bottom"/>
            <w:tcBorders>
              <w:bottom w:val="single" w:sz="8" w:color="D7282F"/>
            </w:tcBorders>
          </w:tcPr>
          <w:p>
            <w:pPr>
              <w:jc w:val="right"/>
              <w:ind w:right="348"/>
              <w:spacing w:after="0" w:line="189" w:lineRule="exact"/>
              <w:rPr>
                <w:sz w:val="20"/>
                <w:szCs w:val="20"/>
                <w:color w:val="auto"/>
              </w:rPr>
            </w:pPr>
            <w:r>
              <w:rPr>
                <w:rFonts w:ascii="Arial" w:cs="Arial" w:eastAsia="Arial" w:hAnsi="Arial"/>
                <w:sz w:val="14"/>
                <w:szCs w:val="14"/>
                <w:b w:val="1"/>
                <w:bCs w:val="1"/>
                <w:color w:val="auto"/>
              </w:rPr>
              <w:t>Value</w:t>
            </w:r>
            <w:r>
              <w:rPr>
                <w:rFonts w:ascii="Arial" w:cs="Arial" w:eastAsia="Arial" w:hAnsi="Arial"/>
                <w:sz w:val="18"/>
                <w:szCs w:val="18"/>
                <w:b w:val="1"/>
                <w:bCs w:val="1"/>
                <w:color w:val="auto"/>
                <w:vertAlign w:val="superscript"/>
              </w:rPr>
              <w:t>1</w:t>
            </w:r>
          </w:p>
        </w:tc>
        <w:tc>
          <w:tcPr>
            <w:tcW w:w="240" w:type="dxa"/>
            <w:vAlign w:val="bottom"/>
            <w:tcBorders>
              <w:bottom w:val="single" w:sz="8" w:color="D7282F"/>
            </w:tcBorders>
          </w:tcPr>
          <w:p>
            <w:pPr>
              <w:spacing w:after="0"/>
              <w:rPr>
                <w:sz w:val="16"/>
                <w:szCs w:val="16"/>
                <w:color w:val="auto"/>
              </w:rPr>
            </w:pPr>
          </w:p>
        </w:tc>
        <w:tc>
          <w:tcPr>
            <w:tcW w:w="920" w:type="dxa"/>
            <w:vAlign w:val="bottom"/>
            <w:tcBorders>
              <w:bottom w:val="single" w:sz="8" w:color="D7282F"/>
            </w:tcBorders>
          </w:tcPr>
          <w:p>
            <w:pPr>
              <w:jc w:val="center"/>
              <w:ind w:right="48"/>
              <w:spacing w:after="0" w:line="189" w:lineRule="exact"/>
              <w:rPr>
                <w:sz w:val="20"/>
                <w:szCs w:val="20"/>
                <w:color w:val="auto"/>
              </w:rPr>
            </w:pPr>
            <w:r>
              <w:rPr>
                <w:rFonts w:ascii="Arial" w:cs="Arial" w:eastAsia="Arial" w:hAnsi="Arial"/>
                <w:sz w:val="14"/>
                <w:szCs w:val="14"/>
                <w:b w:val="1"/>
                <w:bCs w:val="1"/>
                <w:color w:val="auto"/>
                <w:w w:val="99"/>
              </w:rPr>
              <w:t>Value</w:t>
            </w:r>
            <w:r>
              <w:rPr>
                <w:rFonts w:ascii="Arial" w:cs="Arial" w:eastAsia="Arial" w:hAnsi="Arial"/>
                <w:sz w:val="18"/>
                <w:szCs w:val="18"/>
                <w:b w:val="1"/>
                <w:bCs w:val="1"/>
                <w:color w:val="auto"/>
                <w:w w:val="99"/>
                <w:vertAlign w:val="superscript"/>
              </w:rPr>
              <w:t>2</w:t>
            </w:r>
          </w:p>
        </w:tc>
        <w:tc>
          <w:tcPr>
            <w:tcW w:w="0" w:type="dxa"/>
            <w:vAlign w:val="bottom"/>
          </w:tcPr>
          <w:p>
            <w:pPr>
              <w:spacing w:after="0"/>
              <w:rPr>
                <w:sz w:val="1"/>
                <w:szCs w:val="1"/>
                <w:color w:val="auto"/>
              </w:rPr>
            </w:pPr>
          </w:p>
        </w:tc>
      </w:tr>
      <w:tr>
        <w:trPr>
          <w:trHeight w:val="195"/>
        </w:trPr>
        <w:tc>
          <w:tcPr>
            <w:tcW w:w="474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December 31, 2024</w:t>
            </w:r>
          </w:p>
        </w:tc>
        <w:tc>
          <w:tcPr>
            <w:tcW w:w="1820" w:type="dxa"/>
            <w:vAlign w:val="bottom"/>
            <w:tcBorders>
              <w:bottom w:val="single" w:sz="8" w:color="61656A"/>
            </w:tcBorders>
          </w:tcPr>
          <w:p>
            <w:pPr>
              <w:spacing w:after="0"/>
              <w:rPr>
                <w:sz w:val="16"/>
                <w:szCs w:val="16"/>
                <w:color w:val="auto"/>
              </w:rPr>
            </w:pPr>
          </w:p>
        </w:tc>
        <w:tc>
          <w:tcPr>
            <w:tcW w:w="960" w:type="dxa"/>
            <w:vAlign w:val="bottom"/>
            <w:tcBorders>
              <w:bottom w:val="single" w:sz="8" w:color="61656A"/>
            </w:tcBorders>
          </w:tcPr>
          <w:p>
            <w:pPr>
              <w:spacing w:after="0"/>
              <w:rPr>
                <w:sz w:val="16"/>
                <w:szCs w:val="16"/>
                <w:color w:val="auto"/>
              </w:rPr>
            </w:pPr>
          </w:p>
        </w:tc>
        <w:tc>
          <w:tcPr>
            <w:tcW w:w="300" w:type="dxa"/>
            <w:vAlign w:val="bottom"/>
            <w:tcBorders>
              <w:bottom w:val="single" w:sz="8" w:color="61656A"/>
            </w:tcBorders>
          </w:tcPr>
          <w:p>
            <w:pPr>
              <w:spacing w:after="0"/>
              <w:rPr>
                <w:sz w:val="16"/>
                <w:szCs w:val="16"/>
                <w:color w:val="auto"/>
              </w:rPr>
            </w:pPr>
          </w:p>
        </w:tc>
        <w:tc>
          <w:tcPr>
            <w:tcW w:w="100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tcPr>
          <w:p>
            <w:pPr>
              <w:spacing w:after="0"/>
              <w:rPr>
                <w:sz w:val="16"/>
                <w:szCs w:val="16"/>
                <w:color w:val="auto"/>
              </w:rPr>
            </w:pPr>
          </w:p>
        </w:tc>
        <w:tc>
          <w:tcPr>
            <w:tcW w:w="240" w:type="dxa"/>
            <w:vAlign w:val="bottom"/>
            <w:tcBorders>
              <w:bottom w:val="single" w:sz="8" w:color="61656A"/>
            </w:tcBorders>
          </w:tcPr>
          <w:p>
            <w:pPr>
              <w:spacing w:after="0"/>
              <w:rPr>
                <w:sz w:val="16"/>
                <w:szCs w:val="16"/>
                <w:color w:val="auto"/>
              </w:rPr>
            </w:pPr>
          </w:p>
        </w:tc>
        <w:tc>
          <w:tcPr>
            <w:tcW w:w="920" w:type="dxa"/>
            <w:vAlign w:val="bottom"/>
            <w:tcBorders>
              <w:bottom w:val="single" w:sz="8" w:color="61656A"/>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74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Interest rate sensitive instruments</w:t>
            </w:r>
          </w:p>
        </w:tc>
        <w:tc>
          <w:tcPr>
            <w:tcW w:w="1820" w:type="dxa"/>
            <w:vAlign w:val="bottom"/>
            <w:tcBorders>
              <w:bottom w:val="single" w:sz="8" w:color="61656A"/>
            </w:tcBorders>
          </w:tcPr>
          <w:p>
            <w:pPr>
              <w:spacing w:after="0"/>
              <w:rPr>
                <w:sz w:val="17"/>
                <w:szCs w:val="17"/>
                <w:color w:val="auto"/>
              </w:rPr>
            </w:pPr>
          </w:p>
        </w:tc>
        <w:tc>
          <w:tcPr>
            <w:tcW w:w="960" w:type="dxa"/>
            <w:vAlign w:val="bottom"/>
            <w:tcBorders>
              <w:bottom w:val="single" w:sz="8" w:color="61656A"/>
            </w:tcBorders>
          </w:tcPr>
          <w:p>
            <w:pPr>
              <w:spacing w:after="0"/>
              <w:rPr>
                <w:sz w:val="17"/>
                <w:szCs w:val="17"/>
                <w:color w:val="auto"/>
              </w:rPr>
            </w:pPr>
          </w:p>
        </w:tc>
        <w:tc>
          <w:tcPr>
            <w:tcW w:w="300" w:type="dxa"/>
            <w:vAlign w:val="bottom"/>
            <w:tcBorders>
              <w:bottom w:val="single" w:sz="8" w:color="61656A"/>
            </w:tcBorders>
          </w:tcPr>
          <w:p>
            <w:pPr>
              <w:spacing w:after="0"/>
              <w:rPr>
                <w:sz w:val="17"/>
                <w:szCs w:val="17"/>
                <w:color w:val="auto"/>
              </w:rPr>
            </w:pPr>
          </w:p>
        </w:tc>
        <w:tc>
          <w:tcPr>
            <w:tcW w:w="1000" w:type="dxa"/>
            <w:vAlign w:val="bottom"/>
            <w:tcBorders>
              <w:bottom w:val="single" w:sz="8" w:color="61656A"/>
            </w:tcBorders>
          </w:tcPr>
          <w:p>
            <w:pPr>
              <w:spacing w:after="0"/>
              <w:rPr>
                <w:sz w:val="17"/>
                <w:szCs w:val="17"/>
                <w:color w:val="auto"/>
              </w:rPr>
            </w:pPr>
          </w:p>
        </w:tc>
        <w:tc>
          <w:tcPr>
            <w:tcW w:w="320" w:type="dxa"/>
            <w:vAlign w:val="bottom"/>
            <w:tcBorders>
              <w:bottom w:val="single" w:sz="8" w:color="61656A"/>
            </w:tcBorders>
          </w:tcPr>
          <w:p>
            <w:pPr>
              <w:spacing w:after="0"/>
              <w:rPr>
                <w:sz w:val="17"/>
                <w:szCs w:val="17"/>
                <w:color w:val="auto"/>
              </w:rPr>
            </w:pPr>
          </w:p>
        </w:tc>
        <w:tc>
          <w:tcPr>
            <w:tcW w:w="94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920" w:type="dxa"/>
            <w:vAlign w:val="bottom"/>
            <w:tcBorders>
              <w:bottom w:val="single" w:sz="8" w:color="61656A"/>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74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Long-term debt (including current maturities)</w:t>
            </w:r>
          </w:p>
        </w:tc>
        <w:tc>
          <w:tcPr>
            <w:tcW w:w="18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26,826</w:t>
            </w:r>
          </w:p>
        </w:tc>
        <w:tc>
          <w:tcPr>
            <w:tcW w:w="3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(26,826)</w:t>
            </w:r>
          </w:p>
        </w:tc>
        <w:tc>
          <w:tcPr>
            <w:tcW w:w="320" w:type="dxa"/>
            <w:vAlign w:val="bottom"/>
            <w:tcBorders>
              <w:bottom w:val="single" w:sz="8" w:color="61656A"/>
            </w:tcBorders>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(25,503)</w:t>
            </w:r>
          </w:p>
        </w:tc>
        <w:tc>
          <w:tcPr>
            <w:tcW w:w="2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(1,452)</w:t>
            </w:r>
          </w:p>
        </w:tc>
        <w:tc>
          <w:tcPr>
            <w:tcW w:w="0" w:type="dxa"/>
            <w:vAlign w:val="bottom"/>
          </w:tcPr>
          <w:p>
            <w:pPr>
              <w:spacing w:after="0"/>
              <w:rPr>
                <w:sz w:val="1"/>
                <w:szCs w:val="1"/>
                <w:color w:val="auto"/>
              </w:rPr>
            </w:pPr>
          </w:p>
        </w:tc>
      </w:tr>
      <w:tr>
        <w:trPr>
          <w:trHeight w:val="196"/>
        </w:trPr>
        <w:tc>
          <w:tcPr>
            <w:tcW w:w="474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Interest rate swap agreements</w:t>
            </w:r>
          </w:p>
        </w:tc>
        <w:tc>
          <w:tcPr>
            <w:tcW w:w="1820" w:type="dxa"/>
            <w:vAlign w:val="bottom"/>
            <w:tcBorders>
              <w:bottom w:val="single" w:sz="8" w:color="D7282F"/>
            </w:tcBorders>
          </w:tcPr>
          <w:p>
            <w:pPr>
              <w:spacing w:after="0"/>
              <w:rPr>
                <w:sz w:val="17"/>
                <w:szCs w:val="17"/>
                <w:color w:val="auto"/>
              </w:rPr>
            </w:pPr>
          </w:p>
        </w:tc>
        <w:tc>
          <w:tcPr>
            <w:tcW w:w="9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3,899</w:t>
            </w:r>
          </w:p>
        </w:tc>
        <w:tc>
          <w:tcPr>
            <w:tcW w:w="300" w:type="dxa"/>
            <w:vAlign w:val="bottom"/>
            <w:tcBorders>
              <w:bottom w:val="single" w:sz="8" w:color="D7282F"/>
            </w:tcBorders>
          </w:tcPr>
          <w:p>
            <w:pPr>
              <w:spacing w:after="0"/>
              <w:rPr>
                <w:sz w:val="17"/>
                <w:szCs w:val="17"/>
                <w:color w:val="auto"/>
              </w:rPr>
            </w:pPr>
          </w:p>
        </w:tc>
        <w:tc>
          <w:tcPr>
            <w:tcW w:w="10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(136)</w:t>
            </w:r>
          </w:p>
        </w:tc>
        <w:tc>
          <w:tcPr>
            <w:tcW w:w="32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(136)</w:t>
            </w:r>
          </w:p>
        </w:tc>
        <w:tc>
          <w:tcPr>
            <w:tcW w:w="240" w:type="dxa"/>
            <w:vAlign w:val="bottom"/>
            <w:tcBorders>
              <w:bottom w:val="single" w:sz="8" w:color="D7282F"/>
            </w:tcBorders>
          </w:tcPr>
          <w:p>
            <w:pPr>
              <w:spacing w:after="0"/>
              <w:rPr>
                <w:sz w:val="17"/>
                <w:szCs w:val="17"/>
                <w:color w:val="auto"/>
              </w:rPr>
            </w:pPr>
          </w:p>
        </w:tc>
        <w:tc>
          <w:tcPr>
            <w:tcW w:w="9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199"/>
        </w:trPr>
        <w:tc>
          <w:tcPr>
            <w:tcW w:w="474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w:t>
            </w:r>
          </w:p>
        </w:tc>
        <w:tc>
          <w:tcPr>
            <w:tcW w:w="18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30,725</w:t>
            </w:r>
          </w:p>
        </w:tc>
        <w:tc>
          <w:tcPr>
            <w:tcW w:w="3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(26,962)</w:t>
            </w:r>
          </w:p>
        </w:tc>
        <w:tc>
          <w:tcPr>
            <w:tcW w:w="32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(25,639)</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(1,572)</w:t>
            </w:r>
          </w:p>
        </w:tc>
        <w:tc>
          <w:tcPr>
            <w:tcW w:w="0" w:type="dxa"/>
            <w:vAlign w:val="bottom"/>
          </w:tcPr>
          <w:p>
            <w:pPr>
              <w:spacing w:after="0"/>
              <w:rPr>
                <w:sz w:val="1"/>
                <w:szCs w:val="1"/>
                <w:color w:val="auto"/>
              </w:rPr>
            </w:pPr>
          </w:p>
        </w:tc>
      </w:tr>
      <w:tr>
        <w:trPr>
          <w:trHeight w:val="196"/>
        </w:trPr>
        <w:tc>
          <w:tcPr>
            <w:tcW w:w="474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Foreign exchange rate sensitive instruments</w:t>
            </w:r>
          </w:p>
        </w:tc>
        <w:tc>
          <w:tcPr>
            <w:tcW w:w="1820" w:type="dxa"/>
            <w:vAlign w:val="bottom"/>
            <w:tcBorders>
              <w:bottom w:val="single" w:sz="8" w:color="61656A"/>
            </w:tcBorders>
          </w:tcPr>
          <w:p>
            <w:pPr>
              <w:spacing w:after="0"/>
              <w:rPr>
                <w:sz w:val="17"/>
                <w:szCs w:val="17"/>
                <w:color w:val="auto"/>
              </w:rPr>
            </w:pPr>
          </w:p>
        </w:tc>
        <w:tc>
          <w:tcPr>
            <w:tcW w:w="960" w:type="dxa"/>
            <w:vAlign w:val="bottom"/>
            <w:tcBorders>
              <w:bottom w:val="single" w:sz="8" w:color="61656A"/>
            </w:tcBorders>
          </w:tcPr>
          <w:p>
            <w:pPr>
              <w:spacing w:after="0"/>
              <w:rPr>
                <w:sz w:val="17"/>
                <w:szCs w:val="17"/>
                <w:color w:val="auto"/>
              </w:rPr>
            </w:pPr>
          </w:p>
        </w:tc>
        <w:tc>
          <w:tcPr>
            <w:tcW w:w="300" w:type="dxa"/>
            <w:vAlign w:val="bottom"/>
            <w:tcBorders>
              <w:bottom w:val="single" w:sz="8" w:color="61656A"/>
            </w:tcBorders>
          </w:tcPr>
          <w:p>
            <w:pPr>
              <w:spacing w:after="0"/>
              <w:rPr>
                <w:sz w:val="17"/>
                <w:szCs w:val="17"/>
                <w:color w:val="auto"/>
              </w:rPr>
            </w:pPr>
          </w:p>
        </w:tc>
        <w:tc>
          <w:tcPr>
            <w:tcW w:w="1000" w:type="dxa"/>
            <w:vAlign w:val="bottom"/>
            <w:tcBorders>
              <w:bottom w:val="single" w:sz="8" w:color="61656A"/>
            </w:tcBorders>
          </w:tcPr>
          <w:p>
            <w:pPr>
              <w:spacing w:after="0"/>
              <w:rPr>
                <w:sz w:val="17"/>
                <w:szCs w:val="17"/>
                <w:color w:val="auto"/>
              </w:rPr>
            </w:pPr>
          </w:p>
        </w:tc>
        <w:tc>
          <w:tcPr>
            <w:tcW w:w="320" w:type="dxa"/>
            <w:vAlign w:val="bottom"/>
            <w:tcBorders>
              <w:bottom w:val="single" w:sz="8" w:color="61656A"/>
            </w:tcBorders>
          </w:tcPr>
          <w:p>
            <w:pPr>
              <w:spacing w:after="0"/>
              <w:rPr>
                <w:sz w:val="17"/>
                <w:szCs w:val="17"/>
                <w:color w:val="auto"/>
              </w:rPr>
            </w:pPr>
          </w:p>
        </w:tc>
        <w:tc>
          <w:tcPr>
            <w:tcW w:w="94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920" w:type="dxa"/>
            <w:vAlign w:val="bottom"/>
            <w:tcBorders>
              <w:bottom w:val="single" w:sz="8" w:color="61656A"/>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74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Foreign currency exchange contracts</w:t>
            </w:r>
            <w:r>
              <w:rPr>
                <w:rFonts w:ascii="Arial" w:cs="Arial" w:eastAsia="Arial" w:hAnsi="Arial"/>
                <w:sz w:val="9"/>
                <w:szCs w:val="9"/>
                <w:color w:val="auto"/>
              </w:rPr>
              <w:t>3</w:t>
            </w:r>
          </w:p>
        </w:tc>
        <w:tc>
          <w:tcPr>
            <w:tcW w:w="18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10,008</w:t>
            </w:r>
          </w:p>
        </w:tc>
        <w:tc>
          <w:tcPr>
            <w:tcW w:w="3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18</w:t>
            </w:r>
          </w:p>
        </w:tc>
        <w:tc>
          <w:tcPr>
            <w:tcW w:w="320" w:type="dxa"/>
            <w:vAlign w:val="bottom"/>
            <w:tcBorders>
              <w:bottom w:val="single" w:sz="8" w:color="61656A"/>
            </w:tcBorders>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18</w:t>
            </w:r>
          </w:p>
        </w:tc>
        <w:tc>
          <w:tcPr>
            <w:tcW w:w="2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(350)</w:t>
            </w:r>
          </w:p>
        </w:tc>
        <w:tc>
          <w:tcPr>
            <w:tcW w:w="0" w:type="dxa"/>
            <w:vAlign w:val="bottom"/>
          </w:tcPr>
          <w:p>
            <w:pPr>
              <w:spacing w:after="0"/>
              <w:rPr>
                <w:sz w:val="1"/>
                <w:szCs w:val="1"/>
                <w:color w:val="auto"/>
              </w:rPr>
            </w:pPr>
          </w:p>
        </w:tc>
      </w:tr>
      <w:tr>
        <w:trPr>
          <w:trHeight w:val="196"/>
        </w:trPr>
        <w:tc>
          <w:tcPr>
            <w:tcW w:w="474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Cross currency swap agreements</w:t>
            </w:r>
          </w:p>
        </w:tc>
        <w:tc>
          <w:tcPr>
            <w:tcW w:w="1820" w:type="dxa"/>
            <w:vAlign w:val="bottom"/>
            <w:tcBorders>
              <w:bottom w:val="single" w:sz="8" w:color="D7282F"/>
            </w:tcBorders>
          </w:tcPr>
          <w:p>
            <w:pPr>
              <w:spacing w:after="0"/>
              <w:rPr>
                <w:sz w:val="17"/>
                <w:szCs w:val="17"/>
                <w:color w:val="auto"/>
              </w:rPr>
            </w:pPr>
          </w:p>
        </w:tc>
        <w:tc>
          <w:tcPr>
            <w:tcW w:w="9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7,214</w:t>
            </w:r>
          </w:p>
        </w:tc>
        <w:tc>
          <w:tcPr>
            <w:tcW w:w="300" w:type="dxa"/>
            <w:vAlign w:val="bottom"/>
            <w:tcBorders>
              <w:bottom w:val="single" w:sz="8" w:color="D7282F"/>
            </w:tcBorders>
          </w:tcPr>
          <w:p>
            <w:pPr>
              <w:spacing w:after="0"/>
              <w:rPr>
                <w:sz w:val="17"/>
                <w:szCs w:val="17"/>
                <w:color w:val="auto"/>
              </w:rPr>
            </w:pPr>
          </w:p>
        </w:tc>
        <w:tc>
          <w:tcPr>
            <w:tcW w:w="10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68</w:t>
            </w:r>
          </w:p>
        </w:tc>
        <w:tc>
          <w:tcPr>
            <w:tcW w:w="32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68</w:t>
            </w:r>
          </w:p>
        </w:tc>
        <w:tc>
          <w:tcPr>
            <w:tcW w:w="240" w:type="dxa"/>
            <w:vAlign w:val="bottom"/>
            <w:tcBorders>
              <w:bottom w:val="single" w:sz="8" w:color="D7282F"/>
            </w:tcBorders>
          </w:tcPr>
          <w:p>
            <w:pPr>
              <w:spacing w:after="0"/>
              <w:rPr>
                <w:sz w:val="17"/>
                <w:szCs w:val="17"/>
                <w:color w:val="auto"/>
              </w:rPr>
            </w:pPr>
          </w:p>
        </w:tc>
        <w:tc>
          <w:tcPr>
            <w:tcW w:w="9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(786)</w:t>
            </w:r>
          </w:p>
        </w:tc>
        <w:tc>
          <w:tcPr>
            <w:tcW w:w="0" w:type="dxa"/>
            <w:vAlign w:val="bottom"/>
          </w:tcPr>
          <w:p>
            <w:pPr>
              <w:spacing w:after="0"/>
              <w:rPr>
                <w:sz w:val="1"/>
                <w:szCs w:val="1"/>
                <w:color w:val="auto"/>
              </w:rPr>
            </w:pPr>
          </w:p>
        </w:tc>
      </w:tr>
      <w:tr>
        <w:trPr>
          <w:trHeight w:val="199"/>
        </w:trPr>
        <w:tc>
          <w:tcPr>
            <w:tcW w:w="474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w:t>
            </w:r>
          </w:p>
        </w:tc>
        <w:tc>
          <w:tcPr>
            <w:tcW w:w="18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17,222</w:t>
            </w:r>
          </w:p>
        </w:tc>
        <w:tc>
          <w:tcPr>
            <w:tcW w:w="3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86</w:t>
            </w:r>
          </w:p>
        </w:tc>
        <w:tc>
          <w:tcPr>
            <w:tcW w:w="32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86</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(1,136)</w:t>
            </w:r>
          </w:p>
        </w:tc>
        <w:tc>
          <w:tcPr>
            <w:tcW w:w="0" w:type="dxa"/>
            <w:vAlign w:val="bottom"/>
          </w:tcPr>
          <w:p>
            <w:pPr>
              <w:spacing w:after="0"/>
              <w:rPr>
                <w:sz w:val="1"/>
                <w:szCs w:val="1"/>
                <w:color w:val="auto"/>
              </w:rPr>
            </w:pPr>
          </w:p>
        </w:tc>
      </w:tr>
      <w:tr>
        <w:trPr>
          <w:trHeight w:val="196"/>
        </w:trPr>
        <w:tc>
          <w:tcPr>
            <w:tcW w:w="474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December 31, 2023</w:t>
            </w:r>
          </w:p>
        </w:tc>
        <w:tc>
          <w:tcPr>
            <w:tcW w:w="1820" w:type="dxa"/>
            <w:vAlign w:val="bottom"/>
            <w:tcBorders>
              <w:bottom w:val="single" w:sz="8" w:color="61656A"/>
            </w:tcBorders>
          </w:tcPr>
          <w:p>
            <w:pPr>
              <w:spacing w:after="0"/>
              <w:rPr>
                <w:sz w:val="17"/>
                <w:szCs w:val="17"/>
                <w:color w:val="auto"/>
              </w:rPr>
            </w:pPr>
          </w:p>
        </w:tc>
        <w:tc>
          <w:tcPr>
            <w:tcW w:w="960" w:type="dxa"/>
            <w:vAlign w:val="bottom"/>
            <w:tcBorders>
              <w:bottom w:val="single" w:sz="8" w:color="61656A"/>
            </w:tcBorders>
          </w:tcPr>
          <w:p>
            <w:pPr>
              <w:spacing w:after="0"/>
              <w:rPr>
                <w:sz w:val="17"/>
                <w:szCs w:val="17"/>
                <w:color w:val="auto"/>
              </w:rPr>
            </w:pPr>
          </w:p>
        </w:tc>
        <w:tc>
          <w:tcPr>
            <w:tcW w:w="300" w:type="dxa"/>
            <w:vAlign w:val="bottom"/>
            <w:tcBorders>
              <w:bottom w:val="single" w:sz="8" w:color="61656A"/>
            </w:tcBorders>
          </w:tcPr>
          <w:p>
            <w:pPr>
              <w:spacing w:after="0"/>
              <w:rPr>
                <w:sz w:val="17"/>
                <w:szCs w:val="17"/>
                <w:color w:val="auto"/>
              </w:rPr>
            </w:pPr>
          </w:p>
        </w:tc>
        <w:tc>
          <w:tcPr>
            <w:tcW w:w="1000" w:type="dxa"/>
            <w:vAlign w:val="bottom"/>
            <w:tcBorders>
              <w:bottom w:val="single" w:sz="8" w:color="61656A"/>
            </w:tcBorders>
          </w:tcPr>
          <w:p>
            <w:pPr>
              <w:spacing w:after="0"/>
              <w:rPr>
                <w:sz w:val="17"/>
                <w:szCs w:val="17"/>
                <w:color w:val="auto"/>
              </w:rPr>
            </w:pPr>
          </w:p>
        </w:tc>
        <w:tc>
          <w:tcPr>
            <w:tcW w:w="320" w:type="dxa"/>
            <w:vAlign w:val="bottom"/>
            <w:tcBorders>
              <w:bottom w:val="single" w:sz="8" w:color="61656A"/>
            </w:tcBorders>
          </w:tcPr>
          <w:p>
            <w:pPr>
              <w:spacing w:after="0"/>
              <w:rPr>
                <w:sz w:val="17"/>
                <w:szCs w:val="17"/>
                <w:color w:val="auto"/>
              </w:rPr>
            </w:pPr>
          </w:p>
        </w:tc>
        <w:tc>
          <w:tcPr>
            <w:tcW w:w="94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920" w:type="dxa"/>
            <w:vAlign w:val="bottom"/>
            <w:tcBorders>
              <w:bottom w:val="single" w:sz="8" w:color="61656A"/>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4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Interest rate sensitive instruments</w:t>
            </w:r>
          </w:p>
        </w:tc>
        <w:tc>
          <w:tcPr>
            <w:tcW w:w="1820" w:type="dxa"/>
            <w:vAlign w:val="bottom"/>
            <w:tcBorders>
              <w:bottom w:val="single" w:sz="8" w:color="61656A"/>
            </w:tcBorders>
          </w:tcPr>
          <w:p>
            <w:pPr>
              <w:spacing w:after="0"/>
              <w:rPr>
                <w:sz w:val="17"/>
                <w:szCs w:val="17"/>
                <w:color w:val="auto"/>
              </w:rPr>
            </w:pPr>
          </w:p>
        </w:tc>
        <w:tc>
          <w:tcPr>
            <w:tcW w:w="960" w:type="dxa"/>
            <w:vAlign w:val="bottom"/>
            <w:tcBorders>
              <w:bottom w:val="single" w:sz="8" w:color="61656A"/>
            </w:tcBorders>
          </w:tcPr>
          <w:p>
            <w:pPr>
              <w:spacing w:after="0"/>
              <w:rPr>
                <w:sz w:val="17"/>
                <w:szCs w:val="17"/>
                <w:color w:val="auto"/>
              </w:rPr>
            </w:pPr>
          </w:p>
        </w:tc>
        <w:tc>
          <w:tcPr>
            <w:tcW w:w="300" w:type="dxa"/>
            <w:vAlign w:val="bottom"/>
            <w:tcBorders>
              <w:bottom w:val="single" w:sz="8" w:color="61656A"/>
            </w:tcBorders>
          </w:tcPr>
          <w:p>
            <w:pPr>
              <w:spacing w:after="0"/>
              <w:rPr>
                <w:sz w:val="17"/>
                <w:szCs w:val="17"/>
                <w:color w:val="auto"/>
              </w:rPr>
            </w:pPr>
          </w:p>
        </w:tc>
        <w:tc>
          <w:tcPr>
            <w:tcW w:w="1000" w:type="dxa"/>
            <w:vAlign w:val="bottom"/>
            <w:tcBorders>
              <w:bottom w:val="single" w:sz="8" w:color="61656A"/>
            </w:tcBorders>
          </w:tcPr>
          <w:p>
            <w:pPr>
              <w:spacing w:after="0"/>
              <w:rPr>
                <w:sz w:val="17"/>
                <w:szCs w:val="17"/>
                <w:color w:val="auto"/>
              </w:rPr>
            </w:pPr>
          </w:p>
        </w:tc>
        <w:tc>
          <w:tcPr>
            <w:tcW w:w="320" w:type="dxa"/>
            <w:vAlign w:val="bottom"/>
            <w:tcBorders>
              <w:bottom w:val="single" w:sz="8" w:color="61656A"/>
            </w:tcBorders>
          </w:tcPr>
          <w:p>
            <w:pPr>
              <w:spacing w:after="0"/>
              <w:rPr>
                <w:sz w:val="17"/>
                <w:szCs w:val="17"/>
                <w:color w:val="auto"/>
              </w:rPr>
            </w:pPr>
          </w:p>
        </w:tc>
        <w:tc>
          <w:tcPr>
            <w:tcW w:w="94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920" w:type="dxa"/>
            <w:vAlign w:val="bottom"/>
            <w:tcBorders>
              <w:bottom w:val="single" w:sz="8" w:color="61656A"/>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74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Long-term debt (including current maturities)</w:t>
            </w:r>
          </w:p>
        </w:tc>
        <w:tc>
          <w:tcPr>
            <w:tcW w:w="18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18,358</w:t>
            </w:r>
          </w:p>
        </w:tc>
        <w:tc>
          <w:tcPr>
            <w:tcW w:w="3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(18,358)</w:t>
            </w:r>
          </w:p>
        </w:tc>
        <w:tc>
          <w:tcPr>
            <w:tcW w:w="320" w:type="dxa"/>
            <w:vAlign w:val="bottom"/>
            <w:tcBorders>
              <w:bottom w:val="single" w:sz="8" w:color="61656A"/>
            </w:tcBorders>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(17,706)</w:t>
            </w:r>
          </w:p>
        </w:tc>
        <w:tc>
          <w:tcPr>
            <w:tcW w:w="2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(1,530)</w:t>
            </w:r>
          </w:p>
        </w:tc>
        <w:tc>
          <w:tcPr>
            <w:tcW w:w="0" w:type="dxa"/>
            <w:vAlign w:val="bottom"/>
          </w:tcPr>
          <w:p>
            <w:pPr>
              <w:spacing w:after="0"/>
              <w:rPr>
                <w:sz w:val="1"/>
                <w:szCs w:val="1"/>
                <w:color w:val="auto"/>
              </w:rPr>
            </w:pPr>
          </w:p>
        </w:tc>
      </w:tr>
      <w:tr>
        <w:trPr>
          <w:trHeight w:val="196"/>
        </w:trPr>
        <w:tc>
          <w:tcPr>
            <w:tcW w:w="474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Interest rate swap agreements</w:t>
            </w:r>
          </w:p>
        </w:tc>
        <w:tc>
          <w:tcPr>
            <w:tcW w:w="1820" w:type="dxa"/>
            <w:vAlign w:val="bottom"/>
            <w:tcBorders>
              <w:bottom w:val="single" w:sz="8" w:color="D7282F"/>
            </w:tcBorders>
          </w:tcPr>
          <w:p>
            <w:pPr>
              <w:spacing w:after="0"/>
              <w:rPr>
                <w:sz w:val="17"/>
                <w:szCs w:val="17"/>
                <w:color w:val="auto"/>
              </w:rPr>
            </w:pPr>
          </w:p>
        </w:tc>
        <w:tc>
          <w:tcPr>
            <w:tcW w:w="9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4,717</w:t>
            </w:r>
          </w:p>
        </w:tc>
        <w:tc>
          <w:tcPr>
            <w:tcW w:w="300" w:type="dxa"/>
            <w:vAlign w:val="bottom"/>
            <w:tcBorders>
              <w:bottom w:val="single" w:sz="8" w:color="D7282F"/>
            </w:tcBorders>
          </w:tcPr>
          <w:p>
            <w:pPr>
              <w:spacing w:after="0"/>
              <w:rPr>
                <w:sz w:val="17"/>
                <w:szCs w:val="17"/>
                <w:color w:val="auto"/>
              </w:rPr>
            </w:pPr>
          </w:p>
        </w:tc>
        <w:tc>
          <w:tcPr>
            <w:tcW w:w="10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(166)</w:t>
            </w:r>
          </w:p>
        </w:tc>
        <w:tc>
          <w:tcPr>
            <w:tcW w:w="32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(166)</w:t>
            </w:r>
          </w:p>
        </w:tc>
        <w:tc>
          <w:tcPr>
            <w:tcW w:w="240" w:type="dxa"/>
            <w:vAlign w:val="bottom"/>
            <w:tcBorders>
              <w:bottom w:val="single" w:sz="8" w:color="D7282F"/>
            </w:tcBorders>
          </w:tcPr>
          <w:p>
            <w:pPr>
              <w:spacing w:after="0"/>
              <w:rPr>
                <w:sz w:val="17"/>
                <w:szCs w:val="17"/>
                <w:color w:val="auto"/>
              </w:rPr>
            </w:pPr>
          </w:p>
        </w:tc>
        <w:tc>
          <w:tcPr>
            <w:tcW w:w="9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(160)</w:t>
            </w:r>
          </w:p>
        </w:tc>
        <w:tc>
          <w:tcPr>
            <w:tcW w:w="0" w:type="dxa"/>
            <w:vAlign w:val="bottom"/>
          </w:tcPr>
          <w:p>
            <w:pPr>
              <w:spacing w:after="0"/>
              <w:rPr>
                <w:sz w:val="1"/>
                <w:szCs w:val="1"/>
                <w:color w:val="auto"/>
              </w:rPr>
            </w:pPr>
          </w:p>
        </w:tc>
      </w:tr>
      <w:tr>
        <w:trPr>
          <w:trHeight w:val="199"/>
        </w:trPr>
        <w:tc>
          <w:tcPr>
            <w:tcW w:w="474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w:t>
            </w:r>
          </w:p>
        </w:tc>
        <w:tc>
          <w:tcPr>
            <w:tcW w:w="18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23,075</w:t>
            </w:r>
          </w:p>
        </w:tc>
        <w:tc>
          <w:tcPr>
            <w:tcW w:w="3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(18,524)</w:t>
            </w:r>
          </w:p>
        </w:tc>
        <w:tc>
          <w:tcPr>
            <w:tcW w:w="32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(17,872)</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(1,690)</w:t>
            </w:r>
          </w:p>
        </w:tc>
        <w:tc>
          <w:tcPr>
            <w:tcW w:w="0" w:type="dxa"/>
            <w:vAlign w:val="bottom"/>
          </w:tcPr>
          <w:p>
            <w:pPr>
              <w:spacing w:after="0"/>
              <w:rPr>
                <w:sz w:val="1"/>
                <w:szCs w:val="1"/>
                <w:color w:val="auto"/>
              </w:rPr>
            </w:pPr>
          </w:p>
        </w:tc>
      </w:tr>
      <w:tr>
        <w:trPr>
          <w:trHeight w:val="196"/>
        </w:trPr>
        <w:tc>
          <w:tcPr>
            <w:tcW w:w="474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Foreign exchange rate sensitive instruments</w:t>
            </w:r>
          </w:p>
        </w:tc>
        <w:tc>
          <w:tcPr>
            <w:tcW w:w="1820" w:type="dxa"/>
            <w:vAlign w:val="bottom"/>
            <w:tcBorders>
              <w:bottom w:val="single" w:sz="8" w:color="61656A"/>
            </w:tcBorders>
          </w:tcPr>
          <w:p>
            <w:pPr>
              <w:spacing w:after="0"/>
              <w:rPr>
                <w:sz w:val="17"/>
                <w:szCs w:val="17"/>
                <w:color w:val="auto"/>
              </w:rPr>
            </w:pPr>
          </w:p>
        </w:tc>
        <w:tc>
          <w:tcPr>
            <w:tcW w:w="960" w:type="dxa"/>
            <w:vAlign w:val="bottom"/>
            <w:tcBorders>
              <w:bottom w:val="single" w:sz="8" w:color="61656A"/>
            </w:tcBorders>
          </w:tcPr>
          <w:p>
            <w:pPr>
              <w:spacing w:after="0"/>
              <w:rPr>
                <w:sz w:val="17"/>
                <w:szCs w:val="17"/>
                <w:color w:val="auto"/>
              </w:rPr>
            </w:pPr>
          </w:p>
        </w:tc>
        <w:tc>
          <w:tcPr>
            <w:tcW w:w="300" w:type="dxa"/>
            <w:vAlign w:val="bottom"/>
            <w:tcBorders>
              <w:bottom w:val="single" w:sz="8" w:color="61656A"/>
            </w:tcBorders>
          </w:tcPr>
          <w:p>
            <w:pPr>
              <w:spacing w:after="0"/>
              <w:rPr>
                <w:sz w:val="17"/>
                <w:szCs w:val="17"/>
                <w:color w:val="auto"/>
              </w:rPr>
            </w:pPr>
          </w:p>
        </w:tc>
        <w:tc>
          <w:tcPr>
            <w:tcW w:w="1000" w:type="dxa"/>
            <w:vAlign w:val="bottom"/>
            <w:tcBorders>
              <w:bottom w:val="single" w:sz="8" w:color="61656A"/>
            </w:tcBorders>
          </w:tcPr>
          <w:p>
            <w:pPr>
              <w:spacing w:after="0"/>
              <w:rPr>
                <w:sz w:val="17"/>
                <w:szCs w:val="17"/>
                <w:color w:val="auto"/>
              </w:rPr>
            </w:pPr>
          </w:p>
        </w:tc>
        <w:tc>
          <w:tcPr>
            <w:tcW w:w="320" w:type="dxa"/>
            <w:vAlign w:val="bottom"/>
            <w:tcBorders>
              <w:bottom w:val="single" w:sz="8" w:color="61656A"/>
            </w:tcBorders>
          </w:tcPr>
          <w:p>
            <w:pPr>
              <w:spacing w:after="0"/>
              <w:rPr>
                <w:sz w:val="17"/>
                <w:szCs w:val="17"/>
                <w:color w:val="auto"/>
              </w:rPr>
            </w:pPr>
          </w:p>
        </w:tc>
        <w:tc>
          <w:tcPr>
            <w:tcW w:w="94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920" w:type="dxa"/>
            <w:vAlign w:val="bottom"/>
            <w:tcBorders>
              <w:bottom w:val="single" w:sz="8" w:color="61656A"/>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74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Foreign currency exchange contracts</w:t>
            </w:r>
            <w:r>
              <w:rPr>
                <w:rFonts w:ascii="Arial" w:cs="Arial" w:eastAsia="Arial" w:hAnsi="Arial"/>
                <w:sz w:val="9"/>
                <w:szCs w:val="9"/>
                <w:color w:val="auto"/>
              </w:rPr>
              <w:t>3</w:t>
            </w:r>
          </w:p>
        </w:tc>
        <w:tc>
          <w:tcPr>
            <w:tcW w:w="18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8,910</w:t>
            </w:r>
          </w:p>
        </w:tc>
        <w:tc>
          <w:tcPr>
            <w:tcW w:w="3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26</w:t>
            </w:r>
          </w:p>
        </w:tc>
        <w:tc>
          <w:tcPr>
            <w:tcW w:w="320" w:type="dxa"/>
            <w:vAlign w:val="bottom"/>
            <w:tcBorders>
              <w:bottom w:val="single" w:sz="8" w:color="61656A"/>
            </w:tcBorders>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26</w:t>
            </w:r>
          </w:p>
        </w:tc>
        <w:tc>
          <w:tcPr>
            <w:tcW w:w="2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(319)</w:t>
            </w:r>
          </w:p>
        </w:tc>
        <w:tc>
          <w:tcPr>
            <w:tcW w:w="0" w:type="dxa"/>
            <w:vAlign w:val="bottom"/>
          </w:tcPr>
          <w:p>
            <w:pPr>
              <w:spacing w:after="0"/>
              <w:rPr>
                <w:sz w:val="1"/>
                <w:szCs w:val="1"/>
                <w:color w:val="auto"/>
              </w:rPr>
            </w:pPr>
          </w:p>
        </w:tc>
      </w:tr>
      <w:tr>
        <w:trPr>
          <w:trHeight w:val="196"/>
        </w:trPr>
        <w:tc>
          <w:tcPr>
            <w:tcW w:w="474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Cross currency swap agreements</w:t>
            </w:r>
          </w:p>
        </w:tc>
        <w:tc>
          <w:tcPr>
            <w:tcW w:w="1820" w:type="dxa"/>
            <w:vAlign w:val="bottom"/>
            <w:tcBorders>
              <w:bottom w:val="single" w:sz="8" w:color="D7282F"/>
            </w:tcBorders>
          </w:tcPr>
          <w:p>
            <w:pPr>
              <w:spacing w:after="0"/>
              <w:rPr>
                <w:sz w:val="17"/>
                <w:szCs w:val="17"/>
                <w:color w:val="auto"/>
              </w:rPr>
            </w:pPr>
          </w:p>
        </w:tc>
        <w:tc>
          <w:tcPr>
            <w:tcW w:w="9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4,264</w:t>
            </w:r>
          </w:p>
        </w:tc>
        <w:tc>
          <w:tcPr>
            <w:tcW w:w="300" w:type="dxa"/>
            <w:vAlign w:val="bottom"/>
            <w:tcBorders>
              <w:bottom w:val="single" w:sz="8" w:color="D7282F"/>
            </w:tcBorders>
          </w:tcPr>
          <w:p>
            <w:pPr>
              <w:spacing w:after="0"/>
              <w:rPr>
                <w:sz w:val="17"/>
                <w:szCs w:val="17"/>
                <w:color w:val="auto"/>
              </w:rPr>
            </w:pPr>
          </w:p>
        </w:tc>
        <w:tc>
          <w:tcPr>
            <w:tcW w:w="10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(145)</w:t>
            </w:r>
          </w:p>
        </w:tc>
        <w:tc>
          <w:tcPr>
            <w:tcW w:w="32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(145)</w:t>
            </w:r>
          </w:p>
        </w:tc>
        <w:tc>
          <w:tcPr>
            <w:tcW w:w="240" w:type="dxa"/>
            <w:vAlign w:val="bottom"/>
            <w:tcBorders>
              <w:bottom w:val="single" w:sz="8" w:color="D7282F"/>
            </w:tcBorders>
          </w:tcPr>
          <w:p>
            <w:pPr>
              <w:spacing w:after="0"/>
              <w:rPr>
                <w:sz w:val="17"/>
                <w:szCs w:val="17"/>
                <w:color w:val="auto"/>
              </w:rPr>
            </w:pPr>
          </w:p>
        </w:tc>
        <w:tc>
          <w:tcPr>
            <w:tcW w:w="9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(234)</w:t>
            </w:r>
          </w:p>
        </w:tc>
        <w:tc>
          <w:tcPr>
            <w:tcW w:w="0" w:type="dxa"/>
            <w:vAlign w:val="bottom"/>
          </w:tcPr>
          <w:p>
            <w:pPr>
              <w:spacing w:after="0"/>
              <w:rPr>
                <w:sz w:val="1"/>
                <w:szCs w:val="1"/>
                <w:color w:val="auto"/>
              </w:rPr>
            </w:pPr>
          </w:p>
        </w:tc>
      </w:tr>
      <w:tr>
        <w:trPr>
          <w:trHeight w:val="199"/>
        </w:trPr>
        <w:tc>
          <w:tcPr>
            <w:tcW w:w="474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w:t>
            </w:r>
          </w:p>
        </w:tc>
        <w:tc>
          <w:tcPr>
            <w:tcW w:w="18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13,174</w:t>
            </w:r>
          </w:p>
        </w:tc>
        <w:tc>
          <w:tcPr>
            <w:tcW w:w="3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(119)</w:t>
            </w:r>
          </w:p>
        </w:tc>
        <w:tc>
          <w:tcPr>
            <w:tcW w:w="32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(119)</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(553)</w:t>
            </w: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480" w:hanging="344"/>
        <w:spacing w:after="0"/>
        <w:tabs>
          <w:tab w:leader="none" w:pos="480" w:val="left"/>
        </w:tabs>
        <w:numPr>
          <w:ilvl w:val="0"/>
          <w:numId w:val="89"/>
        </w:numPr>
        <w:rPr>
          <w:rFonts w:ascii="Arial" w:cs="Arial" w:eastAsia="Arial" w:hAnsi="Arial"/>
          <w:sz w:val="13"/>
          <w:szCs w:val="13"/>
          <w:color w:val="auto"/>
        </w:rPr>
      </w:pPr>
      <w:r>
        <w:rPr>
          <w:rFonts w:ascii="Arial" w:cs="Arial" w:eastAsia="Arial" w:hAnsi="Arial"/>
          <w:sz w:val="13"/>
          <w:szCs w:val="13"/>
          <w:color w:val="auto"/>
        </w:rPr>
        <w:t>Asset or (liability).</w:t>
      </w:r>
    </w:p>
    <w:p>
      <w:pPr>
        <w:spacing w:after="0" w:line="67" w:lineRule="exact"/>
        <w:rPr>
          <w:sz w:val="20"/>
          <w:szCs w:val="20"/>
          <w:color w:val="auto"/>
        </w:rPr>
      </w:pPr>
    </w:p>
    <w:p>
      <w:pPr>
        <w:jc w:val="both"/>
        <w:ind w:left="480" w:right="20" w:hanging="344"/>
        <w:spacing w:after="0" w:line="181" w:lineRule="auto"/>
        <w:tabs>
          <w:tab w:leader="none" w:pos="480" w:val="left"/>
        </w:tabs>
        <w:numPr>
          <w:ilvl w:val="0"/>
          <w:numId w:val="90"/>
        </w:numPr>
        <w:rPr>
          <w:rFonts w:ascii="Arial" w:cs="Arial" w:eastAsia="Arial" w:hAnsi="Arial"/>
          <w:sz w:val="23"/>
          <w:szCs w:val="23"/>
          <w:color w:val="auto"/>
          <w:vertAlign w:val="superscript"/>
        </w:rPr>
      </w:pPr>
      <w:r>
        <w:rPr>
          <w:rFonts w:ascii="Arial" w:cs="Arial" w:eastAsia="Arial" w:hAnsi="Arial"/>
          <w:sz w:val="12"/>
          <w:szCs w:val="12"/>
          <w:color w:val="auto"/>
        </w:rPr>
        <w:t>A potential change in fair value of interest rate sensitive instruments based on a hypothetical immediate one percentage point decrease in interest rates across all maturities and a potential change in fair value of foreign exchange rate sensitive instruments based on a 10% strengthening of the U.S. dollar versus local currency exchange rates across all maturities will result in a change in fair value approximately equal to the inverse of the amount disclosed in the table.</w:t>
      </w:r>
    </w:p>
    <w:p>
      <w:pPr>
        <w:spacing w:after="0" w:line="132" w:lineRule="exact"/>
        <w:rPr>
          <w:sz w:val="20"/>
          <w:szCs w:val="20"/>
          <w:color w:val="auto"/>
        </w:rPr>
      </w:pPr>
    </w:p>
    <w:p>
      <w:pPr>
        <w:ind w:left="480" w:right="20" w:hanging="344"/>
        <w:spacing w:after="0"/>
        <w:tabs>
          <w:tab w:leader="none" w:pos="480" w:val="left"/>
        </w:tabs>
        <w:numPr>
          <w:ilvl w:val="0"/>
          <w:numId w:val="91"/>
        </w:numPr>
        <w:rPr>
          <w:rFonts w:ascii="Arial" w:cs="Arial" w:eastAsia="Arial" w:hAnsi="Arial"/>
          <w:sz w:val="22"/>
          <w:szCs w:val="22"/>
          <w:color w:val="auto"/>
          <w:vertAlign w:val="superscript"/>
        </w:rPr>
      </w:pPr>
      <w:r>
        <w:rPr>
          <w:rFonts w:ascii="Arial" w:cs="Arial" w:eastAsia="Arial" w:hAnsi="Arial"/>
          <w:sz w:val="11"/>
          <w:szCs w:val="11"/>
          <w:color w:val="auto"/>
        </w:rPr>
        <w:t>Changes in the fair value of foreign currency exchange contracts are offset by changes in the fair value, cash flows, or net investments of underlying hedged foreign currency transactions or foreign operations.</w:t>
      </w: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See Note 11 </w:t>
      </w:r>
      <w:r>
        <w:rPr>
          <w:rFonts w:ascii="Arial" w:cs="Arial" w:eastAsia="Arial" w:hAnsi="Arial"/>
          <w:sz w:val="16"/>
          <w:szCs w:val="16"/>
          <w:u w:val="single" w:color="auto"/>
          <w:color w:val="0000FF"/>
        </w:rPr>
        <w:t>Derivative Instruments and Hedging Transactions</w:t>
      </w:r>
      <w:r>
        <w:rPr>
          <w:rFonts w:ascii="Arial" w:cs="Arial" w:eastAsia="Arial" w:hAnsi="Arial"/>
          <w:sz w:val="16"/>
          <w:szCs w:val="16"/>
          <w:color w:val="auto"/>
        </w:rPr>
        <w:t xml:space="preserve"> of Notes to Consolidated Financial Statements for further discussion.</w:t>
      </w:r>
    </w:p>
    <w:p>
      <w:pPr>
        <w:sectPr>
          <w:pgSz w:w="11900" w:h="16838" w:orient="portrait"/>
          <w:cols w:equalWidth="0" w:num="1">
            <w:col w:w="11240"/>
          </w:cols>
          <w:pgMar w:left="320" w:top="270" w:right="339" w:bottom="1440" w:gutter="0" w:footer="0" w:header="0"/>
        </w:sectPr>
      </w:pPr>
    </w:p>
    <w:p>
      <w:pPr>
        <w:spacing w:after="0" w:line="200" w:lineRule="exact"/>
        <w:rPr>
          <w:sz w:val="20"/>
          <w:szCs w:val="20"/>
          <w:color w:val="auto"/>
        </w:rPr>
      </w:pPr>
    </w:p>
    <w:p>
      <w:pPr>
        <w:spacing w:after="0" w:line="252" w:lineRule="exact"/>
        <w:rPr>
          <w:sz w:val="20"/>
          <w:szCs w:val="20"/>
          <w:color w:val="auto"/>
        </w:rPr>
      </w:pPr>
    </w:p>
    <w:p>
      <w:pPr>
        <w:ind w:left="400" w:hanging="392"/>
        <w:spacing w:after="0"/>
        <w:tabs>
          <w:tab w:leader="none" w:pos="400" w:val="left"/>
        </w:tabs>
        <w:numPr>
          <w:ilvl w:val="0"/>
          <w:numId w:val="92"/>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type w:val="continuous"/>
        </w:sectPr>
      </w:pPr>
    </w:p>
    <w:bookmarkStart w:id="43" w:name="page44"/>
    <w:bookmarkEnd w:id="43"/>
    <w:p>
      <w:pPr>
        <w:ind w:left="20"/>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CRITICAL ACCOUNTING ESTIMATES</w:t>
      </w:r>
    </w:p>
    <w:p>
      <w:pPr>
        <w:spacing w:after="0" w:line="393"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The preparation of our consolidated financial statements in accordance with generally accepted accounting principles is based on the selection and application of accounting policies that require us to make significant estimates and assumptions about the effects of matters that are inherently uncertain. Many estimates and assumptions involved in the application of accounting principles have a material impact on reported financial condition and operating performance and on the comparability of such reported information over different reporting periods. Critical accounting estimates or assumptions are those where the nature of the estimates or assumptions is material due to the levels of subjectivity and judgment necessary to account for highly uncertain matters or the susceptibility of such matters to change, and the impact of the estimates and assumptions on financial condition or operating performance is material. We consider the estimates and assumptions discussed below to be critical to the understanding of our financial statements. Actual results could differ from our estimates and assumptions, and any such differences could be material to our consolidated financial statements.</w:t>
      </w:r>
    </w:p>
    <w:p>
      <w:pPr>
        <w:spacing w:after="0" w:line="84" w:lineRule="exact"/>
        <w:rPr>
          <w:sz w:val="20"/>
          <w:szCs w:val="20"/>
          <w:color w:val="auto"/>
        </w:rPr>
      </w:pPr>
    </w:p>
    <w:p>
      <w:pPr>
        <w:jc w:val="both"/>
        <w:spacing w:after="0" w:line="255" w:lineRule="auto"/>
        <w:rPr>
          <w:sz w:val="20"/>
          <w:szCs w:val="20"/>
          <w:color w:val="auto"/>
        </w:rPr>
      </w:pPr>
      <w:r>
        <w:rPr>
          <w:rFonts w:ascii="Arial" w:cs="Arial" w:eastAsia="Arial" w:hAnsi="Arial"/>
          <w:sz w:val="16"/>
          <w:szCs w:val="16"/>
          <w:b w:val="1"/>
          <w:bCs w:val="1"/>
          <w:i w:val="1"/>
          <w:iCs w:val="1"/>
          <w:color w:val="auto"/>
        </w:rPr>
        <w:t xml:space="preserve">Sales Recognition on Long-Term Contracts </w:t>
      </w:r>
      <w:r>
        <w:rPr>
          <w:rFonts w:ascii="Arial" w:cs="Arial" w:eastAsia="Arial" w:hAnsi="Arial"/>
          <w:sz w:val="16"/>
          <w:szCs w:val="16"/>
          <w:color w:val="auto"/>
        </w:rPr>
        <w:t>—We recognize sales for long-term contracts with performance obligations satisfied over time using either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input or output method. We recognize revenue over time as we perform on these contracts based on the continuous transfer of control to the customer. With control transferring over time, revenue is recognized based on the extent of progress towards completion of the performance obligation. We generally use the cost-to-cost input method of progress for our contracts because it best depicts the transfer of control to the customer that occurs as we incur costs. Under the cost-to-cost input method, the extent of progress towards completion is measured based on the proportion of costs incurred to date to the total estimated costs at completion of the performance obligation. Due to the nature of the work required to be performed on many of our performance obligations, the estimation of total revenue and cost at completion requires judgment. Contract revenues are largely determined by negotiated contract prices and quantities, modified by our assumptions regarding contract options, change orders, incentive and award provisions associated with technical performance and price adjustment clauses (such as inflation or index-based clauses). Cost estimates are largely based on negotiated or estimated purchase contract terms, historical performance trends, and other economic projections. Significant factors that influence these estimates include inflationary trends, technical and schedule risks, internal and subcontractor performance trends, business volume assumptions, asset utilization, and anticipated labor agreements. Revenue and cost estimates are regularly monitored and revised based on changes in circumstances. Impacts from changes in estimates of net sales and cost of sales are recognized on a cumulative catch-up basis, which recognizes in the current period the cumulative effect of the changes on current and prior periods based on a performance obligation’s percentage of completion. Anticipated losses on long-term contracts are recognized when such losses become evident. We maintain financial controls over the customer qualification, contract pricing, and estimation processes to reduce the risk of contract losses.</w:t>
      </w:r>
    </w:p>
    <w:p>
      <w:pPr>
        <w:spacing w:after="0" w:line="9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b w:val="1"/>
          <w:bCs w:val="1"/>
          <w:i w:val="1"/>
          <w:iCs w:val="1"/>
          <w:color w:val="auto"/>
        </w:rPr>
        <w:t>Income Taxes</w:t>
      </w:r>
      <w:r>
        <w:rPr>
          <w:rFonts w:ascii="Arial" w:cs="Arial" w:eastAsia="Arial" w:hAnsi="Arial"/>
          <w:sz w:val="16"/>
          <w:szCs w:val="16"/>
          <w:color w:val="auto"/>
        </w:rPr>
        <w:t>—On a recurring basis, we assess the need for a valuation allowance against our deferred tax assets by considering all available positive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negative evidence, such as past operating results, projections of future taxable income, enacted tax law changes, and the feasibility and impact of tax planning initiatives. Our projections of future taxable income include a number of estimates and assumptions regarding our volume, pricing and costs, as well as the timing and amount of reversals of taxable temporary differences.</w:t>
      </w:r>
    </w:p>
    <w:p>
      <w:pPr>
        <w:spacing w:after="0" w:line="65"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We recognize tax benefits from uncertain tax positions only if it is more likely than not that the tax position will be sustained on examination by the taxing authorities, including resolution of any related appeals and litigation. We assess our income tax positions based upon our evaluation of the facts, circumstances, and information available at the reporting date. The tax benefits recognized in the financial statements from such positions are then measured based on the largest benefit that has a greater than 50% likelihood of being realized upon ultimate settlement with a taxing authority that has full knowledge of all relevant information. For those income tax positions where it is not more likely than not that a tax benefit will be sustained, no tax benefit has been recognized in the financial statements.</w:t>
      </w:r>
    </w:p>
    <w:p>
      <w:pPr>
        <w:spacing w:after="0" w:line="82"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 xml:space="preserve">See Note 1 </w:t>
      </w:r>
      <w:r>
        <w:rPr>
          <w:rFonts w:ascii="Arial" w:cs="Arial" w:eastAsia="Arial" w:hAnsi="Arial"/>
          <w:sz w:val="16"/>
          <w:szCs w:val="16"/>
          <w:u w:val="single" w:color="auto"/>
          <w:color w:val="0000FF"/>
        </w:rPr>
        <w:t>Summary of Significant Accounting Policies</w:t>
      </w:r>
      <w:r>
        <w:rPr>
          <w:rFonts w:ascii="Arial" w:cs="Arial" w:eastAsia="Arial" w:hAnsi="Arial"/>
          <w:sz w:val="16"/>
          <w:szCs w:val="16"/>
          <w:color w:val="auto"/>
        </w:rPr>
        <w:t xml:space="preserve"> of Notes to Consolidated Financial Statements for further discussion of additional income tax policies.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00" w:hanging="392"/>
        <w:spacing w:after="0"/>
        <w:tabs>
          <w:tab w:leader="none" w:pos="400" w:val="left"/>
        </w:tabs>
        <w:numPr>
          <w:ilvl w:val="0"/>
          <w:numId w:val="93"/>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44" w:name="page45"/>
    <w:bookmarkEnd w:id="44"/>
    <w:p>
      <w:pPr>
        <w:ind w:left="20"/>
        <w:spacing w:after="0"/>
        <w:tabs>
          <w:tab w:leader="none" w:pos="898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CRITICAL ACCOUNTING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spacing w:after="0" w:line="261" w:lineRule="auto"/>
        <w:rPr>
          <w:sz w:val="20"/>
          <w:szCs w:val="20"/>
          <w:color w:val="auto"/>
        </w:rPr>
      </w:pPr>
      <w:r>
        <w:rPr>
          <w:rFonts w:ascii="Arial" w:cs="Arial" w:eastAsia="Arial" w:hAnsi="Arial"/>
          <w:sz w:val="16"/>
          <w:szCs w:val="16"/>
          <w:b w:val="1"/>
          <w:bCs w:val="1"/>
          <w:i w:val="1"/>
          <w:iCs w:val="1"/>
          <w:color w:val="auto"/>
        </w:rPr>
        <w:t>Goodwill and Indefinite-Lived Intangible Assets</w:t>
      </w:r>
      <w:r>
        <w:rPr>
          <w:rFonts w:ascii="Arial" w:cs="Arial" w:eastAsia="Arial" w:hAnsi="Arial"/>
          <w:sz w:val="16"/>
          <w:szCs w:val="16"/>
          <w:color w:val="auto"/>
        </w:rPr>
        <w:t>—The Company’s business combinations typically result in the recognition of goodwill and intangible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assets. The Company generally engages an independent third-party valuation specialist for assistance in the allocation of the purchase price and determination of the fair value of goodwill and intangible assets, which involves the use of accounting estimates and assumptions based on information available at or near the acquisition date. The Company believes the accounting estimates and assumptions are reasonable based on information available at the date of acquisition through historical experience and information obtained from management of the acquired entity; however, there is inherent uncertainty in the accounting estimates as assumptions are forward-looking and could be affected by future economic and market conditions.</w:t>
      </w:r>
    </w:p>
    <w:p>
      <w:pPr>
        <w:spacing w:after="0" w:line="68"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Goodwill and intangible assets deemed to have indefinite lives are not amortized, but are subject to annual, or more frequent, if necessary, impairment testing. In testing goodwill and indefinite-lived intangible assets, the fair value is estimated utilizing a discounted cash flow approach, including strategic and annual operating plans, adjusted for terminal value assumptions. These impairment tests involve the use of accounting estimates and assumptions, and changes to those assumptions could materially impact our financial condition or operating performance if actual results differ from such accounting estimates and assumptions. To address this uncertainty, we perform sensitivity analyses on key accounting estimates and assumptions. Once the fair value is determined, if the carrying amount exceeds the fair value, it is impaired. Any impairment is measured as the difference between the carrying amount and its fair value.</w:t>
      </w:r>
    </w:p>
    <w:p>
      <w:pPr>
        <w:spacing w:after="0" w:line="26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b w:val="1"/>
          <w:bCs w:val="1"/>
          <w:i w:val="1"/>
          <w:iCs w:val="1"/>
          <w:color w:val="auto"/>
        </w:rPr>
        <w:t>Definite-Lived Intangible Assets</w:t>
      </w:r>
      <w:r>
        <w:rPr>
          <w:rFonts w:ascii="Arial" w:cs="Arial" w:eastAsia="Arial" w:hAnsi="Arial"/>
          <w:sz w:val="16"/>
          <w:szCs w:val="16"/>
          <w:color w:val="auto"/>
        </w:rPr>
        <w:t>—The Company’s business combinations typically result in the recognition of customer relationships, patents,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trademarks, in addition to other definite-lived intangible assets. The determination of fair value for definite-lived intangible assets, useful lives for amortization purposes and whether or not intangible assets are impaired involves the use of accounting estimates and assumptions. The assumptions used in developing the accounting estimates may include business growth rates, sales volume, selling prices and costs, cash flows, and the discount rate selected. Changes to those assumptions could materially impact our financial condition or operating performance if actual results differ from such estimates and assumptions.</w:t>
      </w:r>
    </w:p>
    <w:p>
      <w:pPr>
        <w:spacing w:after="0" w:line="6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evaluate the recoverability of the carrying amount of our definite-lived intangible assets whenever events or changes in circumstances indicate that the carrying amount of a definite-lived intangible asset group may not be fully recoverable. The principal factors in considering when to perform an impairment review are as follows:</w:t>
      </w:r>
    </w:p>
    <w:p>
      <w:pPr>
        <w:spacing w:after="0" w:line="56" w:lineRule="exact"/>
        <w:rPr>
          <w:sz w:val="20"/>
          <w:szCs w:val="20"/>
          <w:color w:val="auto"/>
        </w:rPr>
      </w:pPr>
    </w:p>
    <w:p>
      <w:pPr>
        <w:ind w:left="200" w:hanging="192"/>
        <w:spacing w:after="0"/>
        <w:tabs>
          <w:tab w:leader="none" w:pos="200" w:val="left"/>
        </w:tabs>
        <w:numPr>
          <w:ilvl w:val="0"/>
          <w:numId w:val="94"/>
        </w:numPr>
        <w:rPr>
          <w:rFonts w:ascii="Arial" w:cs="Arial" w:eastAsia="Arial" w:hAnsi="Arial"/>
          <w:sz w:val="16"/>
          <w:szCs w:val="16"/>
          <w:color w:val="D7282F"/>
        </w:rPr>
      </w:pPr>
      <w:r>
        <w:rPr>
          <w:rFonts w:ascii="Arial" w:cs="Arial" w:eastAsia="Arial" w:hAnsi="Arial"/>
          <w:sz w:val="16"/>
          <w:szCs w:val="16"/>
          <w:color w:val="auto"/>
        </w:rPr>
        <w:t>Significant under-performance (i.e., declines in sales, earnings, or cash flows) of a business or product line in relation to expectations;</w:t>
      </w:r>
    </w:p>
    <w:p>
      <w:pPr>
        <w:spacing w:after="0" w:line="86" w:lineRule="exact"/>
        <w:rPr>
          <w:rFonts w:ascii="Arial" w:cs="Arial" w:eastAsia="Arial" w:hAnsi="Arial"/>
          <w:sz w:val="16"/>
          <w:szCs w:val="16"/>
          <w:color w:val="D7282F"/>
        </w:rPr>
      </w:pPr>
    </w:p>
    <w:p>
      <w:pPr>
        <w:ind w:left="200" w:hanging="192"/>
        <w:spacing w:after="0"/>
        <w:tabs>
          <w:tab w:leader="none" w:pos="200" w:val="left"/>
        </w:tabs>
        <w:numPr>
          <w:ilvl w:val="0"/>
          <w:numId w:val="94"/>
        </w:numPr>
        <w:rPr>
          <w:rFonts w:ascii="Arial" w:cs="Arial" w:eastAsia="Arial" w:hAnsi="Arial"/>
          <w:sz w:val="16"/>
          <w:szCs w:val="16"/>
          <w:color w:val="D7282F"/>
        </w:rPr>
      </w:pPr>
      <w:r>
        <w:rPr>
          <w:rFonts w:ascii="Arial" w:cs="Arial" w:eastAsia="Arial" w:hAnsi="Arial"/>
          <w:sz w:val="16"/>
          <w:szCs w:val="16"/>
          <w:color w:val="auto"/>
        </w:rPr>
        <w:t>Annual operating plans or strategic plan outlook that indicates an unfavorable trend in operating performance of a business or product line;</w:t>
      </w:r>
    </w:p>
    <w:p>
      <w:pPr>
        <w:spacing w:after="0" w:line="86" w:lineRule="exact"/>
        <w:rPr>
          <w:rFonts w:ascii="Arial" w:cs="Arial" w:eastAsia="Arial" w:hAnsi="Arial"/>
          <w:sz w:val="16"/>
          <w:szCs w:val="16"/>
          <w:color w:val="D7282F"/>
        </w:rPr>
      </w:pPr>
    </w:p>
    <w:p>
      <w:pPr>
        <w:ind w:left="200" w:hanging="192"/>
        <w:spacing w:after="0"/>
        <w:tabs>
          <w:tab w:leader="none" w:pos="200" w:val="left"/>
        </w:tabs>
        <w:numPr>
          <w:ilvl w:val="0"/>
          <w:numId w:val="94"/>
        </w:numPr>
        <w:rPr>
          <w:rFonts w:ascii="Arial" w:cs="Arial" w:eastAsia="Arial" w:hAnsi="Arial"/>
          <w:sz w:val="16"/>
          <w:szCs w:val="16"/>
          <w:color w:val="D7282F"/>
        </w:rPr>
      </w:pPr>
      <w:r>
        <w:rPr>
          <w:rFonts w:ascii="Arial" w:cs="Arial" w:eastAsia="Arial" w:hAnsi="Arial"/>
          <w:sz w:val="16"/>
          <w:szCs w:val="16"/>
          <w:color w:val="auto"/>
        </w:rPr>
        <w:t>Significant negative industry or economic trends; or</w:t>
      </w:r>
    </w:p>
    <w:p>
      <w:pPr>
        <w:spacing w:after="0" w:line="72" w:lineRule="exact"/>
        <w:rPr>
          <w:rFonts w:ascii="Arial" w:cs="Arial" w:eastAsia="Arial" w:hAnsi="Arial"/>
          <w:sz w:val="16"/>
          <w:szCs w:val="16"/>
          <w:color w:val="D7282F"/>
        </w:rPr>
      </w:pPr>
    </w:p>
    <w:p>
      <w:pPr>
        <w:ind w:left="200" w:hanging="192"/>
        <w:spacing w:after="0"/>
        <w:tabs>
          <w:tab w:leader="none" w:pos="200" w:val="left"/>
        </w:tabs>
        <w:numPr>
          <w:ilvl w:val="0"/>
          <w:numId w:val="94"/>
        </w:numPr>
        <w:rPr>
          <w:rFonts w:ascii="Arial" w:cs="Arial" w:eastAsia="Arial" w:hAnsi="Arial"/>
          <w:sz w:val="16"/>
          <w:szCs w:val="16"/>
          <w:color w:val="D7282F"/>
        </w:rPr>
      </w:pPr>
      <w:r>
        <w:rPr>
          <w:rFonts w:ascii="Arial" w:cs="Arial" w:eastAsia="Arial" w:hAnsi="Arial"/>
          <w:sz w:val="16"/>
          <w:szCs w:val="16"/>
          <w:color w:val="auto"/>
        </w:rPr>
        <w:t>Significant changes or planned changes in our use of the assets.</w:t>
      </w:r>
    </w:p>
    <w:p>
      <w:pPr>
        <w:spacing w:after="0" w:line="12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Once it is determined that an impairment review is necessary, recoverability of assets is measured by comparing the carrying amount of the asset group to the estimated future undiscounted cash flows. If the carrying amount exceeds the estimated future undiscounted cash flows, impairment is then measured as the excess, if any, of the carrying amount of the asset group over its fair value.</w:t>
      </w:r>
    </w:p>
    <w:p>
      <w:pPr>
        <w:spacing w:after="0" w:line="5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fair value estimates are subject to changes in the economic environment, including market interest rates and expected volatility. Management believes the estimates of future cash flows and fair values are reasonable; however, changes in estimates due to variances from assumptions could materially affect the valuations.</w:t>
      </w:r>
    </w:p>
    <w:p>
      <w:pPr>
        <w:spacing w:after="0" w:line="5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b w:val="1"/>
          <w:bCs w:val="1"/>
          <w:i w:val="1"/>
          <w:iCs w:val="1"/>
          <w:color w:val="auto"/>
        </w:rPr>
        <w:t>Defined Benefit Pension Plans</w:t>
      </w:r>
      <w:r>
        <w:rPr>
          <w:rFonts w:ascii="Arial" w:cs="Arial" w:eastAsia="Arial" w:hAnsi="Arial"/>
          <w:sz w:val="16"/>
          <w:szCs w:val="16"/>
          <w:color w:val="auto"/>
        </w:rPr>
        <w:t>—We sponsor both funded and unfunded U.S. and non-U.S. defined benefit pension plans. For financial reporting purposes,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net periodic pension (income) expense is calculated annually based upon various actuarial assumptions, including a discount rate for plan obligations and an expected long-term rate of return on plan assets. Changes in the discount rate and expected long-term rate of return on plan assets could materially affect the annual pension (income) expense amount. Annual pension (income) expense is comprised of service and interest cost, assumed return on plan assets, prior service amortization (Pension ongoing (income) expense), and a potential mark-to-market adjustment (MTM Adjustment).</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The key assumptions used in developing our net periodic pension (income) expense for our U.S. plans included the following: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120" w:type="dxa"/>
            <w:vAlign w:val="bottom"/>
            <w:tcBorders>
              <w:bottom w:val="single" w:sz="8" w:color="D7282F"/>
            </w:tcBorders>
          </w:tcPr>
          <w:p>
            <w:pPr>
              <w:spacing w:after="0"/>
              <w:rPr>
                <w:sz w:val="17"/>
                <w:szCs w:val="17"/>
                <w:color w:val="auto"/>
              </w:rPr>
            </w:pPr>
          </w:p>
        </w:tc>
        <w:tc>
          <w:tcPr>
            <w:tcW w:w="3140" w:type="dxa"/>
            <w:vAlign w:val="bottom"/>
            <w:tcBorders>
              <w:bottom w:val="single" w:sz="8" w:color="D7282F"/>
            </w:tcBorders>
          </w:tcPr>
          <w:p>
            <w:pPr>
              <w:jc w:val="right"/>
              <w:ind w:right="448"/>
              <w:spacing w:after="0"/>
              <w:rPr>
                <w:sz w:val="20"/>
                <w:szCs w:val="20"/>
                <w:color w:val="auto"/>
              </w:rPr>
            </w:pPr>
            <w:r>
              <w:rPr>
                <w:rFonts w:ascii="Arial" w:cs="Arial" w:eastAsia="Arial" w:hAnsi="Arial"/>
                <w:sz w:val="14"/>
                <w:szCs w:val="14"/>
                <w:b w:val="1"/>
                <w:bCs w:val="1"/>
                <w:color w:val="auto"/>
              </w:rPr>
              <w:t>2024</w:t>
            </w:r>
          </w:p>
        </w:tc>
        <w:tc>
          <w:tcPr>
            <w:tcW w:w="1100" w:type="dxa"/>
            <w:vAlign w:val="bottom"/>
            <w:tcBorders>
              <w:bottom w:val="single" w:sz="8" w:color="D7282F"/>
            </w:tcBorders>
          </w:tcPr>
          <w:p>
            <w:pPr>
              <w:jc w:val="right"/>
              <w:ind w:right="448"/>
              <w:spacing w:after="0"/>
              <w:rPr>
                <w:sz w:val="20"/>
                <w:szCs w:val="20"/>
                <w:color w:val="auto"/>
              </w:rPr>
            </w:pPr>
            <w:r>
              <w:rPr>
                <w:rFonts w:ascii="Arial" w:cs="Arial" w:eastAsia="Arial" w:hAnsi="Arial"/>
                <w:sz w:val="14"/>
                <w:szCs w:val="14"/>
                <w:b w:val="1"/>
                <w:bCs w:val="1"/>
                <w:color w:val="auto"/>
              </w:rPr>
              <w:t>2023</w:t>
            </w:r>
          </w:p>
        </w:tc>
        <w:tc>
          <w:tcPr>
            <w:tcW w:w="88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2022</w:t>
            </w:r>
          </w:p>
        </w:tc>
      </w:tr>
      <w:tr>
        <w:trPr>
          <w:trHeight w:val="193"/>
        </w:trPr>
        <w:tc>
          <w:tcPr>
            <w:tcW w:w="612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Discount rate</w:t>
            </w:r>
          </w:p>
        </w:tc>
        <w:tc>
          <w:tcPr>
            <w:tcW w:w="3140" w:type="dxa"/>
            <w:vAlign w:val="bottom"/>
            <w:tcBorders>
              <w:bottom w:val="single" w:sz="8" w:color="61656A"/>
            </w:tcBorders>
          </w:tcPr>
          <w:p>
            <w:pPr>
              <w:spacing w:after="0"/>
              <w:rPr>
                <w:sz w:val="16"/>
                <w:szCs w:val="16"/>
                <w:color w:val="auto"/>
              </w:rPr>
            </w:pPr>
          </w:p>
        </w:tc>
        <w:tc>
          <w:tcPr>
            <w:tcW w:w="1100" w:type="dxa"/>
            <w:vAlign w:val="bottom"/>
            <w:tcBorders>
              <w:bottom w:val="single" w:sz="8" w:color="61656A"/>
            </w:tcBorders>
          </w:tcPr>
          <w:p>
            <w:pPr>
              <w:spacing w:after="0"/>
              <w:rPr>
                <w:sz w:val="16"/>
                <w:szCs w:val="16"/>
                <w:color w:val="auto"/>
              </w:rPr>
            </w:pPr>
          </w:p>
        </w:tc>
        <w:tc>
          <w:tcPr>
            <w:tcW w:w="880" w:type="dxa"/>
            <w:vAlign w:val="bottom"/>
            <w:tcBorders>
              <w:bottom w:val="single" w:sz="8" w:color="61656A"/>
            </w:tcBorders>
          </w:tcPr>
          <w:p>
            <w:pPr>
              <w:spacing w:after="0"/>
              <w:rPr>
                <w:sz w:val="16"/>
                <w:szCs w:val="16"/>
                <w:color w:val="auto"/>
              </w:rPr>
            </w:pPr>
          </w:p>
        </w:tc>
      </w:tr>
      <w:tr>
        <w:trPr>
          <w:trHeight w:val="196"/>
        </w:trPr>
        <w:tc>
          <w:tcPr>
            <w:tcW w:w="612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Projected benefit obligation</w:t>
            </w:r>
          </w:p>
        </w:tc>
        <w:tc>
          <w:tcPr>
            <w:tcW w:w="3140" w:type="dxa"/>
            <w:vAlign w:val="bottom"/>
            <w:tcBorders>
              <w:bottom w:val="single" w:sz="8" w:color="61656A"/>
            </w:tcBorders>
          </w:tcPr>
          <w:p>
            <w:pPr>
              <w:jc w:val="right"/>
              <w:ind w:right="188"/>
              <w:spacing w:after="0"/>
              <w:rPr>
                <w:sz w:val="20"/>
                <w:szCs w:val="20"/>
                <w:color w:val="auto"/>
              </w:rPr>
            </w:pPr>
            <w:r>
              <w:rPr>
                <w:rFonts w:ascii="Arial" w:cs="Arial" w:eastAsia="Arial" w:hAnsi="Arial"/>
                <w:sz w:val="14"/>
                <w:szCs w:val="14"/>
                <w:color w:val="auto"/>
              </w:rPr>
              <w:t>4.97 %</w:t>
            </w:r>
          </w:p>
        </w:tc>
        <w:tc>
          <w:tcPr>
            <w:tcW w:w="1100" w:type="dxa"/>
            <w:vAlign w:val="bottom"/>
            <w:tcBorders>
              <w:bottom w:val="single" w:sz="8" w:color="61656A"/>
            </w:tcBorders>
          </w:tcPr>
          <w:p>
            <w:pPr>
              <w:jc w:val="right"/>
              <w:ind w:right="188"/>
              <w:spacing w:after="0"/>
              <w:rPr>
                <w:sz w:val="20"/>
                <w:szCs w:val="20"/>
                <w:color w:val="auto"/>
              </w:rPr>
            </w:pPr>
            <w:r>
              <w:rPr>
                <w:rFonts w:ascii="Arial" w:cs="Arial" w:eastAsia="Arial" w:hAnsi="Arial"/>
                <w:sz w:val="14"/>
                <w:szCs w:val="14"/>
                <w:color w:val="auto"/>
              </w:rPr>
              <w:t>5.17 %</w:t>
            </w:r>
          </w:p>
        </w:tc>
        <w:tc>
          <w:tcPr>
            <w:tcW w:w="8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2.87 %</w:t>
            </w:r>
          </w:p>
        </w:tc>
      </w:tr>
      <w:tr>
        <w:trPr>
          <w:trHeight w:val="196"/>
        </w:trPr>
        <w:tc>
          <w:tcPr>
            <w:tcW w:w="612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Service cost</w:t>
            </w:r>
          </w:p>
        </w:tc>
        <w:tc>
          <w:tcPr>
            <w:tcW w:w="3140" w:type="dxa"/>
            <w:vAlign w:val="bottom"/>
            <w:tcBorders>
              <w:bottom w:val="single" w:sz="8" w:color="61656A"/>
            </w:tcBorders>
          </w:tcPr>
          <w:p>
            <w:pPr>
              <w:jc w:val="right"/>
              <w:ind w:right="188"/>
              <w:spacing w:after="0"/>
              <w:rPr>
                <w:sz w:val="20"/>
                <w:szCs w:val="20"/>
                <w:color w:val="auto"/>
              </w:rPr>
            </w:pPr>
            <w:r>
              <w:rPr>
                <w:rFonts w:ascii="Arial" w:cs="Arial" w:eastAsia="Arial" w:hAnsi="Arial"/>
                <w:sz w:val="14"/>
                <w:szCs w:val="14"/>
                <w:color w:val="auto"/>
              </w:rPr>
              <w:t>5.06 %</w:t>
            </w:r>
          </w:p>
        </w:tc>
        <w:tc>
          <w:tcPr>
            <w:tcW w:w="1100" w:type="dxa"/>
            <w:vAlign w:val="bottom"/>
            <w:tcBorders>
              <w:bottom w:val="single" w:sz="8" w:color="61656A"/>
            </w:tcBorders>
          </w:tcPr>
          <w:p>
            <w:pPr>
              <w:jc w:val="right"/>
              <w:ind w:right="188"/>
              <w:spacing w:after="0"/>
              <w:rPr>
                <w:sz w:val="20"/>
                <w:szCs w:val="20"/>
                <w:color w:val="auto"/>
              </w:rPr>
            </w:pPr>
            <w:r>
              <w:rPr>
                <w:rFonts w:ascii="Arial" w:cs="Arial" w:eastAsia="Arial" w:hAnsi="Arial"/>
                <w:sz w:val="14"/>
                <w:szCs w:val="14"/>
                <w:color w:val="auto"/>
              </w:rPr>
              <w:t>5.26 %</w:t>
            </w:r>
          </w:p>
        </w:tc>
        <w:tc>
          <w:tcPr>
            <w:tcW w:w="8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2.98 %</w:t>
            </w:r>
          </w:p>
        </w:tc>
      </w:tr>
      <w:tr>
        <w:trPr>
          <w:trHeight w:val="196"/>
        </w:trPr>
        <w:tc>
          <w:tcPr>
            <w:tcW w:w="612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Interest cost</w:t>
            </w:r>
          </w:p>
        </w:tc>
        <w:tc>
          <w:tcPr>
            <w:tcW w:w="3140" w:type="dxa"/>
            <w:vAlign w:val="bottom"/>
            <w:tcBorders>
              <w:bottom w:val="single" w:sz="8" w:color="61656A"/>
            </w:tcBorders>
          </w:tcPr>
          <w:p>
            <w:pPr>
              <w:jc w:val="right"/>
              <w:ind w:right="188"/>
              <w:spacing w:after="0"/>
              <w:rPr>
                <w:sz w:val="20"/>
                <w:szCs w:val="20"/>
                <w:color w:val="auto"/>
              </w:rPr>
            </w:pPr>
            <w:r>
              <w:rPr>
                <w:rFonts w:ascii="Arial" w:cs="Arial" w:eastAsia="Arial" w:hAnsi="Arial"/>
                <w:sz w:val="14"/>
                <w:szCs w:val="14"/>
                <w:color w:val="auto"/>
              </w:rPr>
              <w:t>4.89 %</w:t>
            </w:r>
          </w:p>
        </w:tc>
        <w:tc>
          <w:tcPr>
            <w:tcW w:w="1100" w:type="dxa"/>
            <w:vAlign w:val="bottom"/>
            <w:tcBorders>
              <w:bottom w:val="single" w:sz="8" w:color="61656A"/>
            </w:tcBorders>
          </w:tcPr>
          <w:p>
            <w:pPr>
              <w:jc w:val="right"/>
              <w:ind w:right="188"/>
              <w:spacing w:after="0"/>
              <w:rPr>
                <w:sz w:val="20"/>
                <w:szCs w:val="20"/>
                <w:color w:val="auto"/>
              </w:rPr>
            </w:pPr>
            <w:r>
              <w:rPr>
                <w:rFonts w:ascii="Arial" w:cs="Arial" w:eastAsia="Arial" w:hAnsi="Arial"/>
                <w:sz w:val="14"/>
                <w:szCs w:val="14"/>
                <w:color w:val="auto"/>
              </w:rPr>
              <w:t>5.07 %</w:t>
            </w:r>
          </w:p>
        </w:tc>
        <w:tc>
          <w:tcPr>
            <w:tcW w:w="8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2.26 %</w:t>
            </w:r>
          </w:p>
        </w:tc>
      </w:tr>
      <w:tr>
        <w:trPr>
          <w:trHeight w:val="196"/>
        </w:trPr>
        <w:tc>
          <w:tcPr>
            <w:tcW w:w="612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Assets</w:t>
            </w:r>
          </w:p>
        </w:tc>
        <w:tc>
          <w:tcPr>
            <w:tcW w:w="3140" w:type="dxa"/>
            <w:vAlign w:val="bottom"/>
            <w:tcBorders>
              <w:bottom w:val="single" w:sz="8" w:color="61656A"/>
            </w:tcBorders>
          </w:tcPr>
          <w:p>
            <w:pPr>
              <w:spacing w:after="0"/>
              <w:rPr>
                <w:sz w:val="17"/>
                <w:szCs w:val="17"/>
                <w:color w:val="auto"/>
              </w:rPr>
            </w:pPr>
          </w:p>
        </w:tc>
        <w:tc>
          <w:tcPr>
            <w:tcW w:w="1100" w:type="dxa"/>
            <w:vAlign w:val="bottom"/>
            <w:tcBorders>
              <w:bottom w:val="single" w:sz="8" w:color="61656A"/>
            </w:tcBorders>
          </w:tcPr>
          <w:p>
            <w:pPr>
              <w:spacing w:after="0"/>
              <w:rPr>
                <w:sz w:val="17"/>
                <w:szCs w:val="17"/>
                <w:color w:val="auto"/>
              </w:rPr>
            </w:pPr>
          </w:p>
        </w:tc>
        <w:tc>
          <w:tcPr>
            <w:tcW w:w="880" w:type="dxa"/>
            <w:vAlign w:val="bottom"/>
            <w:tcBorders>
              <w:bottom w:val="single" w:sz="8" w:color="61656A"/>
            </w:tcBorders>
          </w:tcPr>
          <w:p>
            <w:pPr>
              <w:spacing w:after="0"/>
              <w:rPr>
                <w:sz w:val="17"/>
                <w:szCs w:val="17"/>
                <w:color w:val="auto"/>
              </w:rPr>
            </w:pPr>
          </w:p>
        </w:tc>
      </w:tr>
      <w:tr>
        <w:trPr>
          <w:trHeight w:val="196"/>
        </w:trPr>
        <w:tc>
          <w:tcPr>
            <w:tcW w:w="612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Expected rate of return</w:t>
            </w:r>
          </w:p>
        </w:tc>
        <w:tc>
          <w:tcPr>
            <w:tcW w:w="3140" w:type="dxa"/>
            <w:vAlign w:val="bottom"/>
            <w:tcBorders>
              <w:bottom w:val="single" w:sz="8" w:color="61656A"/>
            </w:tcBorders>
          </w:tcPr>
          <w:p>
            <w:pPr>
              <w:jc w:val="right"/>
              <w:ind w:right="188"/>
              <w:spacing w:after="0"/>
              <w:rPr>
                <w:sz w:val="20"/>
                <w:szCs w:val="20"/>
                <w:color w:val="auto"/>
              </w:rPr>
            </w:pPr>
            <w:r>
              <w:rPr>
                <w:rFonts w:ascii="Arial" w:cs="Arial" w:eastAsia="Arial" w:hAnsi="Arial"/>
                <w:sz w:val="14"/>
                <w:szCs w:val="14"/>
                <w:color w:val="auto"/>
              </w:rPr>
              <w:t>7.00 %</w:t>
            </w:r>
          </w:p>
        </w:tc>
        <w:tc>
          <w:tcPr>
            <w:tcW w:w="1100" w:type="dxa"/>
            <w:vAlign w:val="bottom"/>
            <w:tcBorders>
              <w:bottom w:val="single" w:sz="8" w:color="61656A"/>
            </w:tcBorders>
          </w:tcPr>
          <w:p>
            <w:pPr>
              <w:jc w:val="right"/>
              <w:ind w:right="188"/>
              <w:spacing w:after="0"/>
              <w:rPr>
                <w:sz w:val="20"/>
                <w:szCs w:val="20"/>
                <w:color w:val="auto"/>
              </w:rPr>
            </w:pPr>
            <w:r>
              <w:rPr>
                <w:rFonts w:ascii="Arial" w:cs="Arial" w:eastAsia="Arial" w:hAnsi="Arial"/>
                <w:sz w:val="14"/>
                <w:szCs w:val="14"/>
                <w:color w:val="auto"/>
              </w:rPr>
              <w:t>6.75 %</w:t>
            </w:r>
          </w:p>
        </w:tc>
        <w:tc>
          <w:tcPr>
            <w:tcW w:w="8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6.40 %</w:t>
            </w:r>
          </w:p>
        </w:tc>
      </w:tr>
      <w:tr>
        <w:trPr>
          <w:trHeight w:val="196"/>
        </w:trPr>
        <w:tc>
          <w:tcPr>
            <w:tcW w:w="612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Actual rate of return</w:t>
            </w:r>
          </w:p>
        </w:tc>
        <w:tc>
          <w:tcPr>
            <w:tcW w:w="3140" w:type="dxa"/>
            <w:vAlign w:val="bottom"/>
            <w:tcBorders>
              <w:bottom w:val="single" w:sz="8" w:color="61656A"/>
            </w:tcBorders>
          </w:tcPr>
          <w:p>
            <w:pPr>
              <w:jc w:val="right"/>
              <w:ind w:right="188"/>
              <w:spacing w:after="0"/>
              <w:rPr>
                <w:sz w:val="20"/>
                <w:szCs w:val="20"/>
                <w:color w:val="auto"/>
              </w:rPr>
            </w:pPr>
            <w:r>
              <w:rPr>
                <w:rFonts w:ascii="Arial" w:cs="Arial" w:eastAsia="Arial" w:hAnsi="Arial"/>
                <w:sz w:val="14"/>
                <w:szCs w:val="14"/>
                <w:color w:val="auto"/>
              </w:rPr>
              <w:t>6.52 %</w:t>
            </w:r>
          </w:p>
        </w:tc>
        <w:tc>
          <w:tcPr>
            <w:tcW w:w="1100" w:type="dxa"/>
            <w:vAlign w:val="bottom"/>
            <w:tcBorders>
              <w:bottom w:val="single" w:sz="8" w:color="61656A"/>
            </w:tcBorders>
          </w:tcPr>
          <w:p>
            <w:pPr>
              <w:jc w:val="right"/>
              <w:ind w:right="188"/>
              <w:spacing w:after="0"/>
              <w:rPr>
                <w:sz w:val="20"/>
                <w:szCs w:val="20"/>
                <w:color w:val="auto"/>
              </w:rPr>
            </w:pPr>
            <w:r>
              <w:rPr>
                <w:rFonts w:ascii="Arial" w:cs="Arial" w:eastAsia="Arial" w:hAnsi="Arial"/>
                <w:sz w:val="14"/>
                <w:szCs w:val="14"/>
                <w:color w:val="auto"/>
              </w:rPr>
              <w:t>7.09 %</w:t>
            </w:r>
          </w:p>
        </w:tc>
        <w:tc>
          <w:tcPr>
            <w:tcW w:w="8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(10.45)%</w:t>
            </w:r>
          </w:p>
        </w:tc>
      </w:tr>
      <w:tr>
        <w:trPr>
          <w:trHeight w:val="196"/>
        </w:trPr>
        <w:tc>
          <w:tcPr>
            <w:tcW w:w="612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Actual 10-year average annual compounded rate of return</w:t>
            </w:r>
          </w:p>
        </w:tc>
        <w:tc>
          <w:tcPr>
            <w:tcW w:w="3140" w:type="dxa"/>
            <w:vAlign w:val="bottom"/>
            <w:tcBorders>
              <w:bottom w:val="single" w:sz="8" w:color="D7282F"/>
            </w:tcBorders>
          </w:tcPr>
          <w:p>
            <w:pPr>
              <w:jc w:val="right"/>
              <w:ind w:right="188"/>
              <w:spacing w:after="0"/>
              <w:rPr>
                <w:sz w:val="20"/>
                <w:szCs w:val="20"/>
                <w:color w:val="auto"/>
              </w:rPr>
            </w:pPr>
            <w:r>
              <w:rPr>
                <w:rFonts w:ascii="Arial" w:cs="Arial" w:eastAsia="Arial" w:hAnsi="Arial"/>
                <w:sz w:val="14"/>
                <w:szCs w:val="14"/>
                <w:color w:val="auto"/>
              </w:rPr>
              <w:t>7.09 %</w:t>
            </w:r>
          </w:p>
        </w:tc>
        <w:tc>
          <w:tcPr>
            <w:tcW w:w="1100" w:type="dxa"/>
            <w:vAlign w:val="bottom"/>
            <w:tcBorders>
              <w:bottom w:val="single" w:sz="8" w:color="D7282F"/>
            </w:tcBorders>
          </w:tcPr>
          <w:p>
            <w:pPr>
              <w:jc w:val="right"/>
              <w:ind w:right="188"/>
              <w:spacing w:after="0"/>
              <w:rPr>
                <w:sz w:val="20"/>
                <w:szCs w:val="20"/>
                <w:color w:val="auto"/>
              </w:rPr>
            </w:pPr>
            <w:r>
              <w:rPr>
                <w:rFonts w:ascii="Arial" w:cs="Arial" w:eastAsia="Arial" w:hAnsi="Arial"/>
                <w:sz w:val="14"/>
                <w:szCs w:val="14"/>
                <w:color w:val="auto"/>
              </w:rPr>
              <w:t>7.26 %</w:t>
            </w:r>
          </w:p>
        </w:tc>
        <w:tc>
          <w:tcPr>
            <w:tcW w:w="8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8.77 %</w:t>
            </w:r>
          </w:p>
        </w:tc>
      </w:tr>
    </w:tbl>
    <w:p>
      <w:pPr>
        <w:spacing w:after="0" w:line="200" w:lineRule="exact"/>
        <w:rPr>
          <w:sz w:val="20"/>
          <w:szCs w:val="20"/>
          <w:color w:val="auto"/>
        </w:rPr>
      </w:pPr>
    </w:p>
    <w:p>
      <w:pPr>
        <w:spacing w:after="0" w:line="30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D7282F"/>
        </w:rPr>
        <w:t>43</w:t>
      </w:r>
      <w:r>
        <w:rPr>
          <w:sz w:val="20"/>
          <w:szCs w:val="20"/>
          <w:color w:val="auto"/>
        </w:rPr>
        <w:tab/>
      </w: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45" w:name="page46"/>
    <w:bookmarkEnd w:id="45"/>
    <w:p>
      <w:pPr>
        <w:ind w:left="20"/>
        <w:spacing w:after="0"/>
        <w:tabs>
          <w:tab w:leader="none" w:pos="898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CRITICAL ACCOUNTING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MTM Adjustment represents the recognition of net actuarial gains or losses in excess of 10% of the greater of the fair value of plan assets or the plans’ projected benefit obligation (the corridor). Net actuarial gains or losses occur when the actual experience differs from any of the various assumptions used to value our pension plans or when assumptions change. The primary factors contributing to actuarial gains or losses are changes in the discount rate used to value pension obligations as of the measurement date each year and the difference between expected and actual returns on plan assets. The mark-to-market accounting method results in the potential for volatile and difficult to forecast MTM Adjustments. These adjustments resulted in expenses of $126 million, $153 million, and $523 million for the years ended December 31, 2024, 2023, and 2022, respectively.</w:t>
      </w:r>
    </w:p>
    <w:p>
      <w:pPr>
        <w:spacing w:after="0" w:line="68"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 xml:space="preserve">We determine the expected long-term rate of return on plan assets utilizing historical plan asset returns over varying long-term periods combined with our expectations of future market conditions and asset mix considerations (see Note 20 </w:t>
      </w:r>
      <w:r>
        <w:rPr>
          <w:rFonts w:ascii="Arial" w:cs="Arial" w:eastAsia="Arial" w:hAnsi="Arial"/>
          <w:sz w:val="16"/>
          <w:szCs w:val="16"/>
          <w:u w:val="single" w:color="auto"/>
          <w:color w:val="0000FF"/>
        </w:rPr>
        <w:t>Pension and Other Postretirement Benefits</w:t>
      </w:r>
      <w:r>
        <w:rPr>
          <w:rFonts w:ascii="Arial" w:cs="Arial" w:eastAsia="Arial" w:hAnsi="Arial"/>
          <w:sz w:val="16"/>
          <w:szCs w:val="16"/>
          <w:color w:val="auto"/>
        </w:rPr>
        <w:t xml:space="preserve"> of Notes to Consolidated Financial Statements for details on the actual various asset classes and targeted asset allocation percentages for our pension plans). We plan to use an expected rate of return on plan assets of 7.25% for 2025, which is an increase in the assumption used for 2024.</w:t>
      </w:r>
    </w:p>
    <w:p>
      <w:pPr>
        <w:spacing w:after="0" w:line="60"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discount rate reflects the market rate on December 31 (measurement date) for high-quality fixed income investments with maturities corresponding to our benefit obligations and is subject to change each year. The discount rate can be volatile from year to year as it is determined based upon prevailing interest rates as of the measurement date. We used a 5.57% discount rate to determine benefit obligations as of December 31, 2024, reflecting an increase in the market interest rate environment since the prior year-end.</w:t>
      </w:r>
    </w:p>
    <w:p>
      <w:pPr>
        <w:spacing w:after="0" w:line="6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In addition to the potential for MTM Adjustments, changes in our expected rate of return on plan assets and discount rate resulting from economic events also affect future Pension ongoing (income) expense. The following table highlights the sensitivity of our U.S. pension obligations and ongoing (income) expense to changes in these assumptions, with all other assumptions remaining constant. These estimates exclude any potential MTM Adjustment:</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Change in Assumption</w:t>
            </w:r>
          </w:p>
        </w:tc>
        <w:tc>
          <w:tcPr>
            <w:tcW w:w="3260" w:type="dxa"/>
            <w:vAlign w:val="bottom"/>
          </w:tcPr>
          <w:p>
            <w:pPr>
              <w:jc w:val="center"/>
              <w:ind w:left="948"/>
              <w:spacing w:after="0"/>
              <w:rPr>
                <w:sz w:val="20"/>
                <w:szCs w:val="20"/>
                <w:color w:val="auto"/>
              </w:rPr>
            </w:pPr>
            <w:r>
              <w:rPr>
                <w:rFonts w:ascii="Arial" w:cs="Arial" w:eastAsia="Arial" w:hAnsi="Arial"/>
                <w:sz w:val="14"/>
                <w:szCs w:val="14"/>
                <w:b w:val="1"/>
                <w:bCs w:val="1"/>
                <w:color w:val="auto"/>
              </w:rPr>
              <w:t>Impact on 2025 Pension</w:t>
            </w:r>
          </w:p>
        </w:tc>
        <w:tc>
          <w:tcPr>
            <w:tcW w:w="2320" w:type="dxa"/>
            <w:vAlign w:val="bottom"/>
          </w:tcPr>
          <w:p>
            <w:pPr>
              <w:jc w:val="center"/>
              <w:ind w:left="108"/>
              <w:spacing w:after="0"/>
              <w:rPr>
                <w:sz w:val="20"/>
                <w:szCs w:val="20"/>
                <w:color w:val="auto"/>
              </w:rPr>
            </w:pPr>
            <w:r>
              <w:rPr>
                <w:rFonts w:ascii="Arial" w:cs="Arial" w:eastAsia="Arial" w:hAnsi="Arial"/>
                <w:sz w:val="14"/>
                <w:szCs w:val="14"/>
                <w:b w:val="1"/>
                <w:bCs w:val="1"/>
                <w:color w:val="auto"/>
              </w:rPr>
              <w:t>Impact on Projected Benefit</w:t>
            </w:r>
          </w:p>
        </w:tc>
        <w:tc>
          <w:tcPr>
            <w:tcW w:w="0" w:type="dxa"/>
            <w:vAlign w:val="bottom"/>
          </w:tcPr>
          <w:p>
            <w:pPr>
              <w:spacing w:after="0"/>
              <w:rPr>
                <w:sz w:val="1"/>
                <w:szCs w:val="1"/>
                <w:color w:val="auto"/>
              </w:rPr>
            </w:pPr>
          </w:p>
        </w:tc>
      </w:tr>
      <w:tr>
        <w:trPr>
          <w:trHeight w:val="189"/>
        </w:trPr>
        <w:tc>
          <w:tcPr>
            <w:tcW w:w="5660" w:type="dxa"/>
            <w:vAlign w:val="bottom"/>
            <w:tcBorders>
              <w:bottom w:val="single" w:sz="8" w:color="D7282F"/>
            </w:tcBorders>
            <w:vMerge w:val="continue"/>
          </w:tcPr>
          <w:p>
            <w:pPr>
              <w:spacing w:after="0"/>
              <w:rPr>
                <w:sz w:val="16"/>
                <w:szCs w:val="16"/>
                <w:color w:val="auto"/>
              </w:rPr>
            </w:pPr>
          </w:p>
        </w:tc>
        <w:tc>
          <w:tcPr>
            <w:tcW w:w="3260" w:type="dxa"/>
            <w:vAlign w:val="bottom"/>
            <w:tcBorders>
              <w:bottom w:val="single" w:sz="8" w:color="D7282F"/>
            </w:tcBorders>
          </w:tcPr>
          <w:p>
            <w:pPr>
              <w:jc w:val="center"/>
              <w:ind w:left="928"/>
              <w:spacing w:after="0"/>
              <w:rPr>
                <w:sz w:val="20"/>
                <w:szCs w:val="20"/>
                <w:color w:val="auto"/>
              </w:rPr>
            </w:pPr>
            <w:r>
              <w:rPr>
                <w:rFonts w:ascii="Arial" w:cs="Arial" w:eastAsia="Arial" w:hAnsi="Arial"/>
                <w:sz w:val="14"/>
                <w:szCs w:val="14"/>
                <w:b w:val="1"/>
                <w:bCs w:val="1"/>
                <w:color w:val="auto"/>
              </w:rPr>
              <w:t>Ongoing Expense</w:t>
            </w:r>
          </w:p>
        </w:tc>
        <w:tc>
          <w:tcPr>
            <w:tcW w:w="2320" w:type="dxa"/>
            <w:vAlign w:val="bottom"/>
            <w:tcBorders>
              <w:bottom w:val="single" w:sz="8" w:color="D7282F"/>
            </w:tcBorders>
          </w:tcPr>
          <w:p>
            <w:pPr>
              <w:jc w:val="center"/>
              <w:ind w:left="108"/>
              <w:spacing w:after="0"/>
              <w:rPr>
                <w:sz w:val="20"/>
                <w:szCs w:val="20"/>
                <w:color w:val="auto"/>
              </w:rPr>
            </w:pPr>
            <w:r>
              <w:rPr>
                <w:rFonts w:ascii="Arial" w:cs="Arial" w:eastAsia="Arial" w:hAnsi="Arial"/>
                <w:sz w:val="14"/>
                <w:szCs w:val="14"/>
                <w:b w:val="1"/>
                <w:bCs w:val="1"/>
                <w:color w:val="auto"/>
              </w:rPr>
              <w:t>Obligation</w:t>
            </w:r>
          </w:p>
        </w:tc>
        <w:tc>
          <w:tcPr>
            <w:tcW w:w="0" w:type="dxa"/>
            <w:vAlign w:val="bottom"/>
          </w:tcPr>
          <w:p>
            <w:pPr>
              <w:spacing w:after="0"/>
              <w:rPr>
                <w:sz w:val="1"/>
                <w:szCs w:val="1"/>
                <w:color w:val="auto"/>
              </w:rPr>
            </w:pPr>
          </w:p>
        </w:tc>
      </w:tr>
      <w:tr>
        <w:trPr>
          <w:trHeight w:val="192"/>
        </w:trPr>
        <w:tc>
          <w:tcPr>
            <w:tcW w:w="566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0.25 percentage point decrease in discount rate</w:t>
            </w:r>
          </w:p>
        </w:tc>
        <w:tc>
          <w:tcPr>
            <w:tcW w:w="3260" w:type="dxa"/>
            <w:vAlign w:val="bottom"/>
            <w:tcBorders>
              <w:bottom w:val="single" w:sz="8" w:color="61656A"/>
            </w:tcBorders>
          </w:tcPr>
          <w:p>
            <w:pPr>
              <w:jc w:val="center"/>
              <w:ind w:left="928"/>
              <w:spacing w:after="0"/>
              <w:rPr>
                <w:sz w:val="20"/>
                <w:szCs w:val="20"/>
                <w:color w:val="auto"/>
              </w:rPr>
            </w:pPr>
            <w:r>
              <w:rPr>
                <w:rFonts w:ascii="Arial" w:cs="Arial" w:eastAsia="Arial" w:hAnsi="Arial"/>
                <w:sz w:val="14"/>
                <w:szCs w:val="14"/>
                <w:color w:val="auto"/>
              </w:rPr>
              <w:t>Decrease $16 million</w:t>
            </w:r>
          </w:p>
        </w:tc>
        <w:tc>
          <w:tcPr>
            <w:tcW w:w="2320" w:type="dxa"/>
            <w:vAlign w:val="bottom"/>
            <w:tcBorders>
              <w:bottom w:val="single" w:sz="8" w:color="61656A"/>
            </w:tcBorders>
          </w:tcPr>
          <w:p>
            <w:pPr>
              <w:jc w:val="center"/>
              <w:ind w:left="88"/>
              <w:spacing w:after="0"/>
              <w:rPr>
                <w:sz w:val="20"/>
                <w:szCs w:val="20"/>
                <w:color w:val="auto"/>
              </w:rPr>
            </w:pPr>
            <w:r>
              <w:rPr>
                <w:rFonts w:ascii="Arial" w:cs="Arial" w:eastAsia="Arial" w:hAnsi="Arial"/>
                <w:sz w:val="14"/>
                <w:szCs w:val="14"/>
                <w:color w:val="auto"/>
              </w:rPr>
              <w:t>Increase $222 million</w:t>
            </w:r>
          </w:p>
        </w:tc>
        <w:tc>
          <w:tcPr>
            <w:tcW w:w="0" w:type="dxa"/>
            <w:vAlign w:val="bottom"/>
          </w:tcPr>
          <w:p>
            <w:pPr>
              <w:spacing w:after="0"/>
              <w:rPr>
                <w:sz w:val="1"/>
                <w:szCs w:val="1"/>
                <w:color w:val="auto"/>
              </w:rPr>
            </w:pPr>
          </w:p>
        </w:tc>
      </w:tr>
      <w:tr>
        <w:trPr>
          <w:trHeight w:val="196"/>
        </w:trPr>
        <w:tc>
          <w:tcPr>
            <w:tcW w:w="566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0.25 percentage point increase in discount rate</w:t>
            </w:r>
          </w:p>
        </w:tc>
        <w:tc>
          <w:tcPr>
            <w:tcW w:w="3260" w:type="dxa"/>
            <w:vAlign w:val="bottom"/>
            <w:tcBorders>
              <w:bottom w:val="single" w:sz="8" w:color="61656A"/>
            </w:tcBorders>
          </w:tcPr>
          <w:p>
            <w:pPr>
              <w:jc w:val="center"/>
              <w:ind w:left="948"/>
              <w:spacing w:after="0"/>
              <w:rPr>
                <w:sz w:val="20"/>
                <w:szCs w:val="20"/>
                <w:color w:val="auto"/>
              </w:rPr>
            </w:pPr>
            <w:r>
              <w:rPr>
                <w:rFonts w:ascii="Arial" w:cs="Arial" w:eastAsia="Arial" w:hAnsi="Arial"/>
                <w:sz w:val="14"/>
                <w:szCs w:val="14"/>
                <w:color w:val="auto"/>
              </w:rPr>
              <w:t>Increase $15 million</w:t>
            </w:r>
          </w:p>
        </w:tc>
        <w:tc>
          <w:tcPr>
            <w:tcW w:w="2320" w:type="dxa"/>
            <w:vAlign w:val="bottom"/>
            <w:tcBorders>
              <w:bottom w:val="single" w:sz="8" w:color="61656A"/>
            </w:tcBorders>
          </w:tcPr>
          <w:p>
            <w:pPr>
              <w:jc w:val="center"/>
              <w:ind w:left="108"/>
              <w:spacing w:after="0"/>
              <w:rPr>
                <w:sz w:val="20"/>
                <w:szCs w:val="20"/>
                <w:color w:val="auto"/>
              </w:rPr>
            </w:pPr>
            <w:r>
              <w:rPr>
                <w:rFonts w:ascii="Arial" w:cs="Arial" w:eastAsia="Arial" w:hAnsi="Arial"/>
                <w:sz w:val="14"/>
                <w:szCs w:val="14"/>
                <w:color w:val="auto"/>
              </w:rPr>
              <w:t>Decrease $214 million</w:t>
            </w:r>
          </w:p>
        </w:tc>
        <w:tc>
          <w:tcPr>
            <w:tcW w:w="0" w:type="dxa"/>
            <w:vAlign w:val="bottom"/>
          </w:tcPr>
          <w:p>
            <w:pPr>
              <w:spacing w:after="0"/>
              <w:rPr>
                <w:sz w:val="1"/>
                <w:szCs w:val="1"/>
                <w:color w:val="auto"/>
              </w:rPr>
            </w:pPr>
          </w:p>
        </w:tc>
      </w:tr>
      <w:tr>
        <w:trPr>
          <w:trHeight w:val="196"/>
        </w:trPr>
        <w:tc>
          <w:tcPr>
            <w:tcW w:w="566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0.25 percentage point decrease in expected rate of return on assets</w:t>
            </w:r>
          </w:p>
        </w:tc>
        <w:tc>
          <w:tcPr>
            <w:tcW w:w="3260" w:type="dxa"/>
            <w:vAlign w:val="bottom"/>
            <w:tcBorders>
              <w:bottom w:val="single" w:sz="8" w:color="61656A"/>
            </w:tcBorders>
          </w:tcPr>
          <w:p>
            <w:pPr>
              <w:jc w:val="center"/>
              <w:ind w:left="948"/>
              <w:spacing w:after="0"/>
              <w:rPr>
                <w:sz w:val="20"/>
                <w:szCs w:val="20"/>
                <w:color w:val="auto"/>
              </w:rPr>
            </w:pPr>
            <w:r>
              <w:rPr>
                <w:rFonts w:ascii="Arial" w:cs="Arial" w:eastAsia="Arial" w:hAnsi="Arial"/>
                <w:sz w:val="14"/>
                <w:szCs w:val="14"/>
                <w:color w:val="auto"/>
              </w:rPr>
              <w:t>Increase $40 million</w:t>
            </w:r>
          </w:p>
        </w:tc>
        <w:tc>
          <w:tcPr>
            <w:tcW w:w="2320" w:type="dxa"/>
            <w:vAlign w:val="bottom"/>
            <w:tcBorders>
              <w:bottom w:val="single" w:sz="8" w:color="61656A"/>
            </w:tcBorders>
          </w:tcPr>
          <w:p>
            <w:pPr>
              <w:jc w:val="center"/>
              <w:ind w:left="108"/>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96"/>
        </w:trPr>
        <w:tc>
          <w:tcPr>
            <w:tcW w:w="566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0.25 percentage point increase in expected rate of return on assets</w:t>
            </w:r>
          </w:p>
        </w:tc>
        <w:tc>
          <w:tcPr>
            <w:tcW w:w="3260" w:type="dxa"/>
            <w:vAlign w:val="bottom"/>
            <w:tcBorders>
              <w:bottom w:val="single" w:sz="8" w:color="D7282F"/>
            </w:tcBorders>
          </w:tcPr>
          <w:p>
            <w:pPr>
              <w:jc w:val="center"/>
              <w:ind w:left="928"/>
              <w:spacing w:after="0"/>
              <w:rPr>
                <w:sz w:val="20"/>
                <w:szCs w:val="20"/>
                <w:color w:val="auto"/>
              </w:rPr>
            </w:pPr>
            <w:r>
              <w:rPr>
                <w:rFonts w:ascii="Arial" w:cs="Arial" w:eastAsia="Arial" w:hAnsi="Arial"/>
                <w:sz w:val="14"/>
                <w:szCs w:val="14"/>
                <w:color w:val="auto"/>
              </w:rPr>
              <w:t>Decrease $40 million</w:t>
            </w:r>
          </w:p>
        </w:tc>
        <w:tc>
          <w:tcPr>
            <w:tcW w:w="2320" w:type="dxa"/>
            <w:vAlign w:val="bottom"/>
            <w:tcBorders>
              <w:bottom w:val="single" w:sz="8" w:color="D7282F"/>
            </w:tcBorders>
          </w:tcPr>
          <w:p>
            <w:pPr>
              <w:jc w:val="center"/>
              <w:ind w:left="108"/>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Pension ongoing income for our world-wide pension plans is expected to be approximately $542 million in 2025 compared with Pension ongoing income of $592 million in 2024. Also, if required, a MTM Adjustment will be recorded in the fourth quarter of 2025 in accordance with our pension accounting method as previously described. It is difficult to reliably forecast or predict whether there will be a MTM Adjustment in 2025, and if one is required, what the magnitude of such adjustment will be. MTM Adjustments are primarily driven by events and circumstances beyond the control of the Company such as changes in interest rates and the performance of the financial markets.</w:t>
      </w:r>
    </w:p>
    <w:p>
      <w:pPr>
        <w:spacing w:after="0" w:line="64" w:lineRule="exact"/>
        <w:rPr>
          <w:sz w:val="20"/>
          <w:szCs w:val="20"/>
          <w:color w:val="auto"/>
        </w:rPr>
      </w:pPr>
    </w:p>
    <w:p>
      <w:pPr>
        <w:jc w:val="both"/>
        <w:spacing w:after="0" w:line="261" w:lineRule="auto"/>
        <w:rPr>
          <w:sz w:val="20"/>
          <w:szCs w:val="20"/>
          <w:color w:val="auto"/>
        </w:rPr>
      </w:pPr>
      <w:r>
        <w:rPr>
          <w:rFonts w:ascii="Arial" w:cs="Arial" w:eastAsia="Arial" w:hAnsi="Arial"/>
          <w:sz w:val="16"/>
          <w:szCs w:val="16"/>
          <w:b w:val="1"/>
          <w:bCs w:val="1"/>
          <w:i w:val="1"/>
          <w:iCs w:val="1"/>
          <w:color w:val="auto"/>
        </w:rPr>
        <w:t>Asbestos-Related Liabilities and Insurance Recoveries</w:t>
      </w:r>
      <w:r>
        <w:rPr>
          <w:rFonts w:ascii="Arial" w:cs="Arial" w:eastAsia="Arial" w:hAnsi="Arial"/>
          <w:sz w:val="16"/>
          <w:szCs w:val="16"/>
          <w:color w:val="auto"/>
        </w:rPr>
        <w:t>—The recognition of asbestos-related liabilities relates to a predecessor company, Bendix Friction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Materials (Bendix). For Bendix asbestos-related claims, we accrue for the estimated value of pending claims using average resolution values over a defined look-back period. We also accrue for the estimated value of future claims related to Bendix over the full term of epidemiological disease projection through 2059 based on historic and anticipated claims filing experience and dismissal rates, disease classifications, and average resolution values in the tort system over a defined look-back period. We review our valuation assumptions and average resolution values used to estimate the cost of Bendix asserted and unasserted claims during the fourth quarter of each year.</w:t>
      </w:r>
    </w:p>
    <w:p>
      <w:pPr>
        <w:spacing w:after="0" w:line="82"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In connection with the recognition of liabilities for asbestos-related matters, we record asbestos-related insurance recoveries that are deemed probable. In assessing the probability of insurance recovery, we make judgments concerning insurance coverage that we believe are reasonable and consistent with our historical dealings and our knowledge of any pertinent solvency issues surrounding insurers. While the substantial majority of our insurance carriers are solvent, some of our individual carriers are insolvent, which was considered in our analysis of probable recoveries. Projecting future events is subject to various uncertainties that could cause the insurance recovery on asbestos-related liabilities to be higher or lower than that projected and recorded. Given the inherent uncertainty in making future projections, we reevaluate our projections concerning our probable insurance recoveries considering any changes to the projected liability, our recovery experience or other relevant factors that may impact future insurance recoveries.</w:t>
      </w:r>
    </w:p>
    <w:p>
      <w:pPr>
        <w:spacing w:after="0" w:line="68"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 xml:space="preserve">See Note 19 </w:t>
      </w:r>
      <w:r>
        <w:rPr>
          <w:rFonts w:ascii="Arial" w:cs="Arial" w:eastAsia="Arial" w:hAnsi="Arial"/>
          <w:sz w:val="16"/>
          <w:szCs w:val="16"/>
          <w:u w:val="single" w:color="auto"/>
          <w:color w:val="0000FF"/>
        </w:rPr>
        <w:t>Commitments and Contingencies</w:t>
      </w:r>
      <w:r>
        <w:rPr>
          <w:rFonts w:ascii="Arial" w:cs="Arial" w:eastAsia="Arial" w:hAnsi="Arial"/>
          <w:sz w:val="16"/>
          <w:szCs w:val="16"/>
          <w:color w:val="auto"/>
        </w:rPr>
        <w:t xml:space="preserve"> of Notes to Consolidated Financial Statements for a discussion of management’s judgments applied in the recognition and measurement of our asbestos-related liabilities and related insurance recoveries.</w:t>
      </w:r>
    </w:p>
    <w:p>
      <w:pPr>
        <w:spacing w:after="0" w:line="373" w:lineRule="exact"/>
        <w:rPr>
          <w:sz w:val="20"/>
          <w:szCs w:val="20"/>
          <w:color w:val="auto"/>
        </w:rPr>
      </w:pPr>
    </w:p>
    <w:p>
      <w:pPr>
        <w:ind w:left="400" w:hanging="392"/>
        <w:spacing w:after="0"/>
        <w:tabs>
          <w:tab w:leader="none" w:pos="400" w:val="left"/>
        </w:tabs>
        <w:numPr>
          <w:ilvl w:val="0"/>
          <w:numId w:val="95"/>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46" w:name="page47"/>
    <w:bookmarkEnd w:id="46"/>
    <w:p>
      <w:pPr>
        <w:ind w:left="20"/>
        <w:spacing w:after="0"/>
        <w:tabs>
          <w:tab w:leader="none" w:pos="898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CRITICAL ACCOUNTING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spacing w:after="0" w:line="257" w:lineRule="auto"/>
        <w:rPr>
          <w:sz w:val="20"/>
          <w:szCs w:val="20"/>
          <w:color w:val="auto"/>
        </w:rPr>
      </w:pPr>
      <w:r>
        <w:rPr>
          <w:rFonts w:ascii="Arial" w:cs="Arial" w:eastAsia="Arial" w:hAnsi="Arial"/>
          <w:sz w:val="16"/>
          <w:szCs w:val="16"/>
          <w:b w:val="1"/>
          <w:bCs w:val="1"/>
          <w:i w:val="1"/>
          <w:iCs w:val="1"/>
          <w:color w:val="auto"/>
        </w:rPr>
        <w:t>Contingent Liabilities</w:t>
      </w:r>
      <w:r>
        <w:rPr>
          <w:rFonts w:ascii="Arial" w:cs="Arial" w:eastAsia="Arial" w:hAnsi="Arial"/>
          <w:sz w:val="16"/>
          <w:szCs w:val="16"/>
          <w:color w:val="auto"/>
        </w:rPr>
        <w:t>—We are subject to a number of lawsuits, investigations, and claims (some of which involve substantial dollar amounts) arising out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the conduct of our business operations or those of previously owned entities, including matters relating to commercial transactions, government contracts, product liability (including asbestos), prior acquisitions and divestitures, employee benefit plans, intellectual property, legal, and environmental, health, and safety matters. We continually assess the likelihood of any adverse judgments or outcomes to our contingencies, as well as potential amounts or ranges of probable losses, and recognize a liability, if any, for these contingencies based on a careful analysis of each matter with the assistance of outside legal counsel and, if applicable, other experts. Such analysis includes making judgments concerning matters such as the costs associated with environmental matters, the outcome of negotiations, the number and cost of pending and future asbestos claims, and the impact of evidentiary requirements. Because most contingencies are resolved over long periods of time, liabilities may change in the future due to new developments (including new discovery of facts, changes in legislation, and outcomes of similar cases through the judicial system), changes in assumptions, or changes in our settlement strategy. See Note 19 </w:t>
      </w:r>
      <w:r>
        <w:rPr>
          <w:rFonts w:ascii="Arial" w:cs="Arial" w:eastAsia="Arial" w:hAnsi="Arial"/>
          <w:sz w:val="16"/>
          <w:szCs w:val="16"/>
          <w:u w:val="single" w:color="auto"/>
          <w:color w:val="0000FF"/>
        </w:rPr>
        <w:t>Commitments and Contingencies</w:t>
      </w:r>
      <w:r>
        <w:rPr>
          <w:rFonts w:ascii="Arial" w:cs="Arial" w:eastAsia="Arial" w:hAnsi="Arial"/>
          <w:sz w:val="16"/>
          <w:szCs w:val="16"/>
          <w:color w:val="auto"/>
        </w:rPr>
        <w:t xml:space="preserve"> of Notes to Consolidated Financial Statements for a discussion of management’s judgment applied in the recognition and measurement of our environmental and asbestos liabilities, which represent our most significant contingencies.</w:t>
      </w:r>
    </w:p>
    <w:p>
      <w:pPr>
        <w:spacing w:after="0" w:line="320"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OTHER MATTERS</w:t>
      </w:r>
    </w:p>
    <w:p>
      <w:pPr>
        <w:spacing w:after="0" w:line="375" w:lineRule="exact"/>
        <w:rPr>
          <w:sz w:val="20"/>
          <w:szCs w:val="20"/>
          <w:color w:val="auto"/>
        </w:rPr>
      </w:pPr>
    </w:p>
    <w:p>
      <w:pPr>
        <w:spacing w:after="0"/>
        <w:rPr>
          <w:sz w:val="20"/>
          <w:szCs w:val="20"/>
          <w:color w:val="auto"/>
        </w:rPr>
      </w:pPr>
      <w:r>
        <w:rPr>
          <w:rFonts w:ascii="Arial" w:cs="Arial" w:eastAsia="Arial" w:hAnsi="Arial"/>
          <w:sz w:val="29"/>
          <w:szCs w:val="29"/>
          <w:color w:val="D7282F"/>
        </w:rPr>
        <w:t>LITIGATION</w:t>
      </w:r>
    </w:p>
    <w:p>
      <w:pPr>
        <w:spacing w:after="0" w:line="238"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 xml:space="preserve">See Note 19 </w:t>
      </w:r>
      <w:r>
        <w:rPr>
          <w:rFonts w:ascii="Arial" w:cs="Arial" w:eastAsia="Arial" w:hAnsi="Arial"/>
          <w:sz w:val="16"/>
          <w:szCs w:val="16"/>
          <w:u w:val="single" w:color="auto"/>
          <w:color w:val="0000FF"/>
        </w:rPr>
        <w:t>Commitments and Contingencie</w:t>
      </w:r>
      <w:r>
        <w:rPr>
          <w:rFonts w:ascii="Arial" w:cs="Arial" w:eastAsia="Arial" w:hAnsi="Arial"/>
          <w:sz w:val="16"/>
          <w:szCs w:val="16"/>
          <w:color w:val="auto"/>
        </w:rPr>
        <w:t>s of Notes to Consolidated Financial Statements for a discussion of environmental, asbestos, and other litigation matters.</w:t>
      </w:r>
    </w:p>
    <w:p>
      <w:pPr>
        <w:spacing w:after="0" w:line="191" w:lineRule="exact"/>
        <w:rPr>
          <w:sz w:val="20"/>
          <w:szCs w:val="20"/>
          <w:color w:val="auto"/>
        </w:rPr>
      </w:pPr>
    </w:p>
    <w:p>
      <w:pPr>
        <w:spacing w:after="0"/>
        <w:rPr>
          <w:sz w:val="20"/>
          <w:szCs w:val="20"/>
          <w:color w:val="auto"/>
        </w:rPr>
      </w:pPr>
      <w:r>
        <w:rPr>
          <w:rFonts w:ascii="Arial" w:cs="Arial" w:eastAsia="Arial" w:hAnsi="Arial"/>
          <w:sz w:val="29"/>
          <w:szCs w:val="29"/>
          <w:color w:val="D7282F"/>
        </w:rPr>
        <w:t>RECENT ACCOUNTING PRONOUNCEMENTS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 xml:space="preserve">See Note 1 </w:t>
      </w:r>
      <w:r>
        <w:rPr>
          <w:rFonts w:ascii="Arial" w:cs="Arial" w:eastAsia="Arial" w:hAnsi="Arial"/>
          <w:sz w:val="16"/>
          <w:szCs w:val="16"/>
          <w:u w:val="single" w:color="auto"/>
          <w:color w:val="0000FF"/>
        </w:rPr>
        <w:t>Summary of Significant Accounting Policies</w:t>
      </w:r>
      <w:r>
        <w:rPr>
          <w:rFonts w:ascii="Arial" w:cs="Arial" w:eastAsia="Arial" w:hAnsi="Arial"/>
          <w:sz w:val="16"/>
          <w:szCs w:val="16"/>
          <w:color w:val="auto"/>
        </w:rPr>
        <w:t xml:space="preserve"> of Notes to Consolidated Financial Statements for a discussion of recent accounting pronouncements.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00" w:hanging="392"/>
        <w:spacing w:after="0"/>
        <w:tabs>
          <w:tab w:leader="none" w:pos="400" w:val="left"/>
        </w:tabs>
        <w:numPr>
          <w:ilvl w:val="0"/>
          <w:numId w:val="96"/>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47" w:name="page48"/>
    <w:bookmarkEnd w:id="47"/>
    <w:p>
      <w:pPr>
        <w:ind w:left="20"/>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INFORMATION ABOUT OUR EXECUTIVE OFFICERS</w:t>
      </w:r>
    </w:p>
    <w:p>
      <w:pPr>
        <w:spacing w:after="0" w:line="393" w:lineRule="exact"/>
        <w:rPr>
          <w:sz w:val="20"/>
          <w:szCs w:val="20"/>
          <w:color w:val="auto"/>
        </w:rPr>
      </w:pPr>
    </w:p>
    <w:p>
      <w:pPr>
        <w:spacing w:after="0"/>
        <w:rPr>
          <w:sz w:val="20"/>
          <w:szCs w:val="20"/>
          <w:color w:val="auto"/>
        </w:rPr>
      </w:pPr>
      <w:r>
        <w:rPr>
          <w:rFonts w:ascii="Arial" w:cs="Arial" w:eastAsia="Arial" w:hAnsi="Arial"/>
          <w:sz w:val="16"/>
          <w:szCs w:val="16"/>
          <w:color w:val="auto"/>
        </w:rPr>
        <w:t>The executive officers of Honeywell, listed as follows, are elected annually by the Board. There are no family relationships among them.</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tcPr>
          <w:p>
            <w:pPr>
              <w:ind w:left="20"/>
              <w:spacing w:after="0"/>
              <w:rPr>
                <w:sz w:val="20"/>
                <w:szCs w:val="20"/>
                <w:color w:val="auto"/>
              </w:rPr>
            </w:pPr>
            <w:r>
              <w:rPr>
                <w:rFonts w:ascii="Arial" w:cs="Arial" w:eastAsia="Arial" w:hAnsi="Arial"/>
                <w:sz w:val="14"/>
                <w:szCs w:val="14"/>
                <w:b w:val="1"/>
                <w:bCs w:val="1"/>
                <w:color w:val="auto"/>
              </w:rPr>
              <w:t>Name, Age, Year First</w:t>
            </w:r>
          </w:p>
        </w:tc>
        <w:tc>
          <w:tcPr>
            <w:tcW w:w="824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Business Experience</w:t>
            </w:r>
          </w:p>
        </w:tc>
        <w:tc>
          <w:tcPr>
            <w:tcW w:w="0" w:type="dxa"/>
            <w:vAlign w:val="bottom"/>
          </w:tcPr>
          <w:p>
            <w:pPr>
              <w:spacing w:after="0"/>
              <w:rPr>
                <w:sz w:val="1"/>
                <w:szCs w:val="1"/>
                <w:color w:val="auto"/>
              </w:rPr>
            </w:pPr>
          </w:p>
        </w:tc>
      </w:tr>
      <w:tr>
        <w:trPr>
          <w:trHeight w:val="185"/>
        </w:trPr>
        <w:tc>
          <w:tcPr>
            <w:tcW w:w="30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Elected an Executive Officer</w:t>
            </w:r>
          </w:p>
        </w:tc>
        <w:tc>
          <w:tcPr>
            <w:tcW w:w="8240" w:type="dxa"/>
            <w:vAlign w:val="bottom"/>
            <w:tcBorders>
              <w:bottom w:val="single" w:sz="8" w:color="D7282F"/>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3000" w:type="dxa"/>
            <w:vAlign w:val="bottom"/>
          </w:tcPr>
          <w:p>
            <w:pPr>
              <w:ind w:left="1420"/>
              <w:spacing w:after="0" w:line="155" w:lineRule="exact"/>
              <w:rPr>
                <w:sz w:val="20"/>
                <w:szCs w:val="20"/>
                <w:color w:val="auto"/>
              </w:rPr>
            </w:pPr>
            <w:r>
              <w:rPr>
                <w:rFonts w:ascii="Arial" w:cs="Arial" w:eastAsia="Arial" w:hAnsi="Arial"/>
                <w:sz w:val="14"/>
                <w:szCs w:val="14"/>
                <w:b w:val="1"/>
                <w:bCs w:val="1"/>
                <w:color w:val="auto"/>
              </w:rPr>
              <w:t xml:space="preserve">Lucian Boldea, </w:t>
            </w:r>
            <w:r>
              <w:rPr>
                <w:rFonts w:ascii="Arial" w:cs="Arial" w:eastAsia="Arial" w:hAnsi="Arial"/>
                <w:sz w:val="14"/>
                <w:szCs w:val="14"/>
                <w:color w:val="auto"/>
              </w:rPr>
              <w:t>53</w:t>
            </w:r>
          </w:p>
        </w:tc>
        <w:tc>
          <w:tcPr>
            <w:tcW w:w="8240" w:type="dxa"/>
            <w:vAlign w:val="bottom"/>
          </w:tcPr>
          <w:p>
            <w:pPr>
              <w:ind w:left="380"/>
              <w:spacing w:after="0" w:line="155" w:lineRule="exact"/>
              <w:rPr>
                <w:sz w:val="20"/>
                <w:szCs w:val="20"/>
                <w:color w:val="auto"/>
              </w:rPr>
            </w:pPr>
            <w:r>
              <w:rPr>
                <w:rFonts w:ascii="Arial" w:cs="Arial" w:eastAsia="Arial" w:hAnsi="Arial"/>
                <w:sz w:val="14"/>
                <w:szCs w:val="14"/>
                <w:color w:val="auto"/>
              </w:rPr>
              <w:t>President and Chief Executive Officer, Industrial Automation since January 2024. President and Chief Executive Officer,</w:t>
            </w:r>
          </w:p>
        </w:tc>
        <w:tc>
          <w:tcPr>
            <w:tcW w:w="0" w:type="dxa"/>
            <w:vAlign w:val="bottom"/>
          </w:tcPr>
          <w:p>
            <w:pPr>
              <w:spacing w:after="0"/>
              <w:rPr>
                <w:sz w:val="1"/>
                <w:szCs w:val="1"/>
                <w:color w:val="auto"/>
              </w:rPr>
            </w:pPr>
          </w:p>
        </w:tc>
      </w:tr>
      <w:tr>
        <w:trPr>
          <w:trHeight w:val="207"/>
        </w:trPr>
        <w:tc>
          <w:tcPr>
            <w:tcW w:w="3000" w:type="dxa"/>
            <w:vAlign w:val="bottom"/>
          </w:tcPr>
          <w:p>
            <w:pPr>
              <w:ind w:left="1420"/>
              <w:spacing w:after="0"/>
              <w:rPr>
                <w:sz w:val="20"/>
                <w:szCs w:val="20"/>
                <w:color w:val="auto"/>
              </w:rPr>
            </w:pPr>
            <w:r>
              <w:rPr>
                <w:rFonts w:ascii="Arial" w:cs="Arial" w:eastAsia="Arial" w:hAnsi="Arial"/>
                <w:sz w:val="14"/>
                <w:szCs w:val="14"/>
                <w:color w:val="auto"/>
              </w:rPr>
              <w:t>2022</w:t>
            </w:r>
          </w:p>
        </w:tc>
        <w:tc>
          <w:tcPr>
            <w:tcW w:w="8240" w:type="dxa"/>
            <w:vAlign w:val="bottom"/>
          </w:tcPr>
          <w:p>
            <w:pPr>
              <w:ind w:left="380"/>
              <w:spacing w:after="0"/>
              <w:rPr>
                <w:sz w:val="20"/>
                <w:szCs w:val="20"/>
                <w:color w:val="auto"/>
              </w:rPr>
            </w:pPr>
            <w:r>
              <w:rPr>
                <w:rFonts w:ascii="Arial" w:cs="Arial" w:eastAsia="Arial" w:hAnsi="Arial"/>
                <w:sz w:val="14"/>
                <w:szCs w:val="14"/>
                <w:color w:val="auto"/>
              </w:rPr>
              <w:t>Performance Materials and Technologies from October 2022 to December 2023. Mr. Boldea was previously employed at</w:t>
            </w:r>
          </w:p>
        </w:tc>
        <w:tc>
          <w:tcPr>
            <w:tcW w:w="0" w:type="dxa"/>
            <w:vAlign w:val="bottom"/>
          </w:tcPr>
          <w:p>
            <w:pPr>
              <w:spacing w:after="0"/>
              <w:rPr>
                <w:sz w:val="1"/>
                <w:szCs w:val="1"/>
                <w:color w:val="auto"/>
              </w:rPr>
            </w:pPr>
          </w:p>
        </w:tc>
      </w:tr>
      <w:tr>
        <w:trPr>
          <w:trHeight w:val="162"/>
        </w:trPr>
        <w:tc>
          <w:tcPr>
            <w:tcW w:w="3000" w:type="dxa"/>
            <w:vAlign w:val="bottom"/>
          </w:tcPr>
          <w:p>
            <w:pPr>
              <w:spacing w:after="0"/>
              <w:rPr>
                <w:sz w:val="14"/>
                <w:szCs w:val="14"/>
                <w:color w:val="auto"/>
              </w:rPr>
            </w:pPr>
          </w:p>
        </w:tc>
        <w:tc>
          <w:tcPr>
            <w:tcW w:w="8240" w:type="dxa"/>
            <w:vAlign w:val="bottom"/>
          </w:tcPr>
          <w:p>
            <w:pPr>
              <w:ind w:left="380"/>
              <w:spacing w:after="0"/>
              <w:rPr>
                <w:sz w:val="20"/>
                <w:szCs w:val="20"/>
                <w:color w:val="auto"/>
              </w:rPr>
            </w:pPr>
            <w:r>
              <w:rPr>
                <w:rFonts w:ascii="Arial" w:cs="Arial" w:eastAsia="Arial" w:hAnsi="Arial"/>
                <w:sz w:val="14"/>
                <w:szCs w:val="14"/>
                <w:color w:val="auto"/>
              </w:rPr>
              <w:t>Eastman Chemical Company, from 1997 to 2022, where he held a variety of leadership roles during his tenure, including</w:t>
            </w:r>
          </w:p>
        </w:tc>
        <w:tc>
          <w:tcPr>
            <w:tcW w:w="0" w:type="dxa"/>
            <w:vAlign w:val="bottom"/>
          </w:tcPr>
          <w:p>
            <w:pPr>
              <w:spacing w:after="0"/>
              <w:rPr>
                <w:sz w:val="1"/>
                <w:szCs w:val="1"/>
                <w:color w:val="auto"/>
              </w:rPr>
            </w:pPr>
          </w:p>
        </w:tc>
      </w:tr>
      <w:tr>
        <w:trPr>
          <w:trHeight w:val="175"/>
        </w:trPr>
        <w:tc>
          <w:tcPr>
            <w:tcW w:w="3000" w:type="dxa"/>
            <w:vAlign w:val="bottom"/>
          </w:tcPr>
          <w:p>
            <w:pPr>
              <w:spacing w:after="0"/>
              <w:rPr>
                <w:sz w:val="15"/>
                <w:szCs w:val="15"/>
                <w:color w:val="auto"/>
              </w:rPr>
            </w:pPr>
          </w:p>
        </w:tc>
        <w:tc>
          <w:tcPr>
            <w:tcW w:w="8240" w:type="dxa"/>
            <w:vAlign w:val="bottom"/>
          </w:tcPr>
          <w:p>
            <w:pPr>
              <w:ind w:left="380"/>
              <w:spacing w:after="0"/>
              <w:rPr>
                <w:sz w:val="20"/>
                <w:szCs w:val="20"/>
                <w:color w:val="auto"/>
              </w:rPr>
            </w:pPr>
            <w:r>
              <w:rPr>
                <w:rFonts w:ascii="Arial" w:cs="Arial" w:eastAsia="Arial" w:hAnsi="Arial"/>
                <w:sz w:val="14"/>
                <w:szCs w:val="14"/>
                <w:color w:val="auto"/>
              </w:rPr>
              <w:t>Executive Vice President from January 2019 to September 2022, where he led global strategy, business operations, and</w:t>
            </w:r>
          </w:p>
        </w:tc>
        <w:tc>
          <w:tcPr>
            <w:tcW w:w="0" w:type="dxa"/>
            <w:vAlign w:val="bottom"/>
          </w:tcPr>
          <w:p>
            <w:pPr>
              <w:spacing w:after="0"/>
              <w:rPr>
                <w:sz w:val="1"/>
                <w:szCs w:val="1"/>
                <w:color w:val="auto"/>
              </w:rPr>
            </w:pPr>
          </w:p>
        </w:tc>
      </w:tr>
      <w:tr>
        <w:trPr>
          <w:trHeight w:val="190"/>
        </w:trPr>
        <w:tc>
          <w:tcPr>
            <w:tcW w:w="3000" w:type="dxa"/>
            <w:vAlign w:val="bottom"/>
          </w:tcPr>
          <w:p>
            <w:pPr>
              <w:spacing w:after="0"/>
              <w:rPr>
                <w:sz w:val="16"/>
                <w:szCs w:val="16"/>
                <w:color w:val="auto"/>
              </w:rPr>
            </w:pPr>
          </w:p>
        </w:tc>
        <w:tc>
          <w:tcPr>
            <w:tcW w:w="8240" w:type="dxa"/>
            <w:vAlign w:val="bottom"/>
          </w:tcPr>
          <w:p>
            <w:pPr>
              <w:ind w:left="380"/>
              <w:spacing w:after="0"/>
              <w:rPr>
                <w:sz w:val="20"/>
                <w:szCs w:val="20"/>
                <w:color w:val="auto"/>
              </w:rPr>
            </w:pPr>
            <w:r>
              <w:rPr>
                <w:rFonts w:ascii="Arial" w:cs="Arial" w:eastAsia="Arial" w:hAnsi="Arial"/>
                <w:sz w:val="14"/>
                <w:szCs w:val="14"/>
                <w:color w:val="auto"/>
              </w:rPr>
              <w:t>financial performance.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-542925</wp:posOffset>
            </wp:positionV>
            <wp:extent cx="7132320" cy="10369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7132320" cy="103695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p>
      <w:pPr>
        <w:spacing w:after="0" w:line="39"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Jim Currier</w:t>
      </w:r>
      <w:r>
        <w:rPr>
          <w:rFonts w:ascii="Arial" w:cs="Arial" w:eastAsia="Arial" w:hAnsi="Arial"/>
          <w:sz w:val="14"/>
          <w:szCs w:val="14"/>
          <w:color w:val="auto"/>
        </w:rPr>
        <w:t>, 58</w:t>
      </w:r>
    </w:p>
    <w:p>
      <w:pPr>
        <w:spacing w:after="0" w:line="2" w:lineRule="exact"/>
        <w:rPr>
          <w:sz w:val="20"/>
          <w:szCs w:val="20"/>
          <w:color w:val="auto"/>
        </w:rPr>
      </w:pPr>
    </w:p>
    <w:p>
      <w:pPr>
        <w:ind w:left="1420"/>
        <w:spacing w:after="0"/>
        <w:rPr>
          <w:sz w:val="20"/>
          <w:szCs w:val="20"/>
          <w:color w:val="auto"/>
        </w:rPr>
      </w:pPr>
      <w:r>
        <w:rPr>
          <w:rFonts w:ascii="Arial" w:cs="Arial" w:eastAsia="Arial" w:hAnsi="Arial"/>
          <w:sz w:val="14"/>
          <w:szCs w:val="14"/>
          <w:color w:val="auto"/>
        </w:rPr>
        <w:t>2023</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jc w:val="both"/>
        <w:ind w:right="20"/>
        <w:spacing w:after="0" w:line="269" w:lineRule="auto"/>
        <w:rPr>
          <w:sz w:val="20"/>
          <w:szCs w:val="20"/>
          <w:color w:val="auto"/>
        </w:rPr>
      </w:pPr>
      <w:r>
        <w:rPr>
          <w:rFonts w:ascii="Arial" w:cs="Arial" w:eastAsia="Arial" w:hAnsi="Arial"/>
          <w:sz w:val="14"/>
          <w:szCs w:val="14"/>
          <w:color w:val="auto"/>
        </w:rPr>
        <w:t>President and Chief Executive Officer, Aerospace Technologies since January 2024. President and Chief Executive Officer, Aerospace from August 2023 to December 2023. President, Electronic Solutions from June 2021 to August 2023. President, EMAI Aftermarket organization from October 2019 to June 2021. Vice President of Airlines, North America from October 2018 to October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-2140585</wp:posOffset>
            </wp:positionH>
            <wp:positionV relativeFrom="paragraph">
              <wp:posOffset>61595</wp:posOffset>
            </wp:positionV>
            <wp:extent cx="71323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5" w:lineRule="exact"/>
        <w:rPr>
          <w:sz w:val="20"/>
          <w:szCs w:val="20"/>
          <w:color w:val="auto"/>
        </w:rPr>
      </w:pPr>
    </w:p>
    <w:p>
      <w:pPr>
        <w:sectPr>
          <w:pgSz w:w="11900" w:h="16838" w:orient="portrait"/>
          <w:cols w:equalWidth="0" w:num="2">
            <w:col w:w="2660" w:space="720"/>
            <w:col w:w="7860"/>
          </w:cols>
          <w:pgMar w:left="320" w:top="162" w:right="339" w:bottom="1440" w:gutter="0" w:footer="0" w:header="0"/>
          <w:type w:val="continuous"/>
        </w:sectPr>
      </w:pPr>
    </w:p>
    <w:p>
      <w:pPr>
        <w:ind w:left="1420"/>
        <w:spacing w:after="0" w:line="264" w:lineRule="auto"/>
        <w:rPr>
          <w:sz w:val="20"/>
          <w:szCs w:val="20"/>
          <w:color w:val="auto"/>
        </w:rPr>
      </w:pPr>
      <w:r>
        <w:rPr>
          <w:rFonts w:ascii="Arial" w:cs="Arial" w:eastAsia="Arial" w:hAnsi="Arial"/>
          <w:sz w:val="14"/>
          <w:szCs w:val="14"/>
          <w:b w:val="1"/>
          <w:bCs w:val="1"/>
          <w:color w:val="auto"/>
        </w:rPr>
        <w:t>Billal M. Hammoud</w:t>
      </w:r>
      <w:r>
        <w:rPr>
          <w:rFonts w:ascii="Arial" w:cs="Arial" w:eastAsia="Arial" w:hAnsi="Arial"/>
          <w:sz w:val="14"/>
          <w:szCs w:val="14"/>
          <w:color w:val="auto"/>
        </w:rPr>
        <w:t>, 52</w:t>
      </w:r>
      <w:r>
        <w:rPr>
          <w:rFonts w:ascii="Arial" w:cs="Arial" w:eastAsia="Arial" w:hAnsi="Arial"/>
          <w:sz w:val="14"/>
          <w:szCs w:val="14"/>
          <w:b w:val="1"/>
          <w:bCs w:val="1"/>
          <w:color w:val="auto"/>
        </w:rPr>
        <w:t xml:space="preserve"> </w:t>
      </w:r>
      <w:r>
        <w:rPr>
          <w:rFonts w:ascii="Arial" w:cs="Arial" w:eastAsia="Arial" w:hAnsi="Arial"/>
          <w:sz w:val="14"/>
          <w:szCs w:val="14"/>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-201295</wp:posOffset>
            </wp:positionV>
            <wp:extent cx="651510" cy="4718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651510" cy="4718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right="20"/>
        <w:spacing w:after="0" w:line="267" w:lineRule="auto"/>
        <w:rPr>
          <w:sz w:val="20"/>
          <w:szCs w:val="20"/>
          <w:color w:val="auto"/>
        </w:rPr>
      </w:pPr>
      <w:r>
        <w:rPr>
          <w:rFonts w:ascii="Arial" w:cs="Arial" w:eastAsia="Arial" w:hAnsi="Arial"/>
          <w:sz w:val="14"/>
          <w:szCs w:val="14"/>
          <w:color w:val="auto"/>
        </w:rPr>
        <w:t>President and Chief Executive Officer, Building Automation since January 2024. President and Chief Executive Officer, Honeywell Building Technologies from April 2023 to December 2023. President of Smart Energy and Thermal Solutions in Performance Materials and Technologies from November 2021 to March 2023. From April 2017 to November 2021, Mr. Hammoud served as President of ESAB Americas and Global Fabrication Solutions at Colfax where he led strategy, business operations, and financial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-2140585</wp:posOffset>
            </wp:positionH>
            <wp:positionV relativeFrom="paragraph">
              <wp:posOffset>3175</wp:posOffset>
            </wp:positionV>
            <wp:extent cx="71323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 w:lineRule="exact"/>
        <w:rPr>
          <w:sz w:val="20"/>
          <w:szCs w:val="20"/>
          <w:color w:val="auto"/>
        </w:rPr>
      </w:pPr>
    </w:p>
    <w:p>
      <w:pPr>
        <w:sectPr>
          <w:pgSz w:w="11900" w:h="16838" w:orient="portrait"/>
          <w:cols w:equalWidth="0" w:num="2">
            <w:col w:w="2940" w:space="440"/>
            <w:col w:w="7860"/>
          </w:cols>
          <w:pgMar w:left="320" w:top="162" w:right="339" w:bottom="1440" w:gutter="0" w:footer="0" w:header="0"/>
          <w:type w:val="continuous"/>
        </w:sectPr>
      </w:pPr>
    </w:p>
    <w:p>
      <w:pPr>
        <w:ind w:left="1420"/>
        <w:spacing w:after="0"/>
        <w:rPr>
          <w:sz w:val="20"/>
          <w:szCs w:val="20"/>
          <w:color w:val="auto"/>
        </w:rPr>
      </w:pPr>
      <w:r>
        <w:rPr>
          <w:rFonts w:ascii="Arial" w:cs="Arial" w:eastAsia="Arial" w:hAnsi="Arial"/>
          <w:sz w:val="14"/>
          <w:szCs w:val="14"/>
          <w:b w:val="1"/>
          <w:bCs w:val="1"/>
          <w:color w:val="auto"/>
        </w:rPr>
        <w:t>Vimal Kapur</w:t>
      </w:r>
      <w:r>
        <w:rPr>
          <w:rFonts w:ascii="Arial" w:cs="Arial" w:eastAsia="Arial" w:hAnsi="Arial"/>
          <w:sz w:val="14"/>
          <w:szCs w:val="14"/>
          <w:color w:val="auto"/>
        </w:rPr>
        <w:t>,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-35560</wp:posOffset>
            </wp:positionV>
            <wp:extent cx="651510" cy="4718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651510" cy="47180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4"/>
          <w:szCs w:val="14"/>
          <w:color w:val="auto"/>
        </w:rPr>
        <w:t>2018</w:t>
      </w:r>
    </w:p>
    <w:p>
      <w:pPr>
        <w:spacing w:after="0" w:line="20" w:lineRule="exact"/>
        <w:rPr>
          <w:sz w:val="20"/>
          <w:szCs w:val="20"/>
          <w:color w:val="auto"/>
        </w:rPr>
      </w:pPr>
      <w:r>
        <w:rPr>
          <w:sz w:val="20"/>
          <w:szCs w:val="20"/>
          <w:color w:val="auto"/>
        </w:rPr>
        <w:br w:type="column"/>
      </w:r>
    </w:p>
    <w:p>
      <w:pPr>
        <w:jc w:val="both"/>
        <w:ind w:right="20"/>
        <w:spacing w:after="0" w:line="269" w:lineRule="auto"/>
        <w:rPr>
          <w:sz w:val="20"/>
          <w:szCs w:val="20"/>
          <w:color w:val="auto"/>
        </w:rPr>
      </w:pPr>
      <w:r>
        <w:rPr>
          <w:rFonts w:ascii="Arial" w:cs="Arial" w:eastAsia="Arial" w:hAnsi="Arial"/>
          <w:sz w:val="14"/>
          <w:szCs w:val="14"/>
          <w:color w:val="auto"/>
        </w:rPr>
        <w:t>Chairman of the Board since June 2024 and Chief Executive Officer since June 2023. President and Chief Operating Officer from July 2022 to May 2023. President and Chief Executive Officer, Performance Materials and Technologies from July 2021 to October 2022. President and Chief Executive Officer, Honeywell Building Technologies from June 2018 to June 2021. President of Honeywell Process Solutions from May 2014 to May 2018.</w:t>
      </w:r>
    </w:p>
    <w:p>
      <w:pPr>
        <w:spacing w:after="0" w:line="200" w:lineRule="exact"/>
        <w:rPr>
          <w:sz w:val="20"/>
          <w:szCs w:val="20"/>
          <w:color w:val="auto"/>
        </w:rPr>
      </w:pPr>
    </w:p>
    <w:p>
      <w:pPr>
        <w:sectPr>
          <w:pgSz w:w="11900" w:h="16838" w:orient="portrait"/>
          <w:cols w:equalWidth="0" w:num="2">
            <w:col w:w="2660" w:space="720"/>
            <w:col w:w="7860"/>
          </w:cols>
          <w:pgMar w:left="320" w:top="162" w:right="339" w:bottom="1440" w:gutter="0" w:footer="0" w:header="0"/>
          <w:type w:val="continuous"/>
        </w:sectPr>
      </w:pP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100" w:type="dxa"/>
            <w:vAlign w:val="bottom"/>
            <w:tcBorders>
              <w:top w:val="single" w:sz="8" w:color="61656A"/>
            </w:tcBorders>
          </w:tcPr>
          <w:p>
            <w:pPr>
              <w:ind w:left="1420"/>
              <w:spacing w:after="0"/>
              <w:rPr>
                <w:sz w:val="20"/>
                <w:szCs w:val="20"/>
                <w:color w:val="auto"/>
              </w:rPr>
            </w:pPr>
            <w:r>
              <w:rPr>
                <w:rFonts w:ascii="Arial" w:cs="Arial" w:eastAsia="Arial" w:hAnsi="Arial"/>
                <w:sz w:val="14"/>
                <w:szCs w:val="14"/>
                <w:b w:val="1"/>
                <w:bCs w:val="1"/>
                <w:color w:val="auto"/>
              </w:rPr>
              <w:t>Gregory P. Lewis</w:t>
            </w:r>
            <w:r>
              <w:rPr>
                <w:rFonts w:ascii="Arial" w:cs="Arial" w:eastAsia="Arial" w:hAnsi="Arial"/>
                <w:sz w:val="14"/>
                <w:szCs w:val="14"/>
                <w:color w:val="auto"/>
              </w:rPr>
              <w:t>, 57</w:t>
            </w:r>
          </w:p>
        </w:tc>
        <w:tc>
          <w:tcPr>
            <w:tcW w:w="8140" w:type="dxa"/>
            <w:vAlign w:val="bottom"/>
            <w:tcBorders>
              <w:top w:val="single" w:sz="8" w:color="61656A"/>
            </w:tcBorders>
          </w:tcPr>
          <w:p>
            <w:pPr>
              <w:ind w:left="280"/>
              <w:spacing w:after="0"/>
              <w:rPr>
                <w:sz w:val="20"/>
                <w:szCs w:val="20"/>
                <w:color w:val="auto"/>
              </w:rPr>
            </w:pPr>
            <w:r>
              <w:rPr>
                <w:rFonts w:ascii="Arial" w:cs="Arial" w:eastAsia="Arial" w:hAnsi="Arial"/>
                <w:sz w:val="14"/>
                <w:szCs w:val="14"/>
                <w:color w:val="auto"/>
              </w:rPr>
              <w:t>Senior Vice President and Chief Financial Officer since August 2018. Vice President of Enterprise Information Management</w:t>
            </w:r>
          </w:p>
        </w:tc>
      </w:tr>
      <w:tr>
        <w:trPr>
          <w:trHeight w:val="207"/>
        </w:trPr>
        <w:tc>
          <w:tcPr>
            <w:tcW w:w="3100" w:type="dxa"/>
            <w:vAlign w:val="bottom"/>
          </w:tcPr>
          <w:p>
            <w:pPr>
              <w:ind w:left="1420"/>
              <w:spacing w:after="0"/>
              <w:rPr>
                <w:sz w:val="20"/>
                <w:szCs w:val="20"/>
                <w:color w:val="auto"/>
              </w:rPr>
            </w:pPr>
            <w:r>
              <w:rPr>
                <w:rFonts w:ascii="Arial" w:cs="Arial" w:eastAsia="Arial" w:hAnsi="Arial"/>
                <w:sz w:val="14"/>
                <w:szCs w:val="14"/>
                <w:color w:val="auto"/>
              </w:rPr>
              <w:t>2018</w:t>
            </w:r>
          </w:p>
        </w:tc>
        <w:tc>
          <w:tcPr>
            <w:tcW w:w="8140" w:type="dxa"/>
            <w:vAlign w:val="bottom"/>
          </w:tcPr>
          <w:p>
            <w:pPr>
              <w:ind w:left="280"/>
              <w:spacing w:after="0"/>
              <w:rPr>
                <w:sz w:val="20"/>
                <w:szCs w:val="20"/>
                <w:color w:val="auto"/>
              </w:rPr>
            </w:pPr>
            <w:r>
              <w:rPr>
                <w:rFonts w:ascii="Arial" w:cs="Arial" w:eastAsia="Arial" w:hAnsi="Arial"/>
                <w:sz w:val="14"/>
                <w:szCs w:val="14"/>
                <w:color w:val="auto"/>
              </w:rPr>
              <w:t>from October 2016 to April 2018, prior to being named Vice President, Corporate Finance in May 2018. Chief Financial</w:t>
            </w:r>
          </w:p>
        </w:tc>
      </w:tr>
      <w:tr>
        <w:trPr>
          <w:trHeight w:val="190"/>
        </w:trPr>
        <w:tc>
          <w:tcPr>
            <w:tcW w:w="3100" w:type="dxa"/>
            <w:vAlign w:val="bottom"/>
          </w:tcPr>
          <w:p>
            <w:pPr>
              <w:spacing w:after="0"/>
              <w:rPr>
                <w:sz w:val="16"/>
                <w:szCs w:val="16"/>
                <w:color w:val="auto"/>
              </w:rPr>
            </w:pPr>
          </w:p>
        </w:tc>
        <w:tc>
          <w:tcPr>
            <w:tcW w:w="8140" w:type="dxa"/>
            <w:vAlign w:val="bottom"/>
          </w:tcPr>
          <w:p>
            <w:pPr>
              <w:ind w:left="280"/>
              <w:spacing w:after="0"/>
              <w:rPr>
                <w:sz w:val="20"/>
                <w:szCs w:val="20"/>
                <w:color w:val="auto"/>
              </w:rPr>
            </w:pPr>
            <w:r>
              <w:rPr>
                <w:rFonts w:ascii="Arial" w:cs="Arial" w:eastAsia="Arial" w:hAnsi="Arial"/>
                <w:sz w:val="14"/>
                <w:szCs w:val="14"/>
                <w:color w:val="auto"/>
              </w:rPr>
              <w:t>Officer of Automation and Control Solutions from April 2013 to September 2016.</w:t>
            </w:r>
          </w:p>
        </w:tc>
      </w:tr>
      <w:tr>
        <w:trPr>
          <w:trHeight w:val="480"/>
        </w:trPr>
        <w:tc>
          <w:tcPr>
            <w:tcW w:w="3100" w:type="dxa"/>
            <w:vAlign w:val="bottom"/>
            <w:tcBorders>
              <w:bottom w:val="single" w:sz="8" w:color="61656A"/>
            </w:tcBorders>
          </w:tcPr>
          <w:p>
            <w:pPr>
              <w:spacing w:after="0"/>
              <w:rPr>
                <w:sz w:val="24"/>
                <w:szCs w:val="24"/>
                <w:color w:val="auto"/>
              </w:rPr>
            </w:pPr>
          </w:p>
        </w:tc>
        <w:tc>
          <w:tcPr>
            <w:tcW w:w="8140" w:type="dxa"/>
            <w:vAlign w:val="bottom"/>
            <w:tcBorders>
              <w:bottom w:val="single" w:sz="8" w:color="61656A"/>
            </w:tcBorders>
          </w:tcPr>
          <w:p>
            <w:pPr>
              <w:spacing w:after="0"/>
              <w:rPr>
                <w:sz w:val="24"/>
                <w:szCs w:val="24"/>
                <w:color w:val="auto"/>
              </w:rPr>
            </w:pPr>
          </w:p>
        </w:tc>
      </w:tr>
      <w:tr>
        <w:trPr>
          <w:trHeight w:val="155"/>
        </w:trPr>
        <w:tc>
          <w:tcPr>
            <w:tcW w:w="3100" w:type="dxa"/>
            <w:vAlign w:val="bottom"/>
          </w:tcPr>
          <w:p>
            <w:pPr>
              <w:ind w:left="1420"/>
              <w:spacing w:after="0" w:line="155" w:lineRule="exact"/>
              <w:rPr>
                <w:sz w:val="20"/>
                <w:szCs w:val="20"/>
                <w:color w:val="auto"/>
              </w:rPr>
            </w:pPr>
            <w:r>
              <w:rPr>
                <w:rFonts w:ascii="Arial" w:cs="Arial" w:eastAsia="Arial" w:hAnsi="Arial"/>
                <w:sz w:val="14"/>
                <w:szCs w:val="14"/>
                <w:b w:val="1"/>
                <w:bCs w:val="1"/>
                <w:color w:val="auto"/>
              </w:rPr>
              <w:t>Anne T. Madden</w:t>
            </w:r>
            <w:r>
              <w:rPr>
                <w:rFonts w:ascii="Arial" w:cs="Arial" w:eastAsia="Arial" w:hAnsi="Arial"/>
                <w:sz w:val="14"/>
                <w:szCs w:val="14"/>
                <w:color w:val="auto"/>
              </w:rPr>
              <w:t>, 60</w:t>
            </w:r>
          </w:p>
        </w:tc>
        <w:tc>
          <w:tcPr>
            <w:tcW w:w="8140" w:type="dxa"/>
            <w:vAlign w:val="bottom"/>
          </w:tcPr>
          <w:p>
            <w:pPr>
              <w:ind w:left="280"/>
              <w:spacing w:after="0" w:line="155" w:lineRule="exact"/>
              <w:rPr>
                <w:sz w:val="20"/>
                <w:szCs w:val="20"/>
                <w:color w:val="auto"/>
              </w:rPr>
            </w:pPr>
            <w:r>
              <w:rPr>
                <w:rFonts w:ascii="Arial" w:cs="Arial" w:eastAsia="Arial" w:hAnsi="Arial"/>
                <w:sz w:val="14"/>
                <w:szCs w:val="14"/>
                <w:color w:val="auto"/>
              </w:rPr>
              <w:t>Senior Vice President and General Counsel since October 2017. Corporate Secretary from February 2018 to September</w:t>
            </w:r>
          </w:p>
        </w:tc>
      </w:tr>
      <w:tr>
        <w:trPr>
          <w:trHeight w:val="222"/>
        </w:trPr>
        <w:tc>
          <w:tcPr>
            <w:tcW w:w="3100" w:type="dxa"/>
            <w:vAlign w:val="bottom"/>
          </w:tcPr>
          <w:p>
            <w:pPr>
              <w:ind w:left="1420"/>
              <w:spacing w:after="0"/>
              <w:rPr>
                <w:sz w:val="20"/>
                <w:szCs w:val="20"/>
                <w:color w:val="auto"/>
              </w:rPr>
            </w:pPr>
            <w:r>
              <w:rPr>
                <w:rFonts w:ascii="Arial" w:cs="Arial" w:eastAsia="Arial" w:hAnsi="Arial"/>
                <w:sz w:val="14"/>
                <w:szCs w:val="14"/>
                <w:color w:val="auto"/>
              </w:rPr>
              <w:t>2017</w:t>
            </w:r>
          </w:p>
        </w:tc>
        <w:tc>
          <w:tcPr>
            <w:tcW w:w="8140" w:type="dxa"/>
            <w:vAlign w:val="bottom"/>
          </w:tcPr>
          <w:p>
            <w:pPr>
              <w:ind w:left="280"/>
              <w:spacing w:after="0"/>
              <w:rPr>
                <w:sz w:val="20"/>
                <w:szCs w:val="20"/>
                <w:color w:val="auto"/>
              </w:rPr>
            </w:pPr>
            <w:r>
              <w:rPr>
                <w:rFonts w:ascii="Arial" w:cs="Arial" w:eastAsia="Arial" w:hAnsi="Arial"/>
                <w:sz w:val="14"/>
                <w:szCs w:val="14"/>
                <w:color w:val="auto"/>
              </w:rPr>
              <w:t>2019. Vice President of Corporate Development and Global Head of M&amp;A from January 2002 to October 2017.</w:t>
            </w:r>
          </w:p>
        </w:tc>
      </w:tr>
      <w:tr>
        <w:trPr>
          <w:trHeight w:val="670"/>
        </w:trPr>
        <w:tc>
          <w:tcPr>
            <w:tcW w:w="3100" w:type="dxa"/>
            <w:vAlign w:val="bottom"/>
            <w:tcBorders>
              <w:bottom w:val="single" w:sz="8" w:color="61656A"/>
            </w:tcBorders>
          </w:tcPr>
          <w:p>
            <w:pPr>
              <w:spacing w:after="0"/>
              <w:rPr>
                <w:sz w:val="24"/>
                <w:szCs w:val="24"/>
                <w:color w:val="auto"/>
              </w:rPr>
            </w:pPr>
          </w:p>
        </w:tc>
        <w:tc>
          <w:tcPr>
            <w:tcW w:w="8140" w:type="dxa"/>
            <w:vAlign w:val="bottom"/>
            <w:tcBorders>
              <w:bottom w:val="single" w:sz="8" w:color="61656A"/>
            </w:tcBorders>
          </w:tcPr>
          <w:p>
            <w:pPr>
              <w:spacing w:after="0"/>
              <w:rPr>
                <w:sz w:val="24"/>
                <w:szCs w:val="24"/>
                <w:color w:val="auto"/>
              </w:rPr>
            </w:pPr>
          </w:p>
        </w:tc>
      </w:tr>
      <w:tr>
        <w:trPr>
          <w:trHeight w:val="155"/>
        </w:trPr>
        <w:tc>
          <w:tcPr>
            <w:tcW w:w="3100" w:type="dxa"/>
            <w:vAlign w:val="bottom"/>
          </w:tcPr>
          <w:p>
            <w:pPr>
              <w:ind w:left="1420"/>
              <w:spacing w:after="0" w:line="155" w:lineRule="exact"/>
              <w:rPr>
                <w:sz w:val="20"/>
                <w:szCs w:val="20"/>
                <w:color w:val="auto"/>
              </w:rPr>
            </w:pPr>
            <w:r>
              <w:rPr>
                <w:rFonts w:ascii="Arial" w:cs="Arial" w:eastAsia="Arial" w:hAnsi="Arial"/>
                <w:sz w:val="14"/>
                <w:szCs w:val="14"/>
                <w:b w:val="1"/>
                <w:bCs w:val="1"/>
                <w:color w:val="auto"/>
              </w:rPr>
              <w:t>Karen Mattimore</w:t>
            </w:r>
            <w:r>
              <w:rPr>
                <w:rFonts w:ascii="Arial" w:cs="Arial" w:eastAsia="Arial" w:hAnsi="Arial"/>
                <w:sz w:val="14"/>
                <w:szCs w:val="14"/>
                <w:color w:val="auto"/>
              </w:rPr>
              <w:t>, 58</w:t>
            </w:r>
          </w:p>
        </w:tc>
        <w:tc>
          <w:tcPr>
            <w:tcW w:w="8140" w:type="dxa"/>
            <w:vAlign w:val="bottom"/>
          </w:tcPr>
          <w:p>
            <w:pPr>
              <w:ind w:left="280"/>
              <w:spacing w:after="0" w:line="155" w:lineRule="exact"/>
              <w:rPr>
                <w:sz w:val="20"/>
                <w:szCs w:val="20"/>
                <w:color w:val="auto"/>
              </w:rPr>
            </w:pPr>
            <w:r>
              <w:rPr>
                <w:rFonts w:ascii="Arial" w:cs="Arial" w:eastAsia="Arial" w:hAnsi="Arial"/>
                <w:sz w:val="14"/>
                <w:szCs w:val="14"/>
                <w:color w:val="auto"/>
              </w:rPr>
              <w:t>Senior Vice President and Chief Human Resources Officer since June 2020. Vice President, Human Resources and</w:t>
            </w:r>
          </w:p>
        </w:tc>
      </w:tr>
      <w:tr>
        <w:trPr>
          <w:trHeight w:val="207"/>
        </w:trPr>
        <w:tc>
          <w:tcPr>
            <w:tcW w:w="3100" w:type="dxa"/>
            <w:vAlign w:val="bottom"/>
          </w:tcPr>
          <w:p>
            <w:pPr>
              <w:ind w:left="1420"/>
              <w:spacing w:after="0"/>
              <w:rPr>
                <w:sz w:val="20"/>
                <w:szCs w:val="20"/>
                <w:color w:val="auto"/>
              </w:rPr>
            </w:pPr>
            <w:r>
              <w:rPr>
                <w:rFonts w:ascii="Arial" w:cs="Arial" w:eastAsia="Arial" w:hAnsi="Arial"/>
                <w:sz w:val="14"/>
                <w:szCs w:val="14"/>
                <w:color w:val="auto"/>
              </w:rPr>
              <w:t>2020</w:t>
            </w:r>
          </w:p>
        </w:tc>
        <w:tc>
          <w:tcPr>
            <w:tcW w:w="8140" w:type="dxa"/>
            <w:vAlign w:val="bottom"/>
          </w:tcPr>
          <w:p>
            <w:pPr>
              <w:ind w:left="280"/>
              <w:spacing w:after="0"/>
              <w:rPr>
                <w:sz w:val="20"/>
                <w:szCs w:val="20"/>
                <w:color w:val="auto"/>
              </w:rPr>
            </w:pPr>
            <w:r>
              <w:rPr>
                <w:rFonts w:ascii="Arial" w:cs="Arial" w:eastAsia="Arial" w:hAnsi="Arial"/>
                <w:sz w:val="14"/>
                <w:szCs w:val="14"/>
                <w:color w:val="auto"/>
              </w:rPr>
              <w:t>Communications, Aerospace from February 2018 to June 2020. Vice President, Human Resources Services from April</w:t>
            </w:r>
          </w:p>
        </w:tc>
      </w:tr>
      <w:tr>
        <w:trPr>
          <w:trHeight w:val="190"/>
        </w:trPr>
        <w:tc>
          <w:tcPr>
            <w:tcW w:w="3100" w:type="dxa"/>
            <w:vAlign w:val="bottom"/>
          </w:tcPr>
          <w:p>
            <w:pPr>
              <w:spacing w:after="0"/>
              <w:rPr>
                <w:sz w:val="16"/>
                <w:szCs w:val="16"/>
                <w:color w:val="auto"/>
              </w:rPr>
            </w:pPr>
          </w:p>
        </w:tc>
        <w:tc>
          <w:tcPr>
            <w:tcW w:w="8140" w:type="dxa"/>
            <w:vAlign w:val="bottom"/>
          </w:tcPr>
          <w:p>
            <w:pPr>
              <w:ind w:left="280"/>
              <w:spacing w:after="0"/>
              <w:rPr>
                <w:sz w:val="20"/>
                <w:szCs w:val="20"/>
                <w:color w:val="auto"/>
              </w:rPr>
            </w:pPr>
            <w:r>
              <w:rPr>
                <w:rFonts w:ascii="Arial" w:cs="Arial" w:eastAsia="Arial" w:hAnsi="Arial"/>
                <w:sz w:val="14"/>
                <w:szCs w:val="14"/>
                <w:color w:val="auto"/>
              </w:rPr>
              <w:t>2015 to February 2018.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313690</wp:posOffset>
            </wp:positionV>
            <wp:extent cx="71323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-1631950</wp:posOffset>
            </wp:positionV>
            <wp:extent cx="642620" cy="4629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642620" cy="46291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-963295</wp:posOffset>
            </wp:positionV>
            <wp:extent cx="651510" cy="4718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651510" cy="47180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-285750</wp:posOffset>
            </wp:positionV>
            <wp:extent cx="651510" cy="47180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651510" cy="47180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type w:val="continuous"/>
        </w:sectPr>
      </w:pPr>
    </w:p>
    <w:p>
      <w:pPr>
        <w:spacing w:after="0" w:line="200" w:lineRule="exact"/>
        <w:rPr>
          <w:sz w:val="20"/>
          <w:szCs w:val="20"/>
          <w:color w:val="auto"/>
        </w:rPr>
      </w:pPr>
    </w:p>
    <w:p>
      <w:pPr>
        <w:spacing w:after="0" w:line="312"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Ken West</w:t>
      </w:r>
      <w:r>
        <w:rPr>
          <w:rFonts w:ascii="Arial" w:cs="Arial" w:eastAsia="Arial" w:hAnsi="Arial"/>
          <w:sz w:val="14"/>
          <w:szCs w:val="14"/>
          <w:color w:val="auto"/>
        </w:rPr>
        <w:t>, 47</w:t>
      </w:r>
    </w:p>
    <w:p>
      <w:pPr>
        <w:spacing w:after="0" w:line="2" w:lineRule="exact"/>
        <w:rPr>
          <w:sz w:val="20"/>
          <w:szCs w:val="20"/>
          <w:color w:val="auto"/>
        </w:rPr>
      </w:pPr>
    </w:p>
    <w:p>
      <w:pPr>
        <w:ind w:left="1420"/>
        <w:spacing w:after="0"/>
        <w:rPr>
          <w:sz w:val="20"/>
          <w:szCs w:val="20"/>
          <w:color w:val="auto"/>
        </w:rPr>
      </w:pPr>
      <w:r>
        <w:rPr>
          <w:rFonts w:ascii="Arial" w:cs="Arial" w:eastAsia="Arial" w:hAnsi="Arial"/>
          <w:sz w:val="14"/>
          <w:szCs w:val="14"/>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-70485</wp:posOffset>
            </wp:positionV>
            <wp:extent cx="651510" cy="4718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651510" cy="4718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5" w:lineRule="exact"/>
        <w:rPr>
          <w:sz w:val="20"/>
          <w:szCs w:val="20"/>
          <w:color w:val="auto"/>
        </w:rPr>
      </w:pPr>
    </w:p>
    <w:p>
      <w:pPr>
        <w:jc w:val="both"/>
        <w:ind w:right="20"/>
        <w:spacing w:after="0" w:line="266" w:lineRule="auto"/>
        <w:rPr>
          <w:sz w:val="20"/>
          <w:szCs w:val="20"/>
          <w:color w:val="auto"/>
        </w:rPr>
      </w:pPr>
      <w:r>
        <w:rPr>
          <w:rFonts w:ascii="Arial" w:cs="Arial" w:eastAsia="Arial" w:hAnsi="Arial"/>
          <w:sz w:val="14"/>
          <w:szCs w:val="14"/>
          <w:color w:val="auto"/>
        </w:rPr>
        <w:t>President and Chief Executive Officer, Energy and Sustainability Solutions since January 2024. Mr. West previously held roles within Performance Materials and Technologies, including President and Chief Executive Officer, Honeywell UOP from July 2023 to December 2023, President and Chief Executive Officer, Advanced Materials from January 2022 to July 2023, Vice President and General Manager of the Fluorine Products business from April 2021 to January 2022, Vice President and General Manager of the Life Sciences, Protective, and Industrial Products business from June 2020 to April 2021, and Vice President and General Manager of the Packaging and Composites business from October 2018 to June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-2140585</wp:posOffset>
            </wp:positionH>
            <wp:positionV relativeFrom="paragraph">
              <wp:posOffset>114935</wp:posOffset>
            </wp:positionV>
            <wp:extent cx="713232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660" w:space="720"/>
            <w:col w:w="7860"/>
          </w:cols>
          <w:pgMar w:left="320" w:top="16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00" w:hanging="392"/>
        <w:spacing w:after="0"/>
        <w:tabs>
          <w:tab w:leader="none" w:pos="400" w:val="left"/>
        </w:tabs>
        <w:numPr>
          <w:ilvl w:val="0"/>
          <w:numId w:val="97"/>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type w:val="continuous"/>
        </w:sectPr>
      </w:pPr>
    </w:p>
    <w:bookmarkStart w:id="48" w:name="page49"/>
    <w:bookmarkEnd w:id="48"/>
    <w:p>
      <w:pPr>
        <w:ind w:left="20"/>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UNRESOLVED STAFF COMMENTS</w:t>
      </w:r>
    </w:p>
    <w:p>
      <w:pPr>
        <w:spacing w:after="0" w:line="393"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359"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CYBERSECURITY</w:t>
      </w:r>
    </w:p>
    <w:p>
      <w:pPr>
        <w:spacing w:after="0" w:line="379"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We maintain a cybersecurity risk management program designed to assess, identify, manage, and govern material risks from cybersecurity threats. Our cybersecurity risk management program is a key component of our overall enterprise risk management program. We maintain cybersecurity policies and procedures in accordance with industry standard control frameworks and applicable regulations, laws, and standards. We maintain oversight of our cybersecurity risk management program via a corporate structure that includes a Cybersecurity Disclosure Committee, a Security Governance Council, the Audit Committee, and the Board.</w:t>
      </w:r>
    </w:p>
    <w:p>
      <w:pPr>
        <w:spacing w:after="0" w:line="6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assess and evaluate cybersecurity-related risks on a quarterly basis or as needed, to determine whether any such risks have the potential to materially impact our business operations, revenue, and expenditures and to understand the degree of such risks relative to other risks faced by Honeywell. Our Chief Security Officer served in various roles in IT and information security for over 30 years, including security-related roles in technology deployments, product development, product security, supply chain, and operations. He holds a Bachelor of Science in computer science from the Georgia Institute of Technology.</w:t>
      </w:r>
    </w:p>
    <w:p>
      <w:pPr>
        <w:spacing w:after="0" w:line="65"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Our Security Governance Council, which meets quarterly or as needed, is led by our Chief Security Officer, and includes members of senior executive leadership. Our Security Governance Council maintains a security program designed to monitor and track key security performance indicators, and provides regular updates to the Audit Committee for review and oversight. Our Chief Security Officer also provides updates directly to the full Board once a year and directly to the Audit Committee at least twice a year or as needed. These updates cover topics related to information security, privacy, cyber risks and risk management processes, including the status of significant cybersecurity incidents, the emerging threat landscape, and the status of projects to strengthen the Company’s information security posture.</w:t>
      </w:r>
    </w:p>
    <w:p>
      <w:pPr>
        <w:spacing w:after="0" w:line="6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Honeywell’s Cybersecurity Disclosure Committee receives updates at least quarterly or as needed from Honeywell’s global security organization regarding cybersecurity incidents. The Cybersecurity Disclosure Committee includes Honeywell’s Chief Information Security Officer, Chief Security Officer, and senior representatives from finance, controllership, internal audit, investor relations, tax, and legal. Our governance, risk and compliance team, which is part of Honeywell’s enterprise security team, works in partnership with the Company’s internal audit team to review cybersecurity and IT-related internal controls as part of our overall internal controls process. The Cybersecurity Disclosure Committee informs the Security Governance Council and the Audit Committee of any cybersecurity incidents (if any) that have the potential to materially adversely impact the Company or our information systems.</w:t>
      </w:r>
    </w:p>
    <w:p>
      <w:pPr>
        <w:spacing w:after="0" w:line="8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Honeywell’s Board is responsible for cybersecurity risk oversight and delegated such oversight to the Audit Committee. The Audit Committee, a committee comprised of independent Board members, four of whom have notable experience related to the oversight of cybersecurity issues, is responsible for oversight of Honeywell’s IT and cybersecurity risks and regularly reports to the Board on IT and cybersecurity matters. The Audit Committee oversees risk related to the protection of customer and employee data, trade secrets, and other proprietary information, the security of data on the cloud, persistent threats, and cybersecurity risks associated with the Company’s own products and facilities.</w:t>
      </w:r>
    </w:p>
    <w:p>
      <w:pPr>
        <w:spacing w:after="0" w:line="83"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Our Chief Information Security Officer reports to our Chief Security Officer and oversees the global enterprise security team responsible for leading enterprise-wide information security strategy, architecture, and processes. The global enterprise information security team is responsible for infrastructure defense and security controls, performing vulnerability assessments, security incident management, and defining the parameters and standards of our information security risk management program. Our cybersecurity and information security risk management program includes risk assessment and mitigation through a threat intelligence-driven approach, application controls, and security monitoring. The risk management program leverages International Organization for Standardizations (ISO) 22301 standard for business continuity, ISO 27001 standard for information security management systems, and the National Institute of Standards and Technology (NIST) Cyber Security Framework (NIST 800-171) for measuring overall readiness to respond to cyber threats. Our Chief Information Security Officer has more than 20 years of experience in IT and information security, particularly in the engineering and technology industries. Our information security organization has more than 300 members, with expertise in: (i) application security, (ii) governance and compliance, (iii) program and vulnerability management, (iv) security engineering, (v) identity and access management, (vi) security operations security assurance, (vii) threat intelligence and security architecture, and (viii) incident response.</w:t>
      </w:r>
    </w:p>
    <w:p>
      <w:pPr>
        <w:spacing w:after="0" w:line="7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From time to time, we engage a third-party to perform periodic, internal security reviews/audits, as well as assess the adequacy of our risk management program, with the last such engagement occurring during the second half of 2024.</w:t>
      </w:r>
    </w:p>
    <w:p>
      <w:pPr>
        <w:spacing w:after="0" w:line="400" w:lineRule="exact"/>
        <w:rPr>
          <w:sz w:val="20"/>
          <w:szCs w:val="20"/>
          <w:color w:val="auto"/>
        </w:rPr>
      </w:pPr>
    </w:p>
    <w:p>
      <w:pPr>
        <w:ind w:left="400" w:hanging="392"/>
        <w:spacing w:after="0"/>
        <w:tabs>
          <w:tab w:leader="none" w:pos="400" w:val="left"/>
        </w:tabs>
        <w:numPr>
          <w:ilvl w:val="0"/>
          <w:numId w:val="98"/>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49" w:name="page50"/>
    <w:bookmarkEnd w:id="49"/>
    <w:p>
      <w:pPr>
        <w:ind w:left="20"/>
        <w:spacing w:after="0"/>
        <w:tabs>
          <w:tab w:leader="none" w:pos="1012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CYBERSECURITY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rely on third-party service providers for certain critical or key infrastructure, solutions, and services across our operations. Honeywell has a third-party risk management program that assesses risks from vendors and suppliers that provide, amongst other things, key information and supply chain services to Honeywell. In addition, the Company maintains business continuity and disaster recovery plans as well as a cybersecurity insurance policy.</w:t>
      </w:r>
    </w:p>
    <w:p>
      <w:pPr>
        <w:spacing w:after="0" w:line="5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Honeywell maintains cybersecurity and information security awareness training programs for employees. Formal training on topics relating to the Company’s cybersecurity, data privacy and information security policies and procedures is mandatory for all employees with access to the Company’s network. Training is administered and tracked through online learning modules. Additionally, Honeywell periodically engages in cyber crisis response table-top simulations to assess our ability to adapt to security-related threats. Improper or illegitimate use of the Company’s information system resources or violation of the Company’s information security policies and procedures may result in disciplinary action.</w:t>
      </w:r>
    </w:p>
    <w:p>
      <w:pPr>
        <w:spacing w:after="0" w:line="6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 xml:space="preserve">To date, no risks from cybersecurity threats, including as a result of any previous cybersecurity incidents, materially affected or are reasonably likely to materially affect our business, our business strategy, our results of operations or financial condition. Refer to “Our business, reputation, and financial performance may be materially impacted by cybersecurity attacks on our IT infrastructure and products” in the section titled </w:t>
      </w:r>
      <w:r>
        <w:rPr>
          <w:rFonts w:ascii="Arial" w:cs="Arial" w:eastAsia="Arial" w:hAnsi="Arial"/>
          <w:sz w:val="16"/>
          <w:szCs w:val="16"/>
          <w:u w:val="single" w:color="auto"/>
          <w:color w:val="0000FF"/>
        </w:rPr>
        <w:t>Risk Factors</w:t>
      </w:r>
      <w:r>
        <w:rPr>
          <w:rFonts w:ascii="Arial" w:cs="Arial" w:eastAsia="Arial" w:hAnsi="Arial"/>
          <w:sz w:val="16"/>
          <w:szCs w:val="16"/>
          <w:color w:val="auto"/>
        </w:rPr>
        <w:t xml:space="preserve"> of this Annual Report for further information on our cybersecurity risks. In the event an attack or other intrusion were to be successful, we have a response team of internal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6434455</wp:posOffset>
            </wp:positionH>
            <wp:positionV relativeFrom="paragraph">
              <wp:posOffset>-246380</wp:posOffset>
            </wp:positionV>
            <wp:extent cx="694055" cy="1200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694055" cy="12001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and external resources engaged and prepared to respond</w:t>
      </w:r>
      <w:r>
        <w:rPr>
          <w:rFonts w:ascii="Times New Roman" w:cs="Times New Roman" w:eastAsia="Times New Roman" w:hAnsi="Times New Roman"/>
          <w:sz w:val="19"/>
          <w:szCs w:val="19"/>
          <w:color w:val="auto"/>
        </w:rPr>
        <w:t>.</w:t>
      </w:r>
    </w:p>
    <w:p>
      <w:pPr>
        <w:spacing w:after="0" w:line="352"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PROPERTIES</w:t>
      </w:r>
    </w:p>
    <w:p>
      <w:pPr>
        <w:spacing w:after="0" w:line="39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We have approximately 722 locations, of which 174 are manufacturing sites. Our properties and equipment are in good operating condition and are adequate for our present needs. We do not anticipate difficulty in renewing existing leases as they expire or in finding alternative facilities. Our locations by geographic area are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6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Geographic Area</w:t>
            </w:r>
          </w:p>
        </w:tc>
        <w:tc>
          <w:tcPr>
            <w:tcW w:w="4920" w:type="dxa"/>
            <w:vAlign w:val="bottom"/>
            <w:tcBorders>
              <w:bottom w:val="single" w:sz="8" w:color="D7282F"/>
            </w:tcBorders>
          </w:tcPr>
          <w:p>
            <w:pPr>
              <w:jc w:val="right"/>
              <w:ind w:right="408"/>
              <w:spacing w:after="0"/>
              <w:rPr>
                <w:sz w:val="20"/>
                <w:szCs w:val="20"/>
                <w:color w:val="auto"/>
              </w:rPr>
            </w:pPr>
            <w:r>
              <w:rPr>
                <w:rFonts w:ascii="Arial" w:cs="Arial" w:eastAsia="Arial" w:hAnsi="Arial"/>
                <w:sz w:val="14"/>
                <w:szCs w:val="14"/>
                <w:b w:val="1"/>
                <w:bCs w:val="1"/>
                <w:color w:val="auto"/>
              </w:rPr>
              <w:t>Total Locations</w:t>
            </w:r>
          </w:p>
        </w:tc>
        <w:tc>
          <w:tcPr>
            <w:tcW w:w="172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Manufacturing Sites</w:t>
            </w:r>
          </w:p>
        </w:tc>
      </w:tr>
      <w:tr>
        <w:trPr>
          <w:trHeight w:val="193"/>
        </w:trPr>
        <w:tc>
          <w:tcPr>
            <w:tcW w:w="46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United States</w:t>
            </w:r>
          </w:p>
        </w:tc>
        <w:tc>
          <w:tcPr>
            <w:tcW w:w="492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254</w:t>
            </w:r>
          </w:p>
        </w:tc>
        <w:tc>
          <w:tcPr>
            <w:tcW w:w="17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70</w:t>
            </w:r>
          </w:p>
        </w:tc>
      </w:tr>
      <w:tr>
        <w:trPr>
          <w:trHeight w:val="196"/>
        </w:trPr>
        <w:tc>
          <w:tcPr>
            <w:tcW w:w="46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Europe</w:t>
            </w:r>
          </w:p>
        </w:tc>
        <w:tc>
          <w:tcPr>
            <w:tcW w:w="4920" w:type="dxa"/>
            <w:vAlign w:val="bottom"/>
            <w:tcBorders>
              <w:bottom w:val="single" w:sz="8" w:color="61656A"/>
            </w:tcBorders>
          </w:tcPr>
          <w:p>
            <w:pPr>
              <w:jc w:val="right"/>
              <w:ind w:right="48"/>
              <w:spacing w:after="0"/>
              <w:rPr>
                <w:sz w:val="20"/>
                <w:szCs w:val="20"/>
                <w:color w:val="auto"/>
              </w:rPr>
            </w:pPr>
            <w:r>
              <w:rPr>
                <w:rFonts w:ascii="Arial" w:cs="Arial" w:eastAsia="Arial" w:hAnsi="Arial"/>
                <w:sz w:val="14"/>
                <w:szCs w:val="14"/>
                <w:color w:val="auto"/>
              </w:rPr>
              <w:t>258</w:t>
            </w:r>
          </w:p>
        </w:tc>
        <w:tc>
          <w:tcPr>
            <w:tcW w:w="17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53</w:t>
            </w:r>
          </w:p>
        </w:tc>
      </w:tr>
      <w:tr>
        <w:trPr>
          <w:trHeight w:val="196"/>
        </w:trPr>
        <w:tc>
          <w:tcPr>
            <w:tcW w:w="460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Other international</w:t>
            </w:r>
          </w:p>
        </w:tc>
        <w:tc>
          <w:tcPr>
            <w:tcW w:w="492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color w:val="auto"/>
              </w:rPr>
              <w:t>210</w:t>
            </w:r>
          </w:p>
        </w:tc>
        <w:tc>
          <w:tcPr>
            <w:tcW w:w="17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51</w:t>
            </w:r>
          </w:p>
        </w:tc>
      </w:tr>
      <w:tr>
        <w:trPr>
          <w:trHeight w:val="199"/>
        </w:trPr>
        <w:tc>
          <w:tcPr>
            <w:tcW w:w="460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w:t>
            </w:r>
          </w:p>
        </w:tc>
        <w:tc>
          <w:tcPr>
            <w:tcW w:w="492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b w:val="1"/>
                <w:bCs w:val="1"/>
                <w:color w:val="auto"/>
              </w:rPr>
              <w:t>722</w:t>
            </w:r>
          </w:p>
        </w:tc>
        <w:tc>
          <w:tcPr>
            <w:tcW w:w="17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174</w:t>
            </w:r>
          </w:p>
        </w:tc>
      </w:tr>
    </w:tbl>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LEGAL PROCEEDINGS</w:t>
      </w:r>
    </w:p>
    <w:p>
      <w:pPr>
        <w:spacing w:after="0" w:line="39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 xml:space="preserve">We are subject to a number of lawsuits, investigations, and claims (some of which involve substantial amounts) arising out of the conduct of our business. See a discussion of environmental, asbestos, and other litigation matters in Note 19 </w:t>
      </w:r>
      <w:r>
        <w:rPr>
          <w:rFonts w:ascii="Arial" w:cs="Arial" w:eastAsia="Arial" w:hAnsi="Arial"/>
          <w:sz w:val="16"/>
          <w:szCs w:val="16"/>
          <w:u w:val="single" w:color="auto"/>
          <w:color w:val="0000FF"/>
        </w:rPr>
        <w:t>Commitments and Contingencies</w:t>
      </w:r>
      <w:r>
        <w:rPr>
          <w:rFonts w:ascii="Arial" w:cs="Arial" w:eastAsia="Arial" w:hAnsi="Arial"/>
          <w:sz w:val="16"/>
          <w:szCs w:val="16"/>
          <w:color w:val="auto"/>
        </w:rPr>
        <w:t xml:space="preserve"> of Notes to Consolidated Financial Statements.</w:t>
      </w:r>
    </w:p>
    <w:p>
      <w:pPr>
        <w:spacing w:after="0" w:line="56"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There were no matters requiring disclosure pursuant to the requirement to disclose certain environmental matters involving potential monetary sanctions in excess of $300,000.</w:t>
      </w:r>
    </w:p>
    <w:p>
      <w:pPr>
        <w:spacing w:after="0" w:line="294"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MINE SAFETY DISCLOSURES</w:t>
      </w:r>
    </w:p>
    <w:p>
      <w:pPr>
        <w:spacing w:after="0" w:line="39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One of our wholly-owned subsidiaries has a placer claim for and operates a chabazite ore surface mine in Arizona. Information concerning mine safety and other regulatory matters associated with this mine is required by Section 1503(a) of the Dodd-Frank Wall Street Reform and Consumer Protection Act and Item 104 of Regulation S-K and is included in Exhibit 95 to this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400" w:hanging="392"/>
        <w:spacing w:after="0"/>
        <w:tabs>
          <w:tab w:leader="none" w:pos="400" w:val="left"/>
        </w:tabs>
        <w:numPr>
          <w:ilvl w:val="0"/>
          <w:numId w:val="99"/>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50" w:name="page51"/>
    <w:bookmarkEnd w:id="50"/>
    <w:p>
      <w:pPr>
        <w:ind w:left="20"/>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020"/>
        <w:spacing w:after="0" w:line="274" w:lineRule="auto"/>
        <w:rPr>
          <w:sz w:val="20"/>
          <w:szCs w:val="20"/>
          <w:color w:val="auto"/>
        </w:rPr>
      </w:pPr>
      <w:r>
        <w:rPr>
          <w:rFonts w:ascii="Arial" w:cs="Arial" w:eastAsia="Arial" w:hAnsi="Arial"/>
          <w:sz w:val="36"/>
          <w:szCs w:val="36"/>
          <w:b w:val="1"/>
          <w:bCs w:val="1"/>
          <w:color w:val="auto"/>
        </w:rPr>
        <w:t>MARKET FOR REGISTRANT'S COMMON EQUITY, RELATED STOCKHOLDER MATTERS AND ISSUER PURCHASES OF EQUITY SECURITIES</w:t>
      </w:r>
    </w:p>
    <w:p>
      <w:pPr>
        <w:spacing w:after="0" w:line="25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Our common stock is listed on The Nasdaq Stock Market LLC (Nasdaq) under the ticker symbol “HON.” We increased our quarterly dividend rate by 5% to $1.13 per share of common stock effective with the fourth quarter 2024 dividend. We intend to continue to pay quarterly dividends in 2025.</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The number of record holders of our common stock as of December 31, 2024, was 31,568.</w:t>
      </w:r>
    </w:p>
    <w:p>
      <w:pPr>
        <w:spacing w:after="0" w:line="12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Information regarding securities authorized for issuance under equity compensation plans is included in the section titled </w:t>
      </w:r>
      <w:r>
        <w:rPr>
          <w:rFonts w:ascii="Arial" w:cs="Arial" w:eastAsia="Arial" w:hAnsi="Arial"/>
          <w:sz w:val="16"/>
          <w:szCs w:val="16"/>
          <w:u w:val="single" w:color="auto"/>
          <w:color w:val="0000FF"/>
        </w:rPr>
        <w:t>Security Ownership of Certain</w:t>
      </w:r>
      <w:r>
        <w:rPr>
          <w:rFonts w:ascii="Arial" w:cs="Arial" w:eastAsia="Arial" w:hAnsi="Arial"/>
          <w:sz w:val="16"/>
          <w:szCs w:val="16"/>
          <w:color w:val="auto"/>
        </w:rPr>
        <w:t xml:space="preserve"> </w:t>
      </w:r>
      <w:r>
        <w:rPr>
          <w:rFonts w:ascii="Arial" w:cs="Arial" w:eastAsia="Arial" w:hAnsi="Arial"/>
          <w:sz w:val="16"/>
          <w:szCs w:val="16"/>
          <w:u w:val="single" w:color="auto"/>
          <w:color w:val="0000FF"/>
        </w:rPr>
        <w:t>Beneficial Owners and Management and Related Stockholder Matters</w:t>
      </w:r>
      <w:r>
        <w:rPr>
          <w:rFonts w:ascii="Arial" w:cs="Arial" w:eastAsia="Arial" w:hAnsi="Arial"/>
          <w:sz w:val="16"/>
          <w:szCs w:val="16"/>
          <w:color w:val="0000FF"/>
        </w:rPr>
        <w:t xml:space="preserve"> </w:t>
      </w:r>
      <w:r>
        <w:rPr>
          <w:rFonts w:ascii="Arial" w:cs="Arial" w:eastAsia="Arial" w:hAnsi="Arial"/>
          <w:sz w:val="16"/>
          <w:szCs w:val="16"/>
          <w:color w:val="000000"/>
        </w:rPr>
        <w:t>under the caption “Equity Compensation Plans.”</w:t>
      </w:r>
    </w:p>
    <w:p>
      <w:pPr>
        <w:spacing w:after="0" w:line="6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April 24, 2023, the Board authorized the repurchase of up to $10.0 billion of Honeywell common stock. The repurchase authorization does not have an expiration date and may be amended or terminated by the Board at any time without prior notice.</w:t>
      </w:r>
    </w:p>
    <w:p>
      <w:pPr>
        <w:spacing w:after="0" w:line="4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Repurchases may be made through a variety of methods, which could include open market purchases, accelerated share repurchase transactions, negotiated block transactions, 10b5-1 plans, other transactions that may be structured through investment banking institutions or privately negotiated, or a combination of the foregoing. Honeywell presently expects to repurchase outstanding shares from time to time (i) to offset the dilutive impact of employee stock-based compensation plans, including option exercises, restricted unit vesting, and matching contributions under our savings plans, and (ii) to reduce share count via share repurchases as and when attractive opportunities arise. The amount and timing of future repurchases may vary depending on market conditions and the level of operating, financing, and other investing activities.</w:t>
      </w:r>
    </w:p>
    <w:p>
      <w:pPr>
        <w:spacing w:after="0" w:line="8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During the quarter ended December 31, 2024, Honeywell purchased 1.9 million shares of its common stock, par value $1 per share. As of December 31, 2024, $5.5 billion remained available under the share repurchase authorization for additional share repurchases. The following table summarizes our purchases of Honeywell's common stock for the quarter ended December 31, 2024:</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Issuer Purchases of Equity Securities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4080" w:type="dxa"/>
            <w:vAlign w:val="bottom"/>
            <w:tcBorders>
              <w:top w:val="single" w:sz="8" w:color="D7282F"/>
            </w:tcBorders>
          </w:tcPr>
          <w:p>
            <w:pPr>
              <w:spacing w:after="0"/>
              <w:rPr>
                <w:sz w:val="12"/>
                <w:szCs w:val="12"/>
                <w:color w:val="auto"/>
              </w:rPr>
            </w:pPr>
          </w:p>
        </w:tc>
        <w:tc>
          <w:tcPr>
            <w:tcW w:w="2360" w:type="dxa"/>
            <w:vAlign w:val="bottom"/>
            <w:tcBorders>
              <w:top w:val="single" w:sz="8" w:color="D7282F"/>
            </w:tcBorders>
          </w:tcPr>
          <w:p>
            <w:pPr>
              <w:spacing w:after="0"/>
              <w:rPr>
                <w:sz w:val="12"/>
                <w:szCs w:val="12"/>
                <w:color w:val="auto"/>
              </w:rPr>
            </w:pPr>
          </w:p>
        </w:tc>
        <w:tc>
          <w:tcPr>
            <w:tcW w:w="260" w:type="dxa"/>
            <w:vAlign w:val="bottom"/>
            <w:tcBorders>
              <w:top w:val="single" w:sz="8" w:color="D7282F"/>
            </w:tcBorders>
          </w:tcPr>
          <w:p>
            <w:pPr>
              <w:spacing w:after="0"/>
              <w:rPr>
                <w:sz w:val="12"/>
                <w:szCs w:val="12"/>
                <w:color w:val="auto"/>
              </w:rPr>
            </w:pPr>
          </w:p>
        </w:tc>
        <w:tc>
          <w:tcPr>
            <w:tcW w:w="1080" w:type="dxa"/>
            <w:vAlign w:val="bottom"/>
            <w:tcBorders>
              <w:top w:val="single" w:sz="8" w:color="D7282F"/>
            </w:tcBorders>
          </w:tcPr>
          <w:p>
            <w:pPr>
              <w:spacing w:after="0"/>
              <w:rPr>
                <w:sz w:val="12"/>
                <w:szCs w:val="12"/>
                <w:color w:val="auto"/>
              </w:rPr>
            </w:pPr>
          </w:p>
        </w:tc>
        <w:tc>
          <w:tcPr>
            <w:tcW w:w="1520" w:type="dxa"/>
            <w:vAlign w:val="bottom"/>
            <w:tcBorders>
              <w:top w:val="single" w:sz="8" w:color="D7282F"/>
            </w:tcBorders>
          </w:tcPr>
          <w:p>
            <w:pPr>
              <w:jc w:val="center"/>
              <w:spacing w:after="0" w:line="149" w:lineRule="exact"/>
              <w:rPr>
                <w:sz w:val="20"/>
                <w:szCs w:val="20"/>
                <w:color w:val="auto"/>
              </w:rPr>
            </w:pPr>
            <w:r>
              <w:rPr>
                <w:rFonts w:ascii="Arial" w:cs="Arial" w:eastAsia="Arial" w:hAnsi="Arial"/>
                <w:sz w:val="14"/>
                <w:szCs w:val="14"/>
                <w:b w:val="1"/>
                <w:bCs w:val="1"/>
                <w:color w:val="auto"/>
              </w:rPr>
              <w:t>Total Number</w:t>
            </w:r>
          </w:p>
        </w:tc>
        <w:tc>
          <w:tcPr>
            <w:tcW w:w="260" w:type="dxa"/>
            <w:vAlign w:val="bottom"/>
            <w:tcBorders>
              <w:top w:val="single" w:sz="8" w:color="D7282F"/>
            </w:tcBorders>
          </w:tcPr>
          <w:p>
            <w:pPr>
              <w:spacing w:after="0"/>
              <w:rPr>
                <w:sz w:val="12"/>
                <w:szCs w:val="12"/>
                <w:color w:val="auto"/>
              </w:rPr>
            </w:pPr>
          </w:p>
        </w:tc>
        <w:tc>
          <w:tcPr>
            <w:tcW w:w="1680" w:type="dxa"/>
            <w:vAlign w:val="bottom"/>
            <w:tcBorders>
              <w:top w:val="single" w:sz="8" w:color="D7282F"/>
            </w:tcBorders>
            <w:vMerge w:val="restart"/>
          </w:tcPr>
          <w:p>
            <w:pPr>
              <w:jc w:val="center"/>
              <w:ind w:right="48"/>
              <w:spacing w:after="0"/>
              <w:rPr>
                <w:sz w:val="20"/>
                <w:szCs w:val="20"/>
                <w:color w:val="auto"/>
              </w:rPr>
            </w:pPr>
            <w:r>
              <w:rPr>
                <w:rFonts w:ascii="Arial" w:cs="Arial" w:eastAsia="Arial" w:hAnsi="Arial"/>
                <w:sz w:val="14"/>
                <w:szCs w:val="14"/>
                <w:b w:val="1"/>
                <w:bCs w:val="1"/>
                <w:color w:val="auto"/>
              </w:rPr>
              <w:t>Approximate Dollar</w:t>
            </w:r>
          </w:p>
        </w:tc>
        <w:tc>
          <w:tcPr>
            <w:tcW w:w="0" w:type="dxa"/>
            <w:vAlign w:val="bottom"/>
          </w:tcPr>
          <w:p>
            <w:pPr>
              <w:spacing w:after="0"/>
              <w:rPr>
                <w:sz w:val="1"/>
                <w:szCs w:val="1"/>
                <w:color w:val="auto"/>
              </w:rPr>
            </w:pPr>
          </w:p>
        </w:tc>
      </w:tr>
      <w:tr>
        <w:trPr>
          <w:trHeight w:val="144"/>
        </w:trPr>
        <w:tc>
          <w:tcPr>
            <w:tcW w:w="40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5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of Shares</w:t>
            </w:r>
          </w:p>
        </w:tc>
        <w:tc>
          <w:tcPr>
            <w:tcW w:w="260" w:type="dxa"/>
            <w:vAlign w:val="bottom"/>
          </w:tcPr>
          <w:p>
            <w:pPr>
              <w:spacing w:after="0"/>
              <w:rPr>
                <w:sz w:val="12"/>
                <w:szCs w:val="12"/>
                <w:color w:val="auto"/>
              </w:rPr>
            </w:pPr>
          </w:p>
        </w:tc>
        <w:tc>
          <w:tcPr>
            <w:tcW w:w="1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80" w:type="dxa"/>
            <w:vAlign w:val="bottom"/>
          </w:tcPr>
          <w:p>
            <w:pPr>
              <w:spacing w:after="0"/>
              <w:rPr>
                <w:sz w:val="12"/>
                <w:szCs w:val="12"/>
                <w:color w:val="auto"/>
              </w:rPr>
            </w:pPr>
          </w:p>
        </w:tc>
        <w:tc>
          <w:tcPr>
            <w:tcW w:w="2360" w:type="dxa"/>
            <w:vAlign w:val="bottom"/>
            <w:vMerge w:val="restart"/>
          </w:tcPr>
          <w:p>
            <w:pPr>
              <w:jc w:val="center"/>
              <w:ind w:left="1088"/>
              <w:spacing w:after="0"/>
              <w:rPr>
                <w:sz w:val="20"/>
                <w:szCs w:val="20"/>
                <w:color w:val="auto"/>
              </w:rPr>
            </w:pPr>
            <w:r>
              <w:rPr>
                <w:rFonts w:ascii="Arial" w:cs="Arial" w:eastAsia="Arial" w:hAnsi="Arial"/>
                <w:sz w:val="14"/>
                <w:szCs w:val="14"/>
                <w:b w:val="1"/>
                <w:bCs w:val="1"/>
                <w:color w:val="auto"/>
                <w:w w:val="95"/>
              </w:rPr>
              <w:t>Total</w:t>
            </w: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Purchased as</w:t>
            </w:r>
          </w:p>
        </w:tc>
        <w:tc>
          <w:tcPr>
            <w:tcW w:w="260" w:type="dxa"/>
            <w:vAlign w:val="bottom"/>
          </w:tcPr>
          <w:p>
            <w:pPr>
              <w:spacing w:after="0"/>
              <w:rPr>
                <w:sz w:val="12"/>
                <w:szCs w:val="12"/>
                <w:color w:val="auto"/>
              </w:rPr>
            </w:pPr>
          </w:p>
        </w:tc>
        <w:tc>
          <w:tcPr>
            <w:tcW w:w="168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rPr>
              <w:t>Value of Shares that</w:t>
            </w:r>
          </w:p>
        </w:tc>
        <w:tc>
          <w:tcPr>
            <w:tcW w:w="0" w:type="dxa"/>
            <w:vAlign w:val="bottom"/>
          </w:tcPr>
          <w:p>
            <w:pPr>
              <w:spacing w:after="0"/>
              <w:rPr>
                <w:sz w:val="1"/>
                <w:szCs w:val="1"/>
                <w:color w:val="auto"/>
              </w:rPr>
            </w:pPr>
          </w:p>
        </w:tc>
      </w:tr>
      <w:tr>
        <w:trPr>
          <w:trHeight w:val="139"/>
        </w:trPr>
        <w:tc>
          <w:tcPr>
            <w:tcW w:w="4080" w:type="dxa"/>
            <w:vAlign w:val="bottom"/>
          </w:tcPr>
          <w:p>
            <w:pPr>
              <w:spacing w:after="0"/>
              <w:rPr>
                <w:sz w:val="12"/>
                <w:szCs w:val="12"/>
                <w:color w:val="auto"/>
              </w:rPr>
            </w:pPr>
          </w:p>
        </w:tc>
        <w:tc>
          <w:tcPr>
            <w:tcW w:w="23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vMerge w:val="restart"/>
          </w:tcPr>
          <w:p>
            <w:pPr>
              <w:jc w:val="center"/>
              <w:ind w:right="208"/>
              <w:spacing w:after="0"/>
              <w:rPr>
                <w:sz w:val="20"/>
                <w:szCs w:val="20"/>
                <w:color w:val="auto"/>
              </w:rPr>
            </w:pPr>
            <w:r>
              <w:rPr>
                <w:rFonts w:ascii="Arial" w:cs="Arial" w:eastAsia="Arial" w:hAnsi="Arial"/>
                <w:sz w:val="14"/>
                <w:szCs w:val="14"/>
                <w:b w:val="1"/>
                <w:bCs w:val="1"/>
                <w:color w:val="auto"/>
              </w:rPr>
              <w:t>Average</w:t>
            </w:r>
          </w:p>
        </w:tc>
        <w:tc>
          <w:tcPr>
            <w:tcW w:w="152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rPr>
              <w:t>Part of Publicly</w:t>
            </w:r>
          </w:p>
        </w:tc>
        <w:tc>
          <w:tcPr>
            <w:tcW w:w="260" w:type="dxa"/>
            <w:vAlign w:val="bottom"/>
          </w:tcPr>
          <w:p>
            <w:pPr>
              <w:spacing w:after="0"/>
              <w:rPr>
                <w:sz w:val="12"/>
                <w:szCs w:val="12"/>
                <w:color w:val="auto"/>
              </w:rPr>
            </w:pPr>
          </w:p>
        </w:tc>
        <w:tc>
          <w:tcPr>
            <w:tcW w:w="1680" w:type="dxa"/>
            <w:vAlign w:val="bottom"/>
          </w:tcPr>
          <w:p>
            <w:pPr>
              <w:jc w:val="center"/>
              <w:ind w:right="48"/>
              <w:spacing w:after="0" w:line="139" w:lineRule="exact"/>
              <w:rPr>
                <w:sz w:val="20"/>
                <w:szCs w:val="20"/>
                <w:color w:val="auto"/>
              </w:rPr>
            </w:pPr>
            <w:r>
              <w:rPr>
                <w:rFonts w:ascii="Arial" w:cs="Arial" w:eastAsia="Arial" w:hAnsi="Arial"/>
                <w:sz w:val="14"/>
                <w:szCs w:val="14"/>
                <w:b w:val="1"/>
                <w:bCs w:val="1"/>
                <w:color w:val="auto"/>
              </w:rPr>
              <w:t>May Yet be Purchased</w:t>
            </w:r>
          </w:p>
        </w:tc>
        <w:tc>
          <w:tcPr>
            <w:tcW w:w="0" w:type="dxa"/>
            <w:vAlign w:val="bottom"/>
          </w:tcPr>
          <w:p>
            <w:pPr>
              <w:spacing w:after="0"/>
              <w:rPr>
                <w:sz w:val="1"/>
                <w:szCs w:val="1"/>
                <w:color w:val="auto"/>
              </w:rPr>
            </w:pPr>
          </w:p>
        </w:tc>
      </w:tr>
      <w:tr>
        <w:trPr>
          <w:trHeight w:val="144"/>
        </w:trPr>
        <w:tc>
          <w:tcPr>
            <w:tcW w:w="4080" w:type="dxa"/>
            <w:vAlign w:val="bottom"/>
          </w:tcPr>
          <w:p>
            <w:pPr>
              <w:spacing w:after="0"/>
              <w:rPr>
                <w:sz w:val="12"/>
                <w:szCs w:val="12"/>
                <w:color w:val="auto"/>
              </w:rPr>
            </w:pPr>
          </w:p>
        </w:tc>
        <w:tc>
          <w:tcPr>
            <w:tcW w:w="2360" w:type="dxa"/>
            <w:vAlign w:val="bottom"/>
          </w:tcPr>
          <w:p>
            <w:pPr>
              <w:jc w:val="center"/>
              <w:ind w:left="1088"/>
              <w:spacing w:after="0" w:line="145" w:lineRule="exact"/>
              <w:rPr>
                <w:sz w:val="20"/>
                <w:szCs w:val="20"/>
                <w:color w:val="auto"/>
              </w:rPr>
            </w:pPr>
            <w:r>
              <w:rPr>
                <w:rFonts w:ascii="Arial" w:cs="Arial" w:eastAsia="Arial" w:hAnsi="Arial"/>
                <w:sz w:val="14"/>
                <w:szCs w:val="14"/>
                <w:b w:val="1"/>
                <w:bCs w:val="1"/>
                <w:color w:val="auto"/>
              </w:rPr>
              <w:t>Number of</w:t>
            </w:r>
          </w:p>
        </w:tc>
        <w:tc>
          <w:tcPr>
            <w:tcW w:w="26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5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Announced</w:t>
            </w:r>
          </w:p>
        </w:tc>
        <w:tc>
          <w:tcPr>
            <w:tcW w:w="260" w:type="dxa"/>
            <w:vAlign w:val="bottom"/>
          </w:tcPr>
          <w:p>
            <w:pPr>
              <w:spacing w:after="0"/>
              <w:rPr>
                <w:sz w:val="12"/>
                <w:szCs w:val="12"/>
                <w:color w:val="auto"/>
              </w:rPr>
            </w:pPr>
          </w:p>
        </w:tc>
        <w:tc>
          <w:tcPr>
            <w:tcW w:w="1680" w:type="dxa"/>
            <w:vAlign w:val="bottom"/>
          </w:tcPr>
          <w:p>
            <w:pPr>
              <w:jc w:val="center"/>
              <w:ind w:right="48"/>
              <w:spacing w:after="0" w:line="145" w:lineRule="exact"/>
              <w:rPr>
                <w:sz w:val="20"/>
                <w:szCs w:val="20"/>
                <w:color w:val="auto"/>
              </w:rPr>
            </w:pPr>
            <w:r>
              <w:rPr>
                <w:rFonts w:ascii="Arial" w:cs="Arial" w:eastAsia="Arial" w:hAnsi="Arial"/>
                <w:sz w:val="14"/>
                <w:szCs w:val="14"/>
                <w:b w:val="1"/>
                <w:bCs w:val="1"/>
                <w:color w:val="auto"/>
              </w:rPr>
              <w:t>Under the Plans or</w:t>
            </w:r>
          </w:p>
        </w:tc>
        <w:tc>
          <w:tcPr>
            <w:tcW w:w="0" w:type="dxa"/>
            <w:vAlign w:val="bottom"/>
          </w:tcPr>
          <w:p>
            <w:pPr>
              <w:spacing w:after="0"/>
              <w:rPr>
                <w:sz w:val="1"/>
                <w:szCs w:val="1"/>
                <w:color w:val="auto"/>
              </w:rPr>
            </w:pPr>
          </w:p>
        </w:tc>
      </w:tr>
      <w:tr>
        <w:trPr>
          <w:trHeight w:val="148"/>
        </w:trPr>
        <w:tc>
          <w:tcPr>
            <w:tcW w:w="40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2360" w:type="dxa"/>
            <w:vAlign w:val="bottom"/>
          </w:tcPr>
          <w:p>
            <w:pPr>
              <w:jc w:val="center"/>
              <w:ind w:left="1088"/>
              <w:spacing w:after="0" w:line="149" w:lineRule="exact"/>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12"/>
                <w:szCs w:val="12"/>
                <w:color w:val="auto"/>
              </w:rPr>
            </w:pPr>
          </w:p>
        </w:tc>
        <w:tc>
          <w:tcPr>
            <w:tcW w:w="1080" w:type="dxa"/>
            <w:vAlign w:val="bottom"/>
          </w:tcPr>
          <w:p>
            <w:pPr>
              <w:jc w:val="center"/>
              <w:ind w:right="228"/>
              <w:spacing w:after="0" w:line="149" w:lineRule="exact"/>
              <w:rPr>
                <w:sz w:val="20"/>
                <w:szCs w:val="20"/>
                <w:color w:val="auto"/>
              </w:rPr>
            </w:pPr>
            <w:r>
              <w:rPr>
                <w:rFonts w:ascii="Arial" w:cs="Arial" w:eastAsia="Arial" w:hAnsi="Arial"/>
                <w:sz w:val="14"/>
                <w:szCs w:val="14"/>
                <w:b w:val="1"/>
                <w:bCs w:val="1"/>
                <w:color w:val="auto"/>
              </w:rPr>
              <w:t>Price Paid</w:t>
            </w: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Plans</w:t>
            </w:r>
          </w:p>
        </w:tc>
        <w:tc>
          <w:tcPr>
            <w:tcW w:w="260" w:type="dxa"/>
            <w:vAlign w:val="bottom"/>
          </w:tcPr>
          <w:p>
            <w:pPr>
              <w:spacing w:after="0"/>
              <w:rPr>
                <w:sz w:val="12"/>
                <w:szCs w:val="12"/>
                <w:color w:val="auto"/>
              </w:rPr>
            </w:pPr>
          </w:p>
        </w:tc>
        <w:tc>
          <w:tcPr>
            <w:tcW w:w="168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rPr>
              <w:t>Programs</w:t>
            </w:r>
          </w:p>
        </w:tc>
        <w:tc>
          <w:tcPr>
            <w:tcW w:w="0" w:type="dxa"/>
            <w:vAlign w:val="bottom"/>
          </w:tcPr>
          <w:p>
            <w:pPr>
              <w:spacing w:after="0"/>
              <w:rPr>
                <w:sz w:val="1"/>
                <w:szCs w:val="1"/>
                <w:color w:val="auto"/>
              </w:rPr>
            </w:pPr>
          </w:p>
        </w:tc>
      </w:tr>
      <w:tr>
        <w:trPr>
          <w:trHeight w:val="189"/>
        </w:trPr>
        <w:tc>
          <w:tcPr>
            <w:tcW w:w="4080" w:type="dxa"/>
            <w:vAlign w:val="bottom"/>
            <w:tcBorders>
              <w:bottom w:val="single" w:sz="8" w:color="D7282F"/>
            </w:tcBorders>
            <w:vMerge w:val="continue"/>
          </w:tcPr>
          <w:p>
            <w:pPr>
              <w:spacing w:after="0"/>
              <w:rPr>
                <w:sz w:val="16"/>
                <w:szCs w:val="16"/>
                <w:color w:val="auto"/>
              </w:rPr>
            </w:pPr>
          </w:p>
        </w:tc>
        <w:tc>
          <w:tcPr>
            <w:tcW w:w="2360" w:type="dxa"/>
            <w:vAlign w:val="bottom"/>
            <w:tcBorders>
              <w:bottom w:val="single" w:sz="8" w:color="D7282F"/>
            </w:tcBorders>
          </w:tcPr>
          <w:p>
            <w:pPr>
              <w:jc w:val="center"/>
              <w:ind w:left="1088"/>
              <w:spacing w:after="0"/>
              <w:rPr>
                <w:sz w:val="20"/>
                <w:szCs w:val="20"/>
                <w:color w:val="auto"/>
              </w:rPr>
            </w:pPr>
            <w:r>
              <w:rPr>
                <w:rFonts w:ascii="Arial" w:cs="Arial" w:eastAsia="Arial" w:hAnsi="Arial"/>
                <w:sz w:val="14"/>
                <w:szCs w:val="14"/>
                <w:b w:val="1"/>
                <w:bCs w:val="1"/>
                <w:color w:val="auto"/>
              </w:rPr>
              <w:t>Purchased</w:t>
            </w:r>
          </w:p>
        </w:tc>
        <w:tc>
          <w:tcPr>
            <w:tcW w:w="260" w:type="dxa"/>
            <w:vAlign w:val="bottom"/>
            <w:tcBorders>
              <w:bottom w:val="single" w:sz="8" w:color="D7282F"/>
            </w:tcBorders>
          </w:tcPr>
          <w:p>
            <w:pPr>
              <w:spacing w:after="0"/>
              <w:rPr>
                <w:sz w:val="16"/>
                <w:szCs w:val="16"/>
                <w:color w:val="auto"/>
              </w:rPr>
            </w:pPr>
          </w:p>
        </w:tc>
        <w:tc>
          <w:tcPr>
            <w:tcW w:w="1080" w:type="dxa"/>
            <w:vAlign w:val="bottom"/>
            <w:tcBorders>
              <w:bottom w:val="single" w:sz="8" w:color="D7282F"/>
            </w:tcBorders>
          </w:tcPr>
          <w:p>
            <w:pPr>
              <w:jc w:val="center"/>
              <w:ind w:right="208"/>
              <w:spacing w:after="0"/>
              <w:rPr>
                <w:sz w:val="20"/>
                <w:szCs w:val="20"/>
                <w:color w:val="auto"/>
              </w:rPr>
            </w:pPr>
            <w:r>
              <w:rPr>
                <w:rFonts w:ascii="Arial" w:cs="Arial" w:eastAsia="Arial" w:hAnsi="Arial"/>
                <w:sz w:val="14"/>
                <w:szCs w:val="14"/>
                <w:b w:val="1"/>
                <w:bCs w:val="1"/>
                <w:color w:val="auto"/>
              </w:rPr>
              <w:t>per Share</w:t>
            </w:r>
            <w:r>
              <w:rPr>
                <w:rFonts w:ascii="Arial" w:cs="Arial" w:eastAsia="Arial" w:hAnsi="Arial"/>
                <w:sz w:val="9"/>
                <w:szCs w:val="9"/>
                <w:b w:val="1"/>
                <w:bCs w:val="1"/>
                <w:color w:val="auto"/>
              </w:rPr>
              <w:t>1</w:t>
            </w:r>
          </w:p>
        </w:tc>
        <w:tc>
          <w:tcPr>
            <w:tcW w:w="1520" w:type="dxa"/>
            <w:vAlign w:val="bottom"/>
            <w:tcBorders>
              <w:bottom w:val="single" w:sz="8" w:color="D7282F"/>
            </w:tcBorders>
          </w:tcPr>
          <w:p>
            <w:pPr>
              <w:jc w:val="center"/>
              <w:spacing w:after="0"/>
              <w:rPr>
                <w:sz w:val="20"/>
                <w:szCs w:val="20"/>
                <w:color w:val="auto"/>
              </w:rPr>
            </w:pPr>
            <w:r>
              <w:rPr>
                <w:rFonts w:ascii="Arial" w:cs="Arial" w:eastAsia="Arial" w:hAnsi="Arial"/>
                <w:sz w:val="14"/>
                <w:szCs w:val="14"/>
                <w:b w:val="1"/>
                <w:bCs w:val="1"/>
                <w:color w:val="auto"/>
              </w:rPr>
              <w:t>or Programs</w:t>
            </w:r>
          </w:p>
        </w:tc>
        <w:tc>
          <w:tcPr>
            <w:tcW w:w="260" w:type="dxa"/>
            <w:vAlign w:val="bottom"/>
            <w:tcBorders>
              <w:bottom w:val="single" w:sz="8" w:color="D7282F"/>
            </w:tcBorders>
          </w:tcPr>
          <w:p>
            <w:pPr>
              <w:spacing w:after="0"/>
              <w:rPr>
                <w:sz w:val="16"/>
                <w:szCs w:val="16"/>
                <w:color w:val="auto"/>
              </w:rPr>
            </w:pPr>
          </w:p>
        </w:tc>
        <w:tc>
          <w:tcPr>
            <w:tcW w:w="1680" w:type="dxa"/>
            <w:vAlign w:val="bottom"/>
            <w:tcBorders>
              <w:bottom w:val="single" w:sz="8" w:color="D7282F"/>
            </w:tcBorders>
          </w:tcPr>
          <w:p>
            <w:pPr>
              <w:jc w:val="center"/>
              <w:ind w:right="48"/>
              <w:spacing w:after="0" w:line="189" w:lineRule="exact"/>
              <w:rPr>
                <w:sz w:val="20"/>
                <w:szCs w:val="20"/>
                <w:color w:val="auto"/>
              </w:rPr>
            </w:pPr>
            <w:r>
              <w:rPr>
                <w:rFonts w:ascii="Arial" w:cs="Arial" w:eastAsia="Arial" w:hAnsi="Arial"/>
                <w:sz w:val="14"/>
                <w:szCs w:val="14"/>
                <w:b w:val="1"/>
                <w:bCs w:val="1"/>
                <w:color w:val="auto"/>
              </w:rPr>
              <w:t>(Dollars in millions)</w:t>
            </w:r>
            <w:r>
              <w:rPr>
                <w:rFonts w:ascii="Arial" w:cs="Arial" w:eastAsia="Arial" w:hAnsi="Arial"/>
                <w:sz w:val="18"/>
                <w:szCs w:val="18"/>
                <w:b w:val="1"/>
                <w:bCs w:val="1"/>
                <w:color w:val="auto"/>
                <w:vertAlign w:val="superscript"/>
              </w:rPr>
              <w:t>1</w:t>
            </w:r>
          </w:p>
        </w:tc>
        <w:tc>
          <w:tcPr>
            <w:tcW w:w="0" w:type="dxa"/>
            <w:vAlign w:val="bottom"/>
          </w:tcPr>
          <w:p>
            <w:pPr>
              <w:spacing w:after="0"/>
              <w:rPr>
                <w:sz w:val="1"/>
                <w:szCs w:val="1"/>
                <w:color w:val="auto"/>
              </w:rPr>
            </w:pPr>
          </w:p>
        </w:tc>
      </w:tr>
      <w:tr>
        <w:trPr>
          <w:trHeight w:val="192"/>
        </w:trPr>
        <w:tc>
          <w:tcPr>
            <w:tcW w:w="40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September 29, 2024 - October 26, 2024</w:t>
            </w:r>
          </w:p>
        </w:tc>
        <w:tc>
          <w:tcPr>
            <w:tcW w:w="236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888B8D"/>
            </w:tcBorders>
          </w:tcPr>
          <w:p>
            <w:pPr>
              <w:jc w:val="right"/>
              <w:ind w:right="16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5,904</w:t>
            </w:r>
          </w:p>
        </w:tc>
        <w:tc>
          <w:tcPr>
            <w:tcW w:w="0" w:type="dxa"/>
            <w:vAlign w:val="bottom"/>
          </w:tcPr>
          <w:p>
            <w:pPr>
              <w:spacing w:after="0"/>
              <w:rPr>
                <w:sz w:val="1"/>
                <w:szCs w:val="1"/>
                <w:color w:val="auto"/>
              </w:rPr>
            </w:pPr>
          </w:p>
        </w:tc>
      </w:tr>
      <w:tr>
        <w:trPr>
          <w:trHeight w:val="196"/>
        </w:trPr>
        <w:tc>
          <w:tcPr>
            <w:tcW w:w="40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October 27, 2024 - November 23, 2024</w:t>
            </w:r>
          </w:p>
        </w:tc>
        <w:tc>
          <w:tcPr>
            <w:tcW w:w="236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803,546</w:t>
            </w:r>
          </w:p>
        </w:tc>
        <w:tc>
          <w:tcPr>
            <w:tcW w:w="2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888B8D"/>
            </w:tcBorders>
          </w:tcPr>
          <w:p>
            <w:pPr>
              <w:jc w:val="right"/>
              <w:ind w:right="168"/>
              <w:spacing w:after="0"/>
              <w:rPr>
                <w:sz w:val="20"/>
                <w:szCs w:val="20"/>
                <w:color w:val="auto"/>
              </w:rPr>
            </w:pPr>
            <w:r>
              <w:rPr>
                <w:rFonts w:ascii="Arial" w:cs="Arial" w:eastAsia="Arial" w:hAnsi="Arial"/>
                <w:sz w:val="14"/>
                <w:szCs w:val="14"/>
                <w:color w:val="auto"/>
              </w:rPr>
              <w:t>211.55</w:t>
            </w:r>
          </w:p>
        </w:tc>
        <w:tc>
          <w:tcPr>
            <w:tcW w:w="152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803,546</w:t>
            </w:r>
          </w:p>
        </w:tc>
        <w:tc>
          <w:tcPr>
            <w:tcW w:w="2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5,734</w:t>
            </w:r>
          </w:p>
        </w:tc>
        <w:tc>
          <w:tcPr>
            <w:tcW w:w="0" w:type="dxa"/>
            <w:vAlign w:val="bottom"/>
          </w:tcPr>
          <w:p>
            <w:pPr>
              <w:spacing w:after="0"/>
              <w:rPr>
                <w:sz w:val="1"/>
                <w:szCs w:val="1"/>
                <w:color w:val="auto"/>
              </w:rPr>
            </w:pPr>
          </w:p>
        </w:tc>
      </w:tr>
      <w:tr>
        <w:trPr>
          <w:trHeight w:val="196"/>
        </w:trPr>
        <w:tc>
          <w:tcPr>
            <w:tcW w:w="40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November 24, 2024 - December 31, 2024</w:t>
            </w:r>
          </w:p>
        </w:tc>
        <w:tc>
          <w:tcPr>
            <w:tcW w:w="23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1,112,186</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color w:val="auto"/>
              </w:rPr>
              <w:t>229.26</w:t>
            </w:r>
          </w:p>
        </w:tc>
        <w:tc>
          <w:tcPr>
            <w:tcW w:w="152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1,112,186</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5,479</w:t>
            </w: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480" w:hanging="344"/>
        <w:spacing w:after="0"/>
        <w:tabs>
          <w:tab w:leader="none" w:pos="480" w:val="left"/>
        </w:tabs>
        <w:numPr>
          <w:ilvl w:val="0"/>
          <w:numId w:val="100"/>
        </w:numPr>
        <w:rPr>
          <w:rFonts w:ascii="Arial" w:cs="Arial" w:eastAsia="Arial" w:hAnsi="Arial"/>
          <w:sz w:val="13"/>
          <w:szCs w:val="13"/>
          <w:color w:val="auto"/>
        </w:rPr>
      </w:pPr>
      <w:r>
        <w:rPr>
          <w:rFonts w:ascii="Arial" w:cs="Arial" w:eastAsia="Arial" w:hAnsi="Arial"/>
          <w:sz w:val="13"/>
          <w:szCs w:val="13"/>
          <w:color w:val="auto"/>
        </w:rPr>
        <w:t>Excludes excise tax on net share repurchases.</w:t>
      </w:r>
    </w:p>
    <w:p>
      <w:pPr>
        <w:spacing w:after="0" w:line="200" w:lineRule="exact"/>
        <w:rPr>
          <w:sz w:val="20"/>
          <w:szCs w:val="20"/>
          <w:color w:val="auto"/>
        </w:rPr>
      </w:pPr>
    </w:p>
    <w:p>
      <w:pPr>
        <w:spacing w:after="0" w:line="345" w:lineRule="exact"/>
        <w:rPr>
          <w:sz w:val="20"/>
          <w:szCs w:val="20"/>
          <w:color w:val="auto"/>
        </w:rPr>
      </w:pPr>
    </w:p>
    <w:p>
      <w:pPr>
        <w:ind w:left="400" w:hanging="392"/>
        <w:spacing w:after="0"/>
        <w:tabs>
          <w:tab w:leader="none" w:pos="400" w:val="left"/>
        </w:tabs>
        <w:numPr>
          <w:ilvl w:val="0"/>
          <w:numId w:val="101"/>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51" w:name="page52"/>
    <w:bookmarkEnd w:id="51"/>
    <w:tbl>
      <w:tblPr>
        <w:tblLayout w:type="fixed"/>
        <w:tblInd w:w="20" w:type="dxa"/>
        <w:tblCellMar>
          <w:top w:w="0" w:type="dxa"/>
          <w:left w:w="0" w:type="dxa"/>
          <w:bottom w:w="0" w:type="dxa"/>
          <w:right w:w="0" w:type="dxa"/>
        </w:tblCellMar>
      </w:tblPr>
      <w:tr>
        <w:trPr>
          <w:trHeight w:val="156"/>
        </w:trPr>
        <w:tc>
          <w:tcPr>
            <w:tcW w:w="3520" w:type="dxa"/>
            <w:vAlign w:val="bottom"/>
            <w:gridSpan w:val="2"/>
          </w:tcPr>
          <w:p>
            <w:pPr>
              <w:spacing w:after="0"/>
              <w:rPr>
                <w:sz w:val="20"/>
                <w:szCs w:val="20"/>
                <w:color w:val="auto"/>
              </w:rPr>
            </w:pPr>
            <w:r>
              <w:rPr>
                <w:rFonts w:ascii="Arial" w:cs="Arial" w:eastAsia="Arial" w:hAnsi="Arial"/>
                <w:sz w:val="13"/>
                <w:szCs w:val="13"/>
                <w:b w:val="1"/>
                <w:bCs w:val="1"/>
                <w:color w:val="0000FF"/>
              </w:rPr>
              <w:t>TABLE OF CONTENTS</w:t>
            </w:r>
          </w:p>
        </w:tc>
        <w:tc>
          <w:tcPr>
            <w:tcW w:w="7680" w:type="dxa"/>
            <w:vAlign w:val="bottom"/>
          </w:tcPr>
          <w:p>
            <w:pPr>
              <w:jc w:val="right"/>
              <w:spacing w:after="0"/>
              <w:rPr>
                <w:sz w:val="20"/>
                <w:szCs w:val="20"/>
                <w:color w:val="auto"/>
              </w:rPr>
            </w:pPr>
            <w:r>
              <w:rPr>
                <w:rFonts w:ascii="Arial" w:cs="Arial" w:eastAsia="Arial" w:hAnsi="Arial"/>
                <w:sz w:val="13"/>
                <w:szCs w:val="13"/>
                <w:b w:val="1"/>
                <w:bCs w:val="1"/>
                <w:color w:val="D7282F"/>
              </w:rPr>
              <w:t>MARKET FOR REGISTRANT'S COMMON EQUITY, RELATED STOCKHOLDER MATTERS AND</w:t>
            </w:r>
          </w:p>
        </w:tc>
      </w:tr>
      <w:tr>
        <w:trPr>
          <w:trHeight w:val="145"/>
        </w:trPr>
        <w:tc>
          <w:tcPr>
            <w:tcW w:w="1360" w:type="dxa"/>
            <w:vAlign w:val="bottom"/>
            <w:tcBorders>
              <w:top w:val="single" w:sz="8" w:color="0000FF"/>
            </w:tcBorders>
          </w:tcPr>
          <w:p>
            <w:pPr>
              <w:spacing w:after="0"/>
              <w:rPr>
                <w:sz w:val="12"/>
                <w:szCs w:val="12"/>
                <w:color w:val="auto"/>
              </w:rPr>
            </w:pPr>
          </w:p>
        </w:tc>
        <w:tc>
          <w:tcPr>
            <w:tcW w:w="2160" w:type="dxa"/>
            <w:vAlign w:val="bottom"/>
          </w:tcPr>
          <w:p>
            <w:pPr>
              <w:spacing w:after="0"/>
              <w:rPr>
                <w:sz w:val="12"/>
                <w:szCs w:val="12"/>
                <w:color w:val="auto"/>
              </w:rPr>
            </w:pPr>
          </w:p>
        </w:tc>
        <w:tc>
          <w:tcPr>
            <w:tcW w:w="7680" w:type="dxa"/>
            <w:vAlign w:val="bottom"/>
          </w:tcPr>
          <w:p>
            <w:pPr>
              <w:jc w:val="right"/>
              <w:spacing w:after="0" w:line="145" w:lineRule="exact"/>
              <w:rPr>
                <w:sz w:val="20"/>
                <w:szCs w:val="20"/>
                <w:color w:val="auto"/>
              </w:rPr>
            </w:pPr>
            <w:r>
              <w:rPr>
                <w:rFonts w:ascii="Arial" w:cs="Arial" w:eastAsia="Arial" w:hAnsi="Arial"/>
                <w:sz w:val="13"/>
                <w:szCs w:val="13"/>
                <w:b w:val="1"/>
                <w:bCs w:val="1"/>
                <w:color w:val="D7282F"/>
              </w:rPr>
              <w:t>ISSUER PURCHASES OF EQUITY SECURITIES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29"/>
          <w:szCs w:val="29"/>
          <w:color w:val="D7282F"/>
        </w:rPr>
        <w:t>PERFORMANCE GRAPH</w:t>
      </w:r>
    </w:p>
    <w:p>
      <w:pPr>
        <w:spacing w:after="0" w:line="252"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following graph compares the five-year cumulative total return on our common stock to the total returns on the Standard &amp; Poor's (S&amp;P) 500 Stock Index, composite of S&amp;P’s Industrial Conglomerates and Aerospace and Defense indices, on a 55%/45% weighted basis (the Composite Index) and Nasdaq Industrial Select Sector (XLI Index). The weighting of the components of the Composite Index are based on our segments’ relative contribution to total segment profit. The selection of the Industrial Conglomerates component of the Composite Index reflects the diverse and distinct range of non-aerospace businesses conducted by Honeywell. The annual changes for the five-year period shown in the graph are based on the assumption that $100 was invested in Honeywell stock and each index on December 31, 2019, and that all dividends were reinvested.</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Comparison of Cumulative Five-Year Total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89535</wp:posOffset>
            </wp:positionV>
            <wp:extent cx="4714875" cy="214312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4714875"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34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spacing w:after="0"/>
              <w:rPr>
                <w:sz w:val="17"/>
                <w:szCs w:val="17"/>
                <w:color w:val="auto"/>
              </w:rPr>
            </w:pPr>
          </w:p>
        </w:tc>
        <w:tc>
          <w:tcPr>
            <w:tcW w:w="114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Dec. 2019</w:t>
            </w:r>
          </w:p>
        </w:tc>
        <w:tc>
          <w:tcPr>
            <w:tcW w:w="260" w:type="dxa"/>
            <w:vAlign w:val="bottom"/>
            <w:tcBorders>
              <w:bottom w:val="single" w:sz="8" w:color="D7282F"/>
            </w:tcBorders>
          </w:tcPr>
          <w:p>
            <w:pPr>
              <w:spacing w:after="0"/>
              <w:rPr>
                <w:sz w:val="17"/>
                <w:szCs w:val="17"/>
                <w:color w:val="auto"/>
              </w:rPr>
            </w:pPr>
          </w:p>
        </w:tc>
        <w:tc>
          <w:tcPr>
            <w:tcW w:w="114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Dec. 2020</w:t>
            </w:r>
          </w:p>
        </w:tc>
        <w:tc>
          <w:tcPr>
            <w:tcW w:w="240" w:type="dxa"/>
            <w:vAlign w:val="bottom"/>
            <w:tcBorders>
              <w:bottom w:val="single" w:sz="8" w:color="D7282F"/>
            </w:tcBorders>
          </w:tcPr>
          <w:p>
            <w:pPr>
              <w:spacing w:after="0"/>
              <w:rPr>
                <w:sz w:val="17"/>
                <w:szCs w:val="17"/>
                <w:color w:val="auto"/>
              </w:rPr>
            </w:pPr>
          </w:p>
        </w:tc>
        <w:tc>
          <w:tcPr>
            <w:tcW w:w="114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Dec. 2021</w:t>
            </w:r>
          </w:p>
        </w:tc>
        <w:tc>
          <w:tcPr>
            <w:tcW w:w="260" w:type="dxa"/>
            <w:vAlign w:val="bottom"/>
            <w:tcBorders>
              <w:bottom w:val="single" w:sz="8" w:color="D7282F"/>
            </w:tcBorders>
          </w:tcPr>
          <w:p>
            <w:pPr>
              <w:spacing w:after="0"/>
              <w:rPr>
                <w:sz w:val="17"/>
                <w:szCs w:val="17"/>
                <w:color w:val="auto"/>
              </w:rPr>
            </w:pPr>
          </w:p>
        </w:tc>
        <w:tc>
          <w:tcPr>
            <w:tcW w:w="114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Dec. 2022</w:t>
            </w:r>
          </w:p>
        </w:tc>
        <w:tc>
          <w:tcPr>
            <w:tcW w:w="240" w:type="dxa"/>
            <w:vAlign w:val="bottom"/>
            <w:tcBorders>
              <w:bottom w:val="single" w:sz="8" w:color="D7282F"/>
            </w:tcBorders>
          </w:tcPr>
          <w:p>
            <w:pPr>
              <w:spacing w:after="0"/>
              <w:rPr>
                <w:sz w:val="17"/>
                <w:szCs w:val="17"/>
                <w:color w:val="auto"/>
              </w:rPr>
            </w:pPr>
          </w:p>
        </w:tc>
        <w:tc>
          <w:tcPr>
            <w:tcW w:w="114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Dec. 2023</w:t>
            </w:r>
          </w:p>
        </w:tc>
        <w:tc>
          <w:tcPr>
            <w:tcW w:w="260" w:type="dxa"/>
            <w:vAlign w:val="bottom"/>
            <w:tcBorders>
              <w:bottom w:val="single" w:sz="8" w:color="D7282F"/>
            </w:tcBorders>
          </w:tcPr>
          <w:p>
            <w:pPr>
              <w:spacing w:after="0"/>
              <w:rPr>
                <w:sz w:val="17"/>
                <w:szCs w:val="17"/>
                <w:color w:val="auto"/>
              </w:rPr>
            </w:pPr>
          </w:p>
        </w:tc>
        <w:tc>
          <w:tcPr>
            <w:tcW w:w="1160" w:type="dxa"/>
            <w:vAlign w:val="bottom"/>
            <w:tcBorders>
              <w:bottom w:val="single" w:sz="8" w:color="D7282F"/>
            </w:tcBorders>
          </w:tcPr>
          <w:p>
            <w:pPr>
              <w:jc w:val="right"/>
              <w:ind w:right="288"/>
              <w:spacing w:after="0"/>
              <w:rPr>
                <w:sz w:val="20"/>
                <w:szCs w:val="20"/>
                <w:color w:val="auto"/>
              </w:rPr>
            </w:pPr>
            <w:r>
              <w:rPr>
                <w:rFonts w:ascii="Arial" w:cs="Arial" w:eastAsia="Arial" w:hAnsi="Arial"/>
                <w:sz w:val="14"/>
                <w:szCs w:val="14"/>
                <w:b w:val="1"/>
                <w:bCs w:val="1"/>
                <w:color w:val="auto"/>
              </w:rPr>
              <w:t>Dec. 2024</w:t>
            </w:r>
          </w:p>
        </w:tc>
      </w:tr>
      <w:tr>
        <w:trPr>
          <w:trHeight w:val="193"/>
        </w:trPr>
        <w:tc>
          <w:tcPr>
            <w:tcW w:w="2340" w:type="dxa"/>
            <w:vAlign w:val="bottom"/>
            <w:tcBorders>
              <w:bottom w:val="single" w:sz="8" w:color="888B8D"/>
            </w:tcBorders>
          </w:tcPr>
          <w:p>
            <w:pPr>
              <w:ind w:left="680"/>
              <w:spacing w:after="0"/>
              <w:rPr>
                <w:sz w:val="20"/>
                <w:szCs w:val="20"/>
                <w:color w:val="auto"/>
              </w:rPr>
            </w:pPr>
            <w:r>
              <w:rPr>
                <w:rFonts w:ascii="Arial" w:cs="Arial" w:eastAsia="Arial" w:hAnsi="Arial"/>
                <w:sz w:val="14"/>
                <w:szCs w:val="14"/>
                <w:color w:val="auto"/>
              </w:rPr>
              <w:t>Honeywell</w:t>
            </w:r>
          </w:p>
        </w:tc>
        <w:tc>
          <w:tcPr>
            <w:tcW w:w="780" w:type="dxa"/>
            <w:vAlign w:val="bottom"/>
            <w:tcBorders>
              <w:bottom w:val="single" w:sz="8" w:color="888B8D"/>
            </w:tcBorders>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100.00</w:t>
            </w:r>
          </w:p>
        </w:tc>
        <w:tc>
          <w:tcPr>
            <w:tcW w:w="26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122.97</w:t>
            </w:r>
          </w:p>
        </w:tc>
        <w:tc>
          <w:tcPr>
            <w:tcW w:w="240" w:type="dxa"/>
            <w:vAlign w:val="bottom"/>
            <w:tcBorders>
              <w:bottom w:val="single" w:sz="8" w:color="888B8D"/>
            </w:tcBorders>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122.61</w:t>
            </w:r>
          </w:p>
        </w:tc>
        <w:tc>
          <w:tcPr>
            <w:tcW w:w="26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128.62</w:t>
            </w:r>
          </w:p>
        </w:tc>
        <w:tc>
          <w:tcPr>
            <w:tcW w:w="240" w:type="dxa"/>
            <w:vAlign w:val="bottom"/>
            <w:tcBorders>
              <w:bottom w:val="single" w:sz="8" w:color="888B8D"/>
            </w:tcBorders>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128.65</w:t>
            </w:r>
          </w:p>
        </w:tc>
        <w:tc>
          <w:tcPr>
            <w:tcW w:w="26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141.53</w:t>
            </w:r>
          </w:p>
        </w:tc>
      </w:tr>
      <w:tr>
        <w:trPr>
          <w:trHeight w:val="196"/>
        </w:trPr>
        <w:tc>
          <w:tcPr>
            <w:tcW w:w="2340" w:type="dxa"/>
            <w:vAlign w:val="bottom"/>
            <w:tcBorders>
              <w:bottom w:val="single" w:sz="8" w:color="888B8D"/>
            </w:tcBorders>
          </w:tcPr>
          <w:p>
            <w:pPr>
              <w:ind w:left="680"/>
              <w:spacing w:after="0"/>
              <w:rPr>
                <w:sz w:val="20"/>
                <w:szCs w:val="20"/>
                <w:color w:val="auto"/>
              </w:rPr>
            </w:pPr>
            <w:r>
              <w:rPr>
                <w:rFonts w:ascii="Arial" w:cs="Arial" w:eastAsia="Arial" w:hAnsi="Arial"/>
                <w:sz w:val="14"/>
                <w:szCs w:val="14"/>
                <w:color w:val="auto"/>
              </w:rPr>
              <w:t>S&amp;P 500 Index</w:t>
            </w:r>
          </w:p>
        </w:tc>
        <w:tc>
          <w:tcPr>
            <w:tcW w:w="780" w:type="dxa"/>
            <w:vAlign w:val="bottom"/>
            <w:tcBorders>
              <w:bottom w:val="single" w:sz="8" w:color="888B8D"/>
            </w:tcBorders>
          </w:tcPr>
          <w:p>
            <w:pPr>
              <w:spacing w:after="0"/>
              <w:rPr>
                <w:sz w:val="17"/>
                <w:szCs w:val="17"/>
                <w:color w:val="auto"/>
              </w:rPr>
            </w:pPr>
          </w:p>
        </w:tc>
        <w:tc>
          <w:tcPr>
            <w:tcW w:w="11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100.00</w:t>
            </w:r>
          </w:p>
        </w:tc>
        <w:tc>
          <w:tcPr>
            <w:tcW w:w="260" w:type="dxa"/>
            <w:vAlign w:val="bottom"/>
            <w:tcBorders>
              <w:bottom w:val="single" w:sz="8" w:color="888B8D"/>
            </w:tcBorders>
          </w:tcPr>
          <w:p>
            <w:pPr>
              <w:spacing w:after="0"/>
              <w:rPr>
                <w:sz w:val="17"/>
                <w:szCs w:val="17"/>
                <w:color w:val="auto"/>
              </w:rPr>
            </w:pPr>
          </w:p>
        </w:tc>
        <w:tc>
          <w:tcPr>
            <w:tcW w:w="11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118.40</w:t>
            </w:r>
          </w:p>
        </w:tc>
        <w:tc>
          <w:tcPr>
            <w:tcW w:w="240" w:type="dxa"/>
            <w:vAlign w:val="bottom"/>
            <w:tcBorders>
              <w:bottom w:val="single" w:sz="8" w:color="888B8D"/>
            </w:tcBorders>
          </w:tcPr>
          <w:p>
            <w:pPr>
              <w:spacing w:after="0"/>
              <w:rPr>
                <w:sz w:val="17"/>
                <w:szCs w:val="17"/>
                <w:color w:val="auto"/>
              </w:rPr>
            </w:pPr>
          </w:p>
        </w:tc>
        <w:tc>
          <w:tcPr>
            <w:tcW w:w="11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152.39</w:t>
            </w:r>
          </w:p>
        </w:tc>
        <w:tc>
          <w:tcPr>
            <w:tcW w:w="260" w:type="dxa"/>
            <w:vAlign w:val="bottom"/>
            <w:tcBorders>
              <w:bottom w:val="single" w:sz="8" w:color="888B8D"/>
            </w:tcBorders>
          </w:tcPr>
          <w:p>
            <w:pPr>
              <w:spacing w:after="0"/>
              <w:rPr>
                <w:sz w:val="17"/>
                <w:szCs w:val="17"/>
                <w:color w:val="auto"/>
              </w:rPr>
            </w:pPr>
          </w:p>
        </w:tc>
        <w:tc>
          <w:tcPr>
            <w:tcW w:w="11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124.79</w:t>
            </w:r>
          </w:p>
        </w:tc>
        <w:tc>
          <w:tcPr>
            <w:tcW w:w="240" w:type="dxa"/>
            <w:vAlign w:val="bottom"/>
            <w:tcBorders>
              <w:bottom w:val="single" w:sz="8" w:color="888B8D"/>
            </w:tcBorders>
          </w:tcPr>
          <w:p>
            <w:pPr>
              <w:spacing w:after="0"/>
              <w:rPr>
                <w:sz w:val="17"/>
                <w:szCs w:val="17"/>
                <w:color w:val="auto"/>
              </w:rPr>
            </w:pPr>
          </w:p>
        </w:tc>
        <w:tc>
          <w:tcPr>
            <w:tcW w:w="11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157.59</w:t>
            </w:r>
          </w:p>
        </w:tc>
        <w:tc>
          <w:tcPr>
            <w:tcW w:w="260" w:type="dxa"/>
            <w:vAlign w:val="bottom"/>
            <w:tcBorders>
              <w:bottom w:val="single" w:sz="8" w:color="888B8D"/>
            </w:tcBorders>
          </w:tcPr>
          <w:p>
            <w:pPr>
              <w:spacing w:after="0"/>
              <w:rPr>
                <w:sz w:val="17"/>
                <w:szCs w:val="17"/>
                <w:color w:val="auto"/>
              </w:rPr>
            </w:pPr>
          </w:p>
        </w:tc>
        <w:tc>
          <w:tcPr>
            <w:tcW w:w="11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197.02</w:t>
            </w:r>
          </w:p>
        </w:tc>
      </w:tr>
      <w:tr>
        <w:trPr>
          <w:trHeight w:val="196"/>
        </w:trPr>
        <w:tc>
          <w:tcPr>
            <w:tcW w:w="2340" w:type="dxa"/>
            <w:vAlign w:val="bottom"/>
            <w:tcBorders>
              <w:bottom w:val="single" w:sz="8" w:color="888B8D"/>
            </w:tcBorders>
          </w:tcPr>
          <w:p>
            <w:pPr>
              <w:ind w:left="680"/>
              <w:spacing w:after="0"/>
              <w:rPr>
                <w:sz w:val="20"/>
                <w:szCs w:val="20"/>
                <w:color w:val="auto"/>
              </w:rPr>
            </w:pPr>
            <w:r>
              <w:rPr>
                <w:rFonts w:ascii="Arial" w:cs="Arial" w:eastAsia="Arial" w:hAnsi="Arial"/>
                <w:sz w:val="14"/>
                <w:szCs w:val="14"/>
                <w:color w:val="auto"/>
              </w:rPr>
              <w:t>Composite Index</w:t>
            </w:r>
          </w:p>
        </w:tc>
        <w:tc>
          <w:tcPr>
            <w:tcW w:w="780" w:type="dxa"/>
            <w:vAlign w:val="bottom"/>
            <w:tcBorders>
              <w:bottom w:val="single" w:sz="8" w:color="888B8D"/>
            </w:tcBorders>
          </w:tcPr>
          <w:p>
            <w:pPr>
              <w:spacing w:after="0"/>
              <w:rPr>
                <w:sz w:val="17"/>
                <w:szCs w:val="17"/>
                <w:color w:val="auto"/>
              </w:rPr>
            </w:pPr>
          </w:p>
        </w:tc>
        <w:tc>
          <w:tcPr>
            <w:tcW w:w="11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100.00</w:t>
            </w:r>
          </w:p>
        </w:tc>
        <w:tc>
          <w:tcPr>
            <w:tcW w:w="260" w:type="dxa"/>
            <w:vAlign w:val="bottom"/>
            <w:tcBorders>
              <w:bottom w:val="single" w:sz="8" w:color="888B8D"/>
            </w:tcBorders>
          </w:tcPr>
          <w:p>
            <w:pPr>
              <w:spacing w:after="0"/>
              <w:rPr>
                <w:sz w:val="17"/>
                <w:szCs w:val="17"/>
                <w:color w:val="auto"/>
              </w:rPr>
            </w:pPr>
          </w:p>
        </w:tc>
        <w:tc>
          <w:tcPr>
            <w:tcW w:w="11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98.42</w:t>
            </w:r>
          </w:p>
        </w:tc>
        <w:tc>
          <w:tcPr>
            <w:tcW w:w="240" w:type="dxa"/>
            <w:vAlign w:val="bottom"/>
            <w:tcBorders>
              <w:bottom w:val="single" w:sz="8" w:color="888B8D"/>
            </w:tcBorders>
          </w:tcPr>
          <w:p>
            <w:pPr>
              <w:spacing w:after="0"/>
              <w:rPr>
                <w:sz w:val="17"/>
                <w:szCs w:val="17"/>
                <w:color w:val="auto"/>
              </w:rPr>
            </w:pPr>
          </w:p>
        </w:tc>
        <w:tc>
          <w:tcPr>
            <w:tcW w:w="11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107.10</w:t>
            </w:r>
          </w:p>
        </w:tc>
        <w:tc>
          <w:tcPr>
            <w:tcW w:w="260" w:type="dxa"/>
            <w:vAlign w:val="bottom"/>
            <w:tcBorders>
              <w:bottom w:val="single" w:sz="8" w:color="888B8D"/>
            </w:tcBorders>
          </w:tcPr>
          <w:p>
            <w:pPr>
              <w:spacing w:after="0"/>
              <w:rPr>
                <w:sz w:val="17"/>
                <w:szCs w:val="17"/>
                <w:color w:val="auto"/>
              </w:rPr>
            </w:pPr>
          </w:p>
        </w:tc>
        <w:tc>
          <w:tcPr>
            <w:tcW w:w="11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110.52</w:t>
            </w:r>
          </w:p>
        </w:tc>
        <w:tc>
          <w:tcPr>
            <w:tcW w:w="240" w:type="dxa"/>
            <w:vAlign w:val="bottom"/>
            <w:tcBorders>
              <w:bottom w:val="single" w:sz="8" w:color="888B8D"/>
            </w:tcBorders>
          </w:tcPr>
          <w:p>
            <w:pPr>
              <w:spacing w:after="0"/>
              <w:rPr>
                <w:sz w:val="17"/>
                <w:szCs w:val="17"/>
                <w:color w:val="auto"/>
              </w:rPr>
            </w:pPr>
          </w:p>
        </w:tc>
        <w:tc>
          <w:tcPr>
            <w:tcW w:w="11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128.63</w:t>
            </w:r>
          </w:p>
        </w:tc>
        <w:tc>
          <w:tcPr>
            <w:tcW w:w="260" w:type="dxa"/>
            <w:vAlign w:val="bottom"/>
            <w:tcBorders>
              <w:bottom w:val="single" w:sz="8" w:color="888B8D"/>
            </w:tcBorders>
          </w:tcPr>
          <w:p>
            <w:pPr>
              <w:spacing w:after="0"/>
              <w:rPr>
                <w:sz w:val="17"/>
                <w:szCs w:val="17"/>
                <w:color w:val="auto"/>
              </w:rPr>
            </w:pPr>
          </w:p>
        </w:tc>
        <w:tc>
          <w:tcPr>
            <w:tcW w:w="11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163.77</w:t>
            </w:r>
          </w:p>
        </w:tc>
      </w:tr>
      <w:tr>
        <w:trPr>
          <w:trHeight w:val="196"/>
        </w:trPr>
        <w:tc>
          <w:tcPr>
            <w:tcW w:w="2340" w:type="dxa"/>
            <w:vAlign w:val="bottom"/>
            <w:tcBorders>
              <w:bottom w:val="single" w:sz="8" w:color="D7282F"/>
            </w:tcBorders>
          </w:tcPr>
          <w:p>
            <w:pPr>
              <w:ind w:left="680"/>
              <w:spacing w:after="0"/>
              <w:rPr>
                <w:sz w:val="20"/>
                <w:szCs w:val="20"/>
                <w:color w:val="auto"/>
              </w:rPr>
            </w:pPr>
            <w:r>
              <w:rPr>
                <w:rFonts w:ascii="Arial" w:cs="Arial" w:eastAsia="Arial" w:hAnsi="Arial"/>
                <w:sz w:val="14"/>
                <w:szCs w:val="14"/>
                <w:color w:val="auto"/>
              </w:rPr>
              <w:t>XLI Index</w:t>
            </w:r>
          </w:p>
        </w:tc>
        <w:tc>
          <w:tcPr>
            <w:tcW w:w="780" w:type="dxa"/>
            <w:vAlign w:val="bottom"/>
            <w:tcBorders>
              <w:bottom w:val="single" w:sz="8" w:color="D7282F"/>
            </w:tcBorders>
          </w:tcPr>
          <w:p>
            <w:pPr>
              <w:spacing w:after="0"/>
              <w:rPr>
                <w:sz w:val="17"/>
                <w:szCs w:val="17"/>
                <w:color w:val="auto"/>
              </w:rPr>
            </w:pPr>
          </w:p>
        </w:tc>
        <w:tc>
          <w:tcPr>
            <w:tcW w:w="11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100.00</w:t>
            </w:r>
          </w:p>
        </w:tc>
        <w:tc>
          <w:tcPr>
            <w:tcW w:w="260" w:type="dxa"/>
            <w:vAlign w:val="bottom"/>
            <w:tcBorders>
              <w:bottom w:val="single" w:sz="8" w:color="D7282F"/>
            </w:tcBorders>
          </w:tcPr>
          <w:p>
            <w:pPr>
              <w:spacing w:after="0"/>
              <w:rPr>
                <w:sz w:val="17"/>
                <w:szCs w:val="17"/>
                <w:color w:val="auto"/>
              </w:rPr>
            </w:pPr>
          </w:p>
        </w:tc>
        <w:tc>
          <w:tcPr>
            <w:tcW w:w="11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110.91</w:t>
            </w:r>
          </w:p>
        </w:tc>
        <w:tc>
          <w:tcPr>
            <w:tcW w:w="240" w:type="dxa"/>
            <w:vAlign w:val="bottom"/>
            <w:tcBorders>
              <w:bottom w:val="single" w:sz="8" w:color="D7282F"/>
            </w:tcBorders>
          </w:tcPr>
          <w:p>
            <w:pPr>
              <w:spacing w:after="0"/>
              <w:rPr>
                <w:sz w:val="17"/>
                <w:szCs w:val="17"/>
                <w:color w:val="auto"/>
              </w:rPr>
            </w:pPr>
          </w:p>
        </w:tc>
        <w:tc>
          <w:tcPr>
            <w:tcW w:w="11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134.29</w:t>
            </w:r>
          </w:p>
        </w:tc>
        <w:tc>
          <w:tcPr>
            <w:tcW w:w="260" w:type="dxa"/>
            <w:vAlign w:val="bottom"/>
            <w:tcBorders>
              <w:bottom w:val="single" w:sz="8" w:color="D7282F"/>
            </w:tcBorders>
          </w:tcPr>
          <w:p>
            <w:pPr>
              <w:spacing w:after="0"/>
              <w:rPr>
                <w:sz w:val="17"/>
                <w:szCs w:val="17"/>
                <w:color w:val="auto"/>
              </w:rPr>
            </w:pPr>
          </w:p>
        </w:tc>
        <w:tc>
          <w:tcPr>
            <w:tcW w:w="11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126.81</w:t>
            </w:r>
          </w:p>
        </w:tc>
        <w:tc>
          <w:tcPr>
            <w:tcW w:w="240" w:type="dxa"/>
            <w:vAlign w:val="bottom"/>
            <w:tcBorders>
              <w:bottom w:val="single" w:sz="8" w:color="D7282F"/>
            </w:tcBorders>
          </w:tcPr>
          <w:p>
            <w:pPr>
              <w:spacing w:after="0"/>
              <w:rPr>
                <w:sz w:val="17"/>
                <w:szCs w:val="17"/>
                <w:color w:val="auto"/>
              </w:rPr>
            </w:pPr>
          </w:p>
        </w:tc>
        <w:tc>
          <w:tcPr>
            <w:tcW w:w="11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149.80</w:t>
            </w:r>
          </w:p>
        </w:tc>
        <w:tc>
          <w:tcPr>
            <w:tcW w:w="260" w:type="dxa"/>
            <w:vAlign w:val="bottom"/>
            <w:tcBorders>
              <w:bottom w:val="single" w:sz="8" w:color="D7282F"/>
            </w:tcBorders>
          </w:tcPr>
          <w:p>
            <w:pPr>
              <w:spacing w:after="0"/>
              <w:rPr>
                <w:sz w:val="17"/>
                <w:szCs w:val="17"/>
                <w:color w:val="auto"/>
              </w:rPr>
            </w:pPr>
          </w:p>
        </w:tc>
        <w:tc>
          <w:tcPr>
            <w:tcW w:w="1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175.73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-539750</wp:posOffset>
            </wp:positionV>
            <wp:extent cx="154305" cy="4318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154305" cy="4318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-402590</wp:posOffset>
            </wp:positionV>
            <wp:extent cx="154305" cy="4318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154305" cy="4318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-265430</wp:posOffset>
            </wp:positionV>
            <wp:extent cx="154305" cy="4318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154305" cy="4318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-111125</wp:posOffset>
            </wp:positionV>
            <wp:extent cx="13716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137160" cy="17145"/>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p>
      <w:pPr>
        <w:ind w:left="400" w:hanging="392"/>
        <w:spacing w:after="0"/>
        <w:tabs>
          <w:tab w:leader="none" w:pos="400" w:val="left"/>
        </w:tabs>
        <w:numPr>
          <w:ilvl w:val="0"/>
          <w:numId w:val="102"/>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52" w:name="page53"/>
    <w:bookmarkEnd w:id="52"/>
    <w:p>
      <w:pPr>
        <w:ind w:left="20"/>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5019"/>
        <w:spacing w:after="0" w:line="313" w:lineRule="auto"/>
        <w:rPr>
          <w:sz w:val="20"/>
          <w:szCs w:val="20"/>
          <w:color w:val="auto"/>
        </w:rPr>
      </w:pPr>
      <w:r>
        <w:rPr>
          <w:rFonts w:ascii="Arial" w:cs="Arial" w:eastAsia="Arial" w:hAnsi="Arial"/>
          <w:sz w:val="35"/>
          <w:szCs w:val="35"/>
          <w:b w:val="1"/>
          <w:bCs w:val="1"/>
          <w:color w:val="auto"/>
        </w:rPr>
        <w:t>FINANCIAL STATEMENTS AND SUPPLEMENTARY DATA</w:t>
      </w:r>
    </w:p>
    <w:p>
      <w:pPr>
        <w:spacing w:after="0" w:line="189" w:lineRule="exact"/>
        <w:rPr>
          <w:sz w:val="20"/>
          <w:szCs w:val="20"/>
          <w:color w:val="auto"/>
        </w:rPr>
      </w:pPr>
    </w:p>
    <w:p>
      <w:pPr>
        <w:jc w:val="right"/>
        <w:ind w:right="2259"/>
        <w:spacing w:after="0"/>
        <w:rPr>
          <w:sz w:val="20"/>
          <w:szCs w:val="20"/>
          <w:color w:val="auto"/>
        </w:rPr>
      </w:pPr>
      <w:r>
        <w:rPr>
          <w:rFonts w:ascii="Arial" w:cs="Arial" w:eastAsia="Arial" w:hAnsi="Arial"/>
          <w:sz w:val="16"/>
          <w:szCs w:val="16"/>
          <w:b w:val="1"/>
          <w:bCs w:val="1"/>
          <w:color w:val="auto"/>
        </w:rPr>
        <w:t>INDEX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97790</wp:posOffset>
            </wp:positionV>
            <wp:extent cx="704659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7046595" cy="8890"/>
                    </a:xfrm>
                    <a:prstGeom prst="rect">
                      <a:avLst/>
                    </a:prstGeom>
                    <a:noFill/>
                  </pic:spPr>
                </pic:pic>
              </a:graphicData>
            </a:graphic>
          </wp:anchor>
        </w:drawing>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D7282F"/>
        </w:rPr>
        <w:t xml:space="preserve">52 </w:t>
      </w:r>
      <w:r>
        <w:rPr>
          <w:rFonts w:ascii="Arial" w:cs="Arial" w:eastAsia="Arial" w:hAnsi="Arial"/>
          <w:sz w:val="16"/>
          <w:szCs w:val="16"/>
          <w:color w:val="000000"/>
        </w:rPr>
        <w:t>Consolidated Statement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20955</wp:posOffset>
            </wp:positionV>
            <wp:extent cx="704659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7046595" cy="8255"/>
                    </a:xfrm>
                    <a:prstGeom prst="rect">
                      <a:avLst/>
                    </a:prstGeom>
                    <a:noFill/>
                  </pic:spPr>
                </pic:pic>
              </a:graphicData>
            </a:graphic>
          </wp:anchor>
        </w:drawing>
      </w:r>
    </w:p>
    <w:p>
      <w:pPr>
        <w:spacing w:after="0" w:line="26"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D7282F"/>
        </w:rPr>
        <w:t xml:space="preserve">53 </w:t>
      </w:r>
      <w:r>
        <w:rPr>
          <w:rFonts w:ascii="Arial" w:cs="Arial" w:eastAsia="Arial" w:hAnsi="Arial"/>
          <w:sz w:val="16"/>
          <w:szCs w:val="16"/>
          <w:color w:val="000000"/>
        </w:rPr>
        <w:t>Consolidated Statement of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20955</wp:posOffset>
            </wp:positionV>
            <wp:extent cx="704659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7046595" cy="8255"/>
                    </a:xfrm>
                    <a:prstGeom prst="rect">
                      <a:avLst/>
                    </a:prstGeom>
                    <a:noFill/>
                  </pic:spPr>
                </pic:pic>
              </a:graphicData>
            </a:graphic>
          </wp:anchor>
        </w:drawing>
      </w:r>
    </w:p>
    <w:p>
      <w:pPr>
        <w:spacing w:after="0" w:line="26"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D7282F"/>
        </w:rPr>
        <w:t xml:space="preserve">54 </w:t>
      </w:r>
      <w:r>
        <w:rPr>
          <w:rFonts w:ascii="Arial" w:cs="Arial" w:eastAsia="Arial" w:hAnsi="Arial"/>
          <w:sz w:val="16"/>
          <w:szCs w:val="16"/>
          <w:color w:val="000000"/>
        </w:rPr>
        <w:t>Consolidated Balance 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20955</wp:posOffset>
            </wp:positionV>
            <wp:extent cx="704659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7046595" cy="8890"/>
                    </a:xfrm>
                    <a:prstGeom prst="rect">
                      <a:avLst/>
                    </a:prstGeom>
                    <a:noFill/>
                  </pic:spPr>
                </pic:pic>
              </a:graphicData>
            </a:graphic>
          </wp:anchor>
        </w:drawing>
      </w:r>
    </w:p>
    <w:p>
      <w:pPr>
        <w:spacing w:after="0" w:line="26"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D7282F"/>
        </w:rPr>
        <w:t xml:space="preserve">55 </w:t>
      </w:r>
      <w:r>
        <w:rPr>
          <w:rFonts w:ascii="Arial" w:cs="Arial" w:eastAsia="Arial" w:hAnsi="Arial"/>
          <w:sz w:val="16"/>
          <w:szCs w:val="16"/>
          <w:color w:val="000000"/>
        </w:rPr>
        <w:t>Consolidated Statement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20955</wp:posOffset>
            </wp:positionV>
            <wp:extent cx="704659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7046595" cy="8255"/>
                    </a:xfrm>
                    <a:prstGeom prst="rect">
                      <a:avLst/>
                    </a:prstGeom>
                    <a:noFill/>
                  </pic:spPr>
                </pic:pic>
              </a:graphicData>
            </a:graphic>
          </wp:anchor>
        </w:drawing>
      </w:r>
    </w:p>
    <w:p>
      <w:pPr>
        <w:spacing w:after="0" w:line="26"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D7282F"/>
        </w:rPr>
        <w:t xml:space="preserve">56 </w:t>
      </w:r>
      <w:r>
        <w:rPr>
          <w:rFonts w:ascii="Arial" w:cs="Arial" w:eastAsia="Arial" w:hAnsi="Arial"/>
          <w:sz w:val="16"/>
          <w:szCs w:val="16"/>
          <w:color w:val="000000"/>
        </w:rPr>
        <w:t>Consolidated Statement of Shareowners'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20955</wp:posOffset>
            </wp:positionV>
            <wp:extent cx="704659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7046595" cy="8255"/>
                    </a:xfrm>
                    <a:prstGeom prst="rect">
                      <a:avLst/>
                    </a:prstGeom>
                    <a:noFill/>
                  </pic:spPr>
                </pic:pic>
              </a:graphicData>
            </a:graphic>
          </wp:anchor>
        </w:drawing>
      </w:r>
    </w:p>
    <w:p>
      <w:pPr>
        <w:spacing w:after="0" w:line="26"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D7282F"/>
        </w:rPr>
        <w:t xml:space="preserve">57 </w:t>
      </w:r>
      <w:r>
        <w:rPr>
          <w:rFonts w:ascii="Arial" w:cs="Arial" w:eastAsia="Arial" w:hAnsi="Arial"/>
          <w:sz w:val="16"/>
          <w:szCs w:val="16"/>
          <w:color w:val="000000"/>
        </w:rPr>
        <w:t>Note 1. Summary of Significant 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20955</wp:posOffset>
            </wp:positionV>
            <wp:extent cx="704659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7046595" cy="8255"/>
                    </a:xfrm>
                    <a:prstGeom prst="rect">
                      <a:avLst/>
                    </a:prstGeom>
                    <a:noFill/>
                  </pic:spPr>
                </pic:pic>
              </a:graphicData>
            </a:graphic>
          </wp:anchor>
        </w:drawing>
      </w:r>
    </w:p>
    <w:p>
      <w:pPr>
        <w:spacing w:after="0" w:line="26"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D7282F"/>
        </w:rPr>
        <w:t xml:space="preserve">62 </w:t>
      </w:r>
      <w:r>
        <w:rPr>
          <w:rFonts w:ascii="Arial" w:cs="Arial" w:eastAsia="Arial" w:hAnsi="Arial"/>
          <w:sz w:val="16"/>
          <w:szCs w:val="16"/>
          <w:color w:val="000000"/>
        </w:rPr>
        <w:t>Note 2. Acquisitions, Divestitures, and Assets and Liabilities Held for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20955</wp:posOffset>
            </wp:positionV>
            <wp:extent cx="704659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7046595" cy="8255"/>
                    </a:xfrm>
                    <a:prstGeom prst="rect">
                      <a:avLst/>
                    </a:prstGeom>
                    <a:noFill/>
                  </pic:spPr>
                </pic:pic>
              </a:graphicData>
            </a:graphic>
          </wp:anchor>
        </w:drawing>
      </w:r>
    </w:p>
    <w:p>
      <w:pPr>
        <w:spacing w:after="0" w:line="26"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D7282F"/>
        </w:rPr>
        <w:t xml:space="preserve">66 </w:t>
      </w:r>
      <w:r>
        <w:rPr>
          <w:rFonts w:ascii="Arial" w:cs="Arial" w:eastAsia="Arial" w:hAnsi="Arial"/>
          <w:sz w:val="16"/>
          <w:szCs w:val="16"/>
          <w:color w:val="000000"/>
        </w:rPr>
        <w:t>Note 3. Revenue Recognition and Contracts with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20955</wp:posOffset>
            </wp:positionV>
            <wp:extent cx="704659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7046595" cy="8890"/>
                    </a:xfrm>
                    <a:prstGeom prst="rect">
                      <a:avLst/>
                    </a:prstGeom>
                    <a:noFill/>
                  </pic:spPr>
                </pic:pic>
              </a:graphicData>
            </a:graphic>
          </wp:anchor>
        </w:drawing>
      </w:r>
    </w:p>
    <w:p>
      <w:pPr>
        <w:spacing w:after="0" w:line="26"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D7282F"/>
        </w:rPr>
        <w:t xml:space="preserve">69 </w:t>
      </w:r>
      <w:r>
        <w:rPr>
          <w:rFonts w:ascii="Arial" w:cs="Arial" w:eastAsia="Arial" w:hAnsi="Arial"/>
          <w:sz w:val="16"/>
          <w:szCs w:val="16"/>
          <w:color w:val="000000"/>
        </w:rPr>
        <w:t>Note 4. Repositioning and Other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20955</wp:posOffset>
            </wp:positionV>
            <wp:extent cx="704659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7046595" cy="8255"/>
                    </a:xfrm>
                    <a:prstGeom prst="rect">
                      <a:avLst/>
                    </a:prstGeom>
                    <a:noFill/>
                  </pic:spPr>
                </pic:pic>
              </a:graphicData>
            </a:graphic>
          </wp:anchor>
        </w:drawing>
      </w:r>
    </w:p>
    <w:p>
      <w:pPr>
        <w:spacing w:after="0" w:line="26"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D7282F"/>
        </w:rPr>
        <w:t xml:space="preserve">72 </w:t>
      </w:r>
      <w:r>
        <w:rPr>
          <w:rFonts w:ascii="Arial" w:cs="Arial" w:eastAsia="Arial" w:hAnsi="Arial"/>
          <w:sz w:val="16"/>
          <w:szCs w:val="16"/>
          <w:color w:val="000000"/>
        </w:rPr>
        <w:t>Note 5.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20955</wp:posOffset>
            </wp:positionV>
            <wp:extent cx="704659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7046595" cy="8255"/>
                    </a:xfrm>
                    <a:prstGeom prst="rect">
                      <a:avLst/>
                    </a:prstGeom>
                    <a:noFill/>
                  </pic:spPr>
                </pic:pic>
              </a:graphicData>
            </a:graphic>
          </wp:anchor>
        </w:drawing>
      </w:r>
    </w:p>
    <w:p>
      <w:pPr>
        <w:spacing w:after="0" w:line="26"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D7282F"/>
        </w:rPr>
        <w:t xml:space="preserve">76 </w:t>
      </w:r>
      <w:r>
        <w:rPr>
          <w:rFonts w:ascii="Arial" w:cs="Arial" w:eastAsia="Arial" w:hAnsi="Arial"/>
          <w:sz w:val="16"/>
          <w:szCs w:val="16"/>
          <w:color w:val="000000"/>
        </w:rPr>
        <w:t>Note 6. Inventories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20955</wp:posOffset>
            </wp:positionV>
            <wp:extent cx="704659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7046595" cy="8890"/>
                    </a:xfrm>
                    <a:prstGeom prst="rect">
                      <a:avLst/>
                    </a:prstGeom>
                    <a:noFill/>
                  </pic:spPr>
                </pic:pic>
              </a:graphicData>
            </a:graphic>
          </wp:anchor>
        </w:drawing>
      </w:r>
    </w:p>
    <w:p>
      <w:pPr>
        <w:spacing w:after="0" w:line="26"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D7282F"/>
        </w:rPr>
        <w:t xml:space="preserve">76 </w:t>
      </w:r>
      <w:r>
        <w:rPr>
          <w:rFonts w:ascii="Arial" w:cs="Arial" w:eastAsia="Arial" w:hAnsi="Arial"/>
          <w:sz w:val="16"/>
          <w:szCs w:val="16"/>
          <w:color w:val="000000"/>
        </w:rPr>
        <w:t>Note 7. Property, Plant and Equipment—Net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20955</wp:posOffset>
            </wp:positionV>
            <wp:extent cx="704659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7046595" cy="8255"/>
                    </a:xfrm>
                    <a:prstGeom prst="rect">
                      <a:avLst/>
                    </a:prstGeom>
                    <a:noFill/>
                  </pic:spPr>
                </pic:pic>
              </a:graphicData>
            </a:graphic>
          </wp:anchor>
        </w:drawing>
      </w:r>
    </w:p>
    <w:p>
      <w:pPr>
        <w:spacing w:after="0" w:line="26"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D7282F"/>
        </w:rPr>
        <w:t xml:space="preserve">77 </w:t>
      </w:r>
      <w:r>
        <w:rPr>
          <w:rFonts w:ascii="Arial" w:cs="Arial" w:eastAsia="Arial" w:hAnsi="Arial"/>
          <w:sz w:val="16"/>
          <w:szCs w:val="16"/>
          <w:color w:val="000000"/>
        </w:rPr>
        <w:t>Note 8. Goodwill and Other Intangible Assets—Net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20955</wp:posOffset>
            </wp:positionV>
            <wp:extent cx="704659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7046595" cy="8255"/>
                    </a:xfrm>
                    <a:prstGeom prst="rect">
                      <a:avLst/>
                    </a:prstGeom>
                    <a:noFill/>
                  </pic:spPr>
                </pic:pic>
              </a:graphicData>
            </a:graphic>
          </wp:anchor>
        </w:drawing>
      </w:r>
    </w:p>
    <w:p>
      <w:pPr>
        <w:spacing w:after="0" w:line="26"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D7282F"/>
        </w:rPr>
        <w:t xml:space="preserve">78 </w:t>
      </w:r>
      <w:r>
        <w:rPr>
          <w:rFonts w:ascii="Arial" w:cs="Arial" w:eastAsia="Arial" w:hAnsi="Arial"/>
          <w:sz w:val="16"/>
          <w:szCs w:val="16"/>
          <w:color w:val="000000"/>
        </w:rPr>
        <w:t>Note 9. Long-term Debt and Credit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20955</wp:posOffset>
            </wp:positionV>
            <wp:extent cx="704659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7046595" cy="8255"/>
                    </a:xfrm>
                    <a:prstGeom prst="rect">
                      <a:avLst/>
                    </a:prstGeom>
                    <a:noFill/>
                  </pic:spPr>
                </pic:pic>
              </a:graphicData>
            </a:graphic>
          </wp:anchor>
        </w:drawing>
      </w:r>
    </w:p>
    <w:p>
      <w:pPr>
        <w:spacing w:after="0" w:line="26"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D7282F"/>
        </w:rPr>
        <w:t xml:space="preserve">80 </w:t>
      </w:r>
      <w:r>
        <w:rPr>
          <w:rFonts w:ascii="Arial" w:cs="Arial" w:eastAsia="Arial" w:hAnsi="Arial"/>
          <w:sz w:val="16"/>
          <w:szCs w:val="16"/>
          <w:color w:val="000000"/>
        </w:rPr>
        <w:t>Note 10.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20955</wp:posOffset>
            </wp:positionV>
            <wp:extent cx="704659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7046595" cy="8255"/>
                    </a:xfrm>
                    <a:prstGeom prst="rect">
                      <a:avLst/>
                    </a:prstGeom>
                    <a:noFill/>
                  </pic:spPr>
                </pic:pic>
              </a:graphicData>
            </a:graphic>
          </wp:anchor>
        </w:drawing>
      </w:r>
    </w:p>
    <w:p>
      <w:pPr>
        <w:spacing w:after="0" w:line="26"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D7282F"/>
        </w:rPr>
        <w:t xml:space="preserve">82 </w:t>
      </w:r>
      <w:r>
        <w:rPr>
          <w:rFonts w:ascii="Arial" w:cs="Arial" w:eastAsia="Arial" w:hAnsi="Arial"/>
          <w:sz w:val="16"/>
          <w:szCs w:val="16"/>
          <w:color w:val="000000"/>
        </w:rPr>
        <w:t>Note 11. Derivative Instruments and Hedging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20955</wp:posOffset>
            </wp:positionV>
            <wp:extent cx="704659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7046595" cy="8890"/>
                    </a:xfrm>
                    <a:prstGeom prst="rect">
                      <a:avLst/>
                    </a:prstGeom>
                    <a:noFill/>
                  </pic:spPr>
                </pic:pic>
              </a:graphicData>
            </a:graphic>
          </wp:anchor>
        </w:drawing>
      </w:r>
    </w:p>
    <w:p>
      <w:pPr>
        <w:spacing w:after="0" w:line="26"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D7282F"/>
        </w:rPr>
        <w:t xml:space="preserve">85 </w:t>
      </w:r>
      <w:r>
        <w:rPr>
          <w:rFonts w:ascii="Arial" w:cs="Arial" w:eastAsia="Arial" w:hAnsi="Arial"/>
          <w:sz w:val="16"/>
          <w:szCs w:val="16"/>
          <w:color w:val="000000"/>
        </w:rPr>
        <w:t>Note 12. Fair Value Measurements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20955</wp:posOffset>
            </wp:positionV>
            <wp:extent cx="704659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7046595" cy="8255"/>
                    </a:xfrm>
                    <a:prstGeom prst="rect">
                      <a:avLst/>
                    </a:prstGeom>
                    <a:noFill/>
                  </pic:spPr>
                </pic:pic>
              </a:graphicData>
            </a:graphic>
          </wp:anchor>
        </w:drawing>
      </w:r>
    </w:p>
    <w:p>
      <w:pPr>
        <w:spacing w:after="0" w:line="26"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D7282F"/>
        </w:rPr>
        <w:t xml:space="preserve">87 </w:t>
      </w:r>
      <w:r>
        <w:rPr>
          <w:rFonts w:ascii="Arial" w:cs="Arial" w:eastAsia="Arial" w:hAnsi="Arial"/>
          <w:sz w:val="16"/>
          <w:szCs w:val="16"/>
          <w:color w:val="000000"/>
        </w:rPr>
        <w:t>Note 13. Accrued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20955</wp:posOffset>
            </wp:positionV>
            <wp:extent cx="704659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7046595" cy="8890"/>
                    </a:xfrm>
                    <a:prstGeom prst="rect">
                      <a:avLst/>
                    </a:prstGeom>
                    <a:noFill/>
                  </pic:spPr>
                </pic:pic>
              </a:graphicData>
            </a:graphic>
          </wp:anchor>
        </w:drawing>
      </w:r>
    </w:p>
    <w:p>
      <w:pPr>
        <w:spacing w:after="0" w:line="26"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D7282F"/>
        </w:rPr>
        <w:t xml:space="preserve">87 </w:t>
      </w:r>
      <w:r>
        <w:rPr>
          <w:rFonts w:ascii="Arial" w:cs="Arial" w:eastAsia="Arial" w:hAnsi="Arial"/>
          <w:sz w:val="16"/>
          <w:szCs w:val="16"/>
          <w:color w:val="000000"/>
        </w:rPr>
        <w:t>Note 14. 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20955</wp:posOffset>
            </wp:positionV>
            <wp:extent cx="704659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9">
                      <a:extLst>
                        <a:ext uri="{28A0092B-C50C-407E-A947-70E740481C1C}"/>
                      </a:extLst>
                    </a:blip>
                    <a:srcRect/>
                    <a:stretch>
                      <a:fillRect/>
                    </a:stretch>
                  </pic:blipFill>
                  <pic:spPr bwMode="auto">
                    <a:xfrm>
                      <a:off x="0" y="0"/>
                      <a:ext cx="7046595" cy="8255"/>
                    </a:xfrm>
                    <a:prstGeom prst="rect">
                      <a:avLst/>
                    </a:prstGeom>
                    <a:noFill/>
                  </pic:spPr>
                </pic:pic>
              </a:graphicData>
            </a:graphic>
          </wp:anchor>
        </w:drawing>
      </w:r>
    </w:p>
    <w:p>
      <w:pPr>
        <w:spacing w:after="0" w:line="26"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D7282F"/>
        </w:rPr>
        <w:t xml:space="preserve">88 </w:t>
      </w:r>
      <w:r>
        <w:rPr>
          <w:rFonts w:ascii="Arial" w:cs="Arial" w:eastAsia="Arial" w:hAnsi="Arial"/>
          <w:sz w:val="16"/>
          <w:szCs w:val="16"/>
          <w:color w:val="000000"/>
        </w:rPr>
        <w:t>Note 15. Stock-Based Compensation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20955</wp:posOffset>
            </wp:positionV>
            <wp:extent cx="704659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7046595" cy="8255"/>
                    </a:xfrm>
                    <a:prstGeom prst="rect">
                      <a:avLst/>
                    </a:prstGeom>
                    <a:noFill/>
                  </pic:spPr>
                </pic:pic>
              </a:graphicData>
            </a:graphic>
          </wp:anchor>
        </w:drawing>
      </w:r>
    </w:p>
    <w:p>
      <w:pPr>
        <w:spacing w:after="0" w:line="26"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D7282F"/>
        </w:rPr>
        <w:t xml:space="preserve">91 </w:t>
      </w:r>
      <w:r>
        <w:rPr>
          <w:rFonts w:ascii="Arial" w:cs="Arial" w:eastAsia="Arial" w:hAnsi="Arial"/>
          <w:sz w:val="16"/>
          <w:szCs w:val="16"/>
          <w:color w:val="000000"/>
        </w:rPr>
        <w:t>Note 16.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20955</wp:posOffset>
            </wp:positionV>
            <wp:extent cx="704659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1">
                      <a:extLst>
                        <a:ext uri="{28A0092B-C50C-407E-A947-70E740481C1C}"/>
                      </a:extLst>
                    </a:blip>
                    <a:srcRect/>
                    <a:stretch>
                      <a:fillRect/>
                    </a:stretch>
                  </pic:blipFill>
                  <pic:spPr bwMode="auto">
                    <a:xfrm>
                      <a:off x="0" y="0"/>
                      <a:ext cx="7046595" cy="8255"/>
                    </a:xfrm>
                    <a:prstGeom prst="rect">
                      <a:avLst/>
                    </a:prstGeom>
                    <a:noFill/>
                  </pic:spPr>
                </pic:pic>
              </a:graphicData>
            </a:graphic>
          </wp:anchor>
        </w:drawing>
      </w:r>
    </w:p>
    <w:p>
      <w:pPr>
        <w:spacing w:after="0" w:line="26"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D7282F"/>
        </w:rPr>
        <w:t xml:space="preserve">92 </w:t>
      </w:r>
      <w:r>
        <w:rPr>
          <w:rFonts w:ascii="Arial" w:cs="Arial" w:eastAsia="Arial" w:hAnsi="Arial"/>
          <w:sz w:val="16"/>
          <w:szCs w:val="16"/>
          <w:color w:val="000000"/>
        </w:rPr>
        <w:t>Note 17. Accumulated 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20955</wp:posOffset>
            </wp:positionV>
            <wp:extent cx="704659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2">
                      <a:extLst>
                        <a:ext uri="{28A0092B-C50C-407E-A947-70E740481C1C}"/>
                      </a:extLst>
                    </a:blip>
                    <a:srcRect/>
                    <a:stretch>
                      <a:fillRect/>
                    </a:stretch>
                  </pic:blipFill>
                  <pic:spPr bwMode="auto">
                    <a:xfrm>
                      <a:off x="0" y="0"/>
                      <a:ext cx="7046595" cy="8890"/>
                    </a:xfrm>
                    <a:prstGeom prst="rect">
                      <a:avLst/>
                    </a:prstGeom>
                    <a:noFill/>
                  </pic:spPr>
                </pic:pic>
              </a:graphicData>
            </a:graphic>
          </wp:anchor>
        </w:drawing>
      </w:r>
    </w:p>
    <w:p>
      <w:pPr>
        <w:spacing w:after="0" w:line="26"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D7282F"/>
        </w:rPr>
        <w:t xml:space="preserve">94 </w:t>
      </w:r>
      <w:r>
        <w:rPr>
          <w:rFonts w:ascii="Arial" w:cs="Arial" w:eastAsia="Arial" w:hAnsi="Arial"/>
          <w:sz w:val="16"/>
          <w:szCs w:val="16"/>
          <w:color w:val="000000"/>
        </w:rPr>
        <w:t>Note 18. Capital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20955</wp:posOffset>
            </wp:positionV>
            <wp:extent cx="704659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3">
                      <a:extLst>
                        <a:ext uri="{28A0092B-C50C-407E-A947-70E740481C1C}"/>
                      </a:extLst>
                    </a:blip>
                    <a:srcRect/>
                    <a:stretch>
                      <a:fillRect/>
                    </a:stretch>
                  </pic:blipFill>
                  <pic:spPr bwMode="auto">
                    <a:xfrm>
                      <a:off x="0" y="0"/>
                      <a:ext cx="7046595" cy="8255"/>
                    </a:xfrm>
                    <a:prstGeom prst="rect">
                      <a:avLst/>
                    </a:prstGeom>
                    <a:noFill/>
                  </pic:spPr>
                </pic:pic>
              </a:graphicData>
            </a:graphic>
          </wp:anchor>
        </w:drawing>
      </w:r>
    </w:p>
    <w:p>
      <w:pPr>
        <w:spacing w:after="0" w:line="26"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D7282F"/>
        </w:rPr>
        <w:t xml:space="preserve">95 </w:t>
      </w:r>
      <w:r>
        <w:rPr>
          <w:rFonts w:ascii="Arial" w:cs="Arial" w:eastAsia="Arial" w:hAnsi="Arial"/>
          <w:sz w:val="16"/>
          <w:szCs w:val="16"/>
          <w:color w:val="000000"/>
        </w:rPr>
        <w:t>Note 19. 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20955</wp:posOffset>
            </wp:positionV>
            <wp:extent cx="704659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4">
                      <a:extLst>
                        <a:ext uri="{28A0092B-C50C-407E-A947-70E740481C1C}"/>
                      </a:extLst>
                    </a:blip>
                    <a:srcRect/>
                    <a:stretch>
                      <a:fillRect/>
                    </a:stretch>
                  </pic:blipFill>
                  <pic:spPr bwMode="auto">
                    <a:xfrm>
                      <a:off x="0" y="0"/>
                      <a:ext cx="7046595" cy="8255"/>
                    </a:xfrm>
                    <a:prstGeom prst="rect">
                      <a:avLst/>
                    </a:prstGeom>
                    <a:noFill/>
                  </pic:spPr>
                </pic:pic>
              </a:graphicData>
            </a:graphic>
          </wp:anchor>
        </w:drawing>
      </w:r>
    </w:p>
    <w:p>
      <w:pPr>
        <w:spacing w:after="0" w:line="26"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D7282F"/>
        </w:rPr>
        <w:t xml:space="preserve">100 </w:t>
      </w:r>
      <w:r>
        <w:rPr>
          <w:rFonts w:ascii="Arial" w:cs="Arial" w:eastAsia="Arial" w:hAnsi="Arial"/>
          <w:sz w:val="16"/>
          <w:szCs w:val="16"/>
          <w:color w:val="000000"/>
        </w:rPr>
        <w:t>Note 20. Pension and Other Postretirement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20955</wp:posOffset>
            </wp:positionV>
            <wp:extent cx="704659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5">
                      <a:extLst>
                        <a:ext uri="{28A0092B-C50C-407E-A947-70E740481C1C}"/>
                      </a:extLst>
                    </a:blip>
                    <a:srcRect/>
                    <a:stretch>
                      <a:fillRect/>
                    </a:stretch>
                  </pic:blipFill>
                  <pic:spPr bwMode="auto">
                    <a:xfrm>
                      <a:off x="0" y="0"/>
                      <a:ext cx="7046595" cy="8255"/>
                    </a:xfrm>
                    <a:prstGeom prst="rect">
                      <a:avLst/>
                    </a:prstGeom>
                    <a:noFill/>
                  </pic:spPr>
                </pic:pic>
              </a:graphicData>
            </a:graphic>
          </wp:anchor>
        </w:drawing>
      </w:r>
    </w:p>
    <w:p>
      <w:pPr>
        <w:spacing w:after="0" w:line="26"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D7282F"/>
        </w:rPr>
        <w:t xml:space="preserve">110 </w:t>
      </w:r>
      <w:r>
        <w:rPr>
          <w:rFonts w:ascii="Arial" w:cs="Arial" w:eastAsia="Arial" w:hAnsi="Arial"/>
          <w:sz w:val="16"/>
          <w:szCs w:val="16"/>
          <w:color w:val="000000"/>
        </w:rPr>
        <w:t>Note 21. Other (Income)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20955</wp:posOffset>
            </wp:positionV>
            <wp:extent cx="704659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6">
                      <a:extLst>
                        <a:ext uri="{28A0092B-C50C-407E-A947-70E740481C1C}"/>
                      </a:extLst>
                    </a:blip>
                    <a:srcRect/>
                    <a:stretch>
                      <a:fillRect/>
                    </a:stretch>
                  </pic:blipFill>
                  <pic:spPr bwMode="auto">
                    <a:xfrm>
                      <a:off x="0" y="0"/>
                      <a:ext cx="7046595" cy="8890"/>
                    </a:xfrm>
                    <a:prstGeom prst="rect">
                      <a:avLst/>
                    </a:prstGeom>
                    <a:noFill/>
                  </pic:spPr>
                </pic:pic>
              </a:graphicData>
            </a:graphic>
          </wp:anchor>
        </w:drawing>
      </w:r>
    </w:p>
    <w:p>
      <w:pPr>
        <w:spacing w:after="0" w:line="26"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D7282F"/>
        </w:rPr>
        <w:t xml:space="preserve">110 </w:t>
      </w:r>
      <w:r>
        <w:rPr>
          <w:rFonts w:ascii="Arial" w:cs="Arial" w:eastAsia="Arial" w:hAnsi="Arial"/>
          <w:sz w:val="16"/>
          <w:szCs w:val="16"/>
          <w:color w:val="000000"/>
        </w:rPr>
        <w:t>Note 22. Segment Financial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20955</wp:posOffset>
            </wp:positionV>
            <wp:extent cx="704659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7">
                      <a:extLst>
                        <a:ext uri="{28A0092B-C50C-407E-A947-70E740481C1C}"/>
                      </a:extLst>
                    </a:blip>
                    <a:srcRect/>
                    <a:stretch>
                      <a:fillRect/>
                    </a:stretch>
                  </pic:blipFill>
                  <pic:spPr bwMode="auto">
                    <a:xfrm>
                      <a:off x="0" y="0"/>
                      <a:ext cx="7046595" cy="8890"/>
                    </a:xfrm>
                    <a:prstGeom prst="rect">
                      <a:avLst/>
                    </a:prstGeom>
                    <a:noFill/>
                  </pic:spPr>
                </pic:pic>
              </a:graphicData>
            </a:graphic>
          </wp:anchor>
        </w:drawing>
      </w:r>
    </w:p>
    <w:p>
      <w:pPr>
        <w:spacing w:after="0" w:line="26"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D7282F"/>
        </w:rPr>
        <w:t xml:space="preserve">113 </w:t>
      </w:r>
      <w:r>
        <w:rPr>
          <w:rFonts w:ascii="Arial" w:cs="Arial" w:eastAsia="Arial" w:hAnsi="Arial"/>
          <w:sz w:val="16"/>
          <w:szCs w:val="16"/>
          <w:color w:val="000000"/>
        </w:rPr>
        <w:t>Note 23. Geographic Areas—Financial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20955</wp:posOffset>
            </wp:positionV>
            <wp:extent cx="704659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7046595" cy="8255"/>
                    </a:xfrm>
                    <a:prstGeom prst="rect">
                      <a:avLst/>
                    </a:prstGeom>
                    <a:noFill/>
                  </pic:spPr>
                </pic:pic>
              </a:graphicData>
            </a:graphic>
          </wp:anchor>
        </w:drawing>
      </w:r>
    </w:p>
    <w:p>
      <w:pPr>
        <w:spacing w:after="0" w:line="26"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D7282F"/>
        </w:rPr>
        <w:t xml:space="preserve">113 </w:t>
      </w:r>
      <w:r>
        <w:rPr>
          <w:rFonts w:ascii="Arial" w:cs="Arial" w:eastAsia="Arial" w:hAnsi="Arial"/>
          <w:sz w:val="16"/>
          <w:szCs w:val="16"/>
          <w:color w:val="000000"/>
        </w:rPr>
        <w:t>Note 24. Supplemental Cash Flow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192405</wp:posOffset>
            </wp:positionV>
            <wp:extent cx="704659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9">
                      <a:extLst>
                        <a:ext uri="{28A0092B-C50C-407E-A947-70E740481C1C}"/>
                      </a:extLst>
                    </a:blip>
                    <a:srcRect/>
                    <a:stretch>
                      <a:fillRect/>
                    </a:stretch>
                  </pic:blipFill>
                  <pic:spPr bwMode="auto">
                    <a:xfrm>
                      <a:off x="0" y="0"/>
                      <a:ext cx="7046595" cy="8255"/>
                    </a:xfrm>
                    <a:prstGeom prst="rect">
                      <a:avLst/>
                    </a:prstGeom>
                    <a:noFill/>
                  </pic:spPr>
                </pic:pic>
              </a:graphicData>
            </a:graphic>
          </wp:anchor>
        </w:drawing>
        <w:drawing>
          <wp:anchor simplePos="0" relativeHeight="251657728" behindDoc="1" locked="0" layoutInCell="0" allowOverlap="1">
            <wp:simplePos x="0" y="0"/>
            <wp:positionH relativeFrom="column">
              <wp:posOffset>47625</wp:posOffset>
            </wp:positionH>
            <wp:positionV relativeFrom="paragraph">
              <wp:posOffset>20955</wp:posOffset>
            </wp:positionV>
            <wp:extent cx="704659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0">
                      <a:extLst>
                        <a:ext uri="{28A0092B-C50C-407E-A947-70E740481C1C}"/>
                      </a:extLst>
                    </a:blip>
                    <a:srcRect/>
                    <a:stretch>
                      <a:fillRect/>
                    </a:stretch>
                  </pic:blipFill>
                  <pic:spPr bwMode="auto">
                    <a:xfrm>
                      <a:off x="0" y="0"/>
                      <a:ext cx="7046595" cy="8255"/>
                    </a:xfrm>
                    <a:prstGeom prst="rect">
                      <a:avLst/>
                    </a:prstGeom>
                    <a:noFill/>
                  </pic:spPr>
                </pic:pic>
              </a:graphicData>
            </a:graphic>
          </wp:anchor>
        </w:drawing>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D7282F"/>
        </w:rPr>
        <w:t xml:space="preserve">114 </w:t>
      </w:r>
      <w:r>
        <w:rPr>
          <w:rFonts w:ascii="Arial" w:cs="Arial" w:eastAsia="Arial" w:hAnsi="Arial"/>
          <w:sz w:val="16"/>
          <w:szCs w:val="16"/>
          <w:color w:val="000000"/>
        </w:rPr>
        <w:t>Report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20955</wp:posOffset>
            </wp:positionV>
            <wp:extent cx="704659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1">
                      <a:extLst>
                        <a:ext uri="{28A0092B-C50C-407E-A947-70E740481C1C}"/>
                      </a:extLst>
                    </a:blip>
                    <a:srcRect/>
                    <a:stretch>
                      <a:fillRect/>
                    </a:stretch>
                  </pic:blipFill>
                  <pic:spPr bwMode="auto">
                    <a:xfrm>
                      <a:off x="0" y="0"/>
                      <a:ext cx="7046595" cy="8890"/>
                    </a:xfrm>
                    <a:prstGeom prst="rect">
                      <a:avLst/>
                    </a:prstGeom>
                    <a:noFill/>
                  </pic:spPr>
                </pic:pic>
              </a:graphicData>
            </a:graphic>
          </wp:anchor>
        </w:drawing>
      </w:r>
    </w:p>
    <w:p>
      <w:pPr>
        <w:spacing w:after="0" w:line="200" w:lineRule="exact"/>
        <w:rPr>
          <w:sz w:val="20"/>
          <w:szCs w:val="20"/>
          <w:color w:val="auto"/>
        </w:rPr>
      </w:pPr>
    </w:p>
    <w:p>
      <w:pPr>
        <w:spacing w:after="0" w:line="354" w:lineRule="exact"/>
        <w:rPr>
          <w:sz w:val="20"/>
          <w:szCs w:val="20"/>
          <w:color w:val="auto"/>
        </w:rPr>
      </w:pPr>
    </w:p>
    <w:p>
      <w:pPr>
        <w:ind w:left="400" w:hanging="392"/>
        <w:spacing w:after="0"/>
        <w:tabs>
          <w:tab w:leader="none" w:pos="400" w:val="left"/>
        </w:tabs>
        <w:numPr>
          <w:ilvl w:val="0"/>
          <w:numId w:val="103"/>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62" w:right="1440" w:bottom="1440" w:gutter="0" w:footer="0" w:header="0"/>
        </w:sectPr>
      </w:pPr>
    </w:p>
    <w:bookmarkStart w:id="53" w:name="page54"/>
    <w:bookmarkEnd w:id="53"/>
    <w:p>
      <w:pPr>
        <w:ind w:left="20"/>
        <w:spacing w:after="0"/>
        <w:tabs>
          <w:tab w:leader="none" w:pos="784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FINANCIAL STATEMENTS AND SUPPLEMENTARY DATA</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 OF OPERATIONS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480" w:type="dxa"/>
            <w:vAlign w:val="bottom"/>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2600" w:type="dxa"/>
            <w:vAlign w:val="bottom"/>
            <w:tcBorders>
              <w:bottom w:val="single" w:sz="8" w:color="D7282F"/>
            </w:tcBorders>
            <w:gridSpan w:val="5"/>
          </w:tcPr>
          <w:p>
            <w:pPr>
              <w:jc w:val="center"/>
              <w:ind w:right="88"/>
              <w:spacing w:after="0"/>
              <w:rPr>
                <w:sz w:val="20"/>
                <w:szCs w:val="20"/>
                <w:color w:val="auto"/>
              </w:rPr>
            </w:pPr>
            <w:r>
              <w:rPr>
                <w:rFonts w:ascii="Arial" w:cs="Arial" w:eastAsia="Arial" w:hAnsi="Arial"/>
                <w:sz w:val="14"/>
                <w:szCs w:val="14"/>
                <w:b w:val="1"/>
                <w:bCs w:val="1"/>
                <w:color w:val="auto"/>
              </w:rPr>
              <w:t>Years Ended December 31,</w:t>
            </w:r>
          </w:p>
        </w:tc>
      </w:tr>
      <w:tr>
        <w:trPr>
          <w:trHeight w:val="237"/>
        </w:trPr>
        <w:tc>
          <w:tcPr>
            <w:tcW w:w="8480" w:type="dxa"/>
            <w:vAlign w:val="bottom"/>
          </w:tcPr>
          <w:p>
            <w:pPr>
              <w:spacing w:after="0"/>
              <w:rPr>
                <w:sz w:val="20"/>
                <w:szCs w:val="20"/>
                <w:color w:val="auto"/>
              </w:rPr>
            </w:pPr>
          </w:p>
        </w:tc>
        <w:tc>
          <w:tcPr>
            <w:tcW w:w="160" w:type="dxa"/>
            <w:vAlign w:val="bottom"/>
            <w:tcBorders>
              <w:bottom w:val="single" w:sz="8" w:color="D7282F"/>
            </w:tcBorders>
          </w:tcPr>
          <w:p>
            <w:pPr>
              <w:spacing w:after="0"/>
              <w:rPr>
                <w:sz w:val="20"/>
                <w:szCs w:val="20"/>
                <w:color w:val="auto"/>
              </w:rPr>
            </w:pPr>
          </w:p>
        </w:tc>
        <w:tc>
          <w:tcPr>
            <w:tcW w:w="72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2024</w:t>
            </w:r>
          </w:p>
        </w:tc>
        <w:tc>
          <w:tcPr>
            <w:tcW w:w="280" w:type="dxa"/>
            <w:vAlign w:val="bottom"/>
            <w:tcBorders>
              <w:bottom w:val="single" w:sz="8" w:color="D7282F"/>
            </w:tcBorders>
          </w:tcPr>
          <w:p>
            <w:pPr>
              <w:spacing w:after="0"/>
              <w:rPr>
                <w:sz w:val="20"/>
                <w:szCs w:val="20"/>
                <w:color w:val="auto"/>
              </w:rPr>
            </w:pPr>
          </w:p>
        </w:tc>
        <w:tc>
          <w:tcPr>
            <w:tcW w:w="720" w:type="dxa"/>
            <w:vAlign w:val="bottom"/>
            <w:tcBorders>
              <w:bottom w:val="single" w:sz="8" w:color="D7282F"/>
            </w:tcBorders>
          </w:tcPr>
          <w:p>
            <w:pPr>
              <w:jc w:val="center"/>
              <w:ind w:right="208"/>
              <w:spacing w:after="0"/>
              <w:rPr>
                <w:sz w:val="20"/>
                <w:szCs w:val="20"/>
                <w:color w:val="auto"/>
              </w:rPr>
            </w:pPr>
            <w:r>
              <w:rPr>
                <w:rFonts w:ascii="Arial" w:cs="Arial" w:eastAsia="Arial" w:hAnsi="Arial"/>
                <w:sz w:val="14"/>
                <w:szCs w:val="14"/>
                <w:b w:val="1"/>
                <w:bCs w:val="1"/>
                <w:color w:val="auto"/>
              </w:rPr>
              <w:t>2023</w:t>
            </w:r>
          </w:p>
        </w:tc>
        <w:tc>
          <w:tcPr>
            <w:tcW w:w="280" w:type="dxa"/>
            <w:vAlign w:val="bottom"/>
            <w:tcBorders>
              <w:bottom w:val="single" w:sz="8" w:color="D7282F"/>
            </w:tcBorders>
          </w:tcPr>
          <w:p>
            <w:pPr>
              <w:spacing w:after="0"/>
              <w:rPr>
                <w:sz w:val="20"/>
                <w:szCs w:val="20"/>
                <w:color w:val="auto"/>
              </w:rPr>
            </w:pPr>
          </w:p>
        </w:tc>
        <w:tc>
          <w:tcPr>
            <w:tcW w:w="60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2022</w:t>
            </w:r>
          </w:p>
        </w:tc>
      </w:tr>
      <w:tr>
        <w:trPr>
          <w:trHeight w:val="143"/>
        </w:trPr>
        <w:tc>
          <w:tcPr>
            <w:tcW w:w="8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0" w:type="dxa"/>
            <w:vAlign w:val="bottom"/>
            <w:gridSpan w:val="4"/>
          </w:tcPr>
          <w:p>
            <w:pPr>
              <w:jc w:val="center"/>
              <w:ind w:left="368"/>
              <w:spacing w:after="0" w:line="143" w:lineRule="exact"/>
              <w:rPr>
                <w:sz w:val="20"/>
                <w:szCs w:val="20"/>
                <w:color w:val="auto"/>
              </w:rPr>
            </w:pPr>
            <w:r>
              <w:rPr>
                <w:rFonts w:ascii="Arial" w:cs="Arial" w:eastAsia="Arial" w:hAnsi="Arial"/>
                <w:sz w:val="14"/>
                <w:szCs w:val="14"/>
                <w:b w:val="1"/>
                <w:bCs w:val="1"/>
                <w:color w:val="auto"/>
              </w:rPr>
              <w:t>(Dollars in millions,</w:t>
            </w:r>
          </w:p>
        </w:tc>
        <w:tc>
          <w:tcPr>
            <w:tcW w:w="600" w:type="dxa"/>
            <w:vAlign w:val="bottom"/>
          </w:tcPr>
          <w:p>
            <w:pPr>
              <w:spacing w:after="0"/>
              <w:rPr>
                <w:sz w:val="12"/>
                <w:szCs w:val="12"/>
                <w:color w:val="auto"/>
              </w:rPr>
            </w:pPr>
          </w:p>
        </w:tc>
      </w:tr>
      <w:tr>
        <w:trPr>
          <w:trHeight w:val="189"/>
        </w:trPr>
        <w:tc>
          <w:tcPr>
            <w:tcW w:w="8480" w:type="dxa"/>
            <w:vAlign w:val="bottom"/>
            <w:tcBorders>
              <w:bottom w:val="single" w:sz="8" w:color="D7282F"/>
            </w:tcBorders>
          </w:tcPr>
          <w:p>
            <w:pPr>
              <w:spacing w:after="0"/>
              <w:rPr>
                <w:sz w:val="16"/>
                <w:szCs w:val="16"/>
                <w:color w:val="auto"/>
              </w:rPr>
            </w:pPr>
          </w:p>
        </w:tc>
        <w:tc>
          <w:tcPr>
            <w:tcW w:w="160" w:type="dxa"/>
            <w:vAlign w:val="bottom"/>
            <w:tcBorders>
              <w:bottom w:val="single" w:sz="8" w:color="D7282F"/>
            </w:tcBorders>
          </w:tcPr>
          <w:p>
            <w:pPr>
              <w:spacing w:after="0"/>
              <w:rPr>
                <w:sz w:val="16"/>
                <w:szCs w:val="16"/>
                <w:color w:val="auto"/>
              </w:rPr>
            </w:pPr>
          </w:p>
        </w:tc>
        <w:tc>
          <w:tcPr>
            <w:tcW w:w="2600" w:type="dxa"/>
            <w:vAlign w:val="bottom"/>
            <w:tcBorders>
              <w:bottom w:val="single" w:sz="8" w:color="D7282F"/>
            </w:tcBorders>
            <w:gridSpan w:val="5"/>
          </w:tcPr>
          <w:p>
            <w:pPr>
              <w:jc w:val="center"/>
              <w:ind w:right="88"/>
              <w:spacing w:after="0"/>
              <w:rPr>
                <w:sz w:val="20"/>
                <w:szCs w:val="20"/>
                <w:color w:val="auto"/>
              </w:rPr>
            </w:pPr>
            <w:r>
              <w:rPr>
                <w:rFonts w:ascii="Arial" w:cs="Arial" w:eastAsia="Arial" w:hAnsi="Arial"/>
                <w:sz w:val="14"/>
                <w:szCs w:val="14"/>
                <w:b w:val="1"/>
                <w:bCs w:val="1"/>
                <w:color w:val="auto"/>
              </w:rPr>
              <w:t>except per share amounts)</w:t>
            </w:r>
          </w:p>
        </w:tc>
      </w:tr>
      <w:tr>
        <w:trPr>
          <w:trHeight w:val="192"/>
        </w:trPr>
        <w:tc>
          <w:tcPr>
            <w:tcW w:w="8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Product sales</w:t>
            </w:r>
          </w:p>
        </w:tc>
        <w:tc>
          <w:tcPr>
            <w:tcW w:w="1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26,279</w:t>
            </w:r>
          </w:p>
        </w:tc>
        <w:tc>
          <w:tcPr>
            <w:tcW w:w="2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25,773</w:t>
            </w:r>
          </w:p>
        </w:tc>
        <w:tc>
          <w:tcPr>
            <w:tcW w:w="2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25,960</w:t>
            </w:r>
          </w:p>
        </w:tc>
      </w:tr>
      <w:tr>
        <w:trPr>
          <w:trHeight w:val="196"/>
        </w:trPr>
        <w:tc>
          <w:tcPr>
            <w:tcW w:w="84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Service sales</w:t>
            </w:r>
          </w:p>
        </w:tc>
        <w:tc>
          <w:tcPr>
            <w:tcW w:w="1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12,219</w:t>
            </w:r>
          </w:p>
        </w:tc>
        <w:tc>
          <w:tcPr>
            <w:tcW w:w="28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10,889</w:t>
            </w:r>
          </w:p>
        </w:tc>
        <w:tc>
          <w:tcPr>
            <w:tcW w:w="28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9,506</w:t>
            </w:r>
          </w:p>
        </w:tc>
      </w:tr>
      <w:tr>
        <w:trPr>
          <w:trHeight w:val="199"/>
        </w:trPr>
        <w:tc>
          <w:tcPr>
            <w:tcW w:w="84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Net sales</w:t>
            </w:r>
          </w:p>
        </w:tc>
        <w:tc>
          <w:tcPr>
            <w:tcW w:w="1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38,498</w:t>
            </w:r>
          </w:p>
        </w:tc>
        <w:tc>
          <w:tcPr>
            <w:tcW w:w="28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36,662</w:t>
            </w:r>
          </w:p>
        </w:tc>
        <w:tc>
          <w:tcPr>
            <w:tcW w:w="28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35,466</w:t>
            </w:r>
          </w:p>
        </w:tc>
      </w:tr>
      <w:tr>
        <w:trPr>
          <w:trHeight w:val="193"/>
        </w:trPr>
        <w:tc>
          <w:tcPr>
            <w:tcW w:w="8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Costs, expenses and other</w:t>
            </w:r>
          </w:p>
        </w:tc>
        <w:tc>
          <w:tcPr>
            <w:tcW w:w="160" w:type="dxa"/>
            <w:vAlign w:val="bottom"/>
            <w:tcBorders>
              <w:bottom w:val="single" w:sz="8" w:color="61656A"/>
            </w:tcBorders>
          </w:tcPr>
          <w:p>
            <w:pPr>
              <w:spacing w:after="0"/>
              <w:rPr>
                <w:sz w:val="16"/>
                <w:szCs w:val="16"/>
                <w:color w:val="auto"/>
              </w:rPr>
            </w:pPr>
          </w:p>
        </w:tc>
        <w:tc>
          <w:tcPr>
            <w:tcW w:w="720" w:type="dxa"/>
            <w:vAlign w:val="bottom"/>
            <w:tcBorders>
              <w:bottom w:val="single" w:sz="8" w:color="61656A"/>
            </w:tcBorders>
          </w:tcPr>
          <w:p>
            <w:pPr>
              <w:spacing w:after="0"/>
              <w:rPr>
                <w:sz w:val="16"/>
                <w:szCs w:val="16"/>
                <w:color w:val="auto"/>
              </w:rPr>
            </w:pPr>
          </w:p>
        </w:tc>
        <w:tc>
          <w:tcPr>
            <w:tcW w:w="280" w:type="dxa"/>
            <w:vAlign w:val="bottom"/>
            <w:tcBorders>
              <w:bottom w:val="single" w:sz="8" w:color="61656A"/>
            </w:tcBorders>
          </w:tcPr>
          <w:p>
            <w:pPr>
              <w:spacing w:after="0"/>
              <w:rPr>
                <w:sz w:val="16"/>
                <w:szCs w:val="16"/>
                <w:color w:val="auto"/>
              </w:rPr>
            </w:pPr>
          </w:p>
        </w:tc>
        <w:tc>
          <w:tcPr>
            <w:tcW w:w="720" w:type="dxa"/>
            <w:vAlign w:val="bottom"/>
            <w:tcBorders>
              <w:bottom w:val="single" w:sz="8" w:color="61656A"/>
            </w:tcBorders>
          </w:tcPr>
          <w:p>
            <w:pPr>
              <w:spacing w:after="0"/>
              <w:rPr>
                <w:sz w:val="16"/>
                <w:szCs w:val="16"/>
                <w:color w:val="auto"/>
              </w:rPr>
            </w:pPr>
          </w:p>
        </w:tc>
        <w:tc>
          <w:tcPr>
            <w:tcW w:w="280" w:type="dxa"/>
            <w:vAlign w:val="bottom"/>
            <w:tcBorders>
              <w:bottom w:val="single" w:sz="8" w:color="61656A"/>
            </w:tcBorders>
          </w:tcPr>
          <w:p>
            <w:pPr>
              <w:spacing w:after="0"/>
              <w:rPr>
                <w:sz w:val="16"/>
                <w:szCs w:val="16"/>
                <w:color w:val="auto"/>
              </w:rPr>
            </w:pPr>
          </w:p>
        </w:tc>
        <w:tc>
          <w:tcPr>
            <w:tcW w:w="600" w:type="dxa"/>
            <w:vAlign w:val="bottom"/>
            <w:tcBorders>
              <w:bottom w:val="single" w:sz="8" w:color="61656A"/>
            </w:tcBorders>
          </w:tcPr>
          <w:p>
            <w:pPr>
              <w:spacing w:after="0"/>
              <w:rPr>
                <w:sz w:val="16"/>
                <w:szCs w:val="16"/>
                <w:color w:val="auto"/>
              </w:rPr>
            </w:pPr>
          </w:p>
        </w:tc>
      </w:tr>
      <w:tr>
        <w:trPr>
          <w:trHeight w:val="196"/>
        </w:trPr>
        <w:tc>
          <w:tcPr>
            <w:tcW w:w="84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Cost of products sold</w:t>
            </w:r>
          </w:p>
        </w:tc>
        <w:tc>
          <w:tcPr>
            <w:tcW w:w="16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17,227</w:t>
            </w:r>
          </w:p>
        </w:tc>
        <w:tc>
          <w:tcPr>
            <w:tcW w:w="28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16,977</w:t>
            </w:r>
          </w:p>
        </w:tc>
        <w:tc>
          <w:tcPr>
            <w:tcW w:w="28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16,955</w:t>
            </w:r>
          </w:p>
        </w:tc>
      </w:tr>
      <w:tr>
        <w:trPr>
          <w:trHeight w:val="196"/>
        </w:trPr>
        <w:tc>
          <w:tcPr>
            <w:tcW w:w="848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Cost of services sold</w:t>
            </w:r>
          </w:p>
        </w:tc>
        <w:tc>
          <w:tcPr>
            <w:tcW w:w="1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6,609</w:t>
            </w:r>
          </w:p>
        </w:tc>
        <w:tc>
          <w:tcPr>
            <w:tcW w:w="28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6,018</w:t>
            </w:r>
          </w:p>
        </w:tc>
        <w:tc>
          <w:tcPr>
            <w:tcW w:w="28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5,392</w:t>
            </w:r>
          </w:p>
        </w:tc>
      </w:tr>
      <w:tr>
        <w:trPr>
          <w:trHeight w:val="199"/>
        </w:trPr>
        <w:tc>
          <w:tcPr>
            <w:tcW w:w="848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Cost of products and services sold</w:t>
            </w:r>
          </w:p>
        </w:tc>
        <w:tc>
          <w:tcPr>
            <w:tcW w:w="1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23,836</w:t>
            </w:r>
          </w:p>
        </w:tc>
        <w:tc>
          <w:tcPr>
            <w:tcW w:w="28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22,995</w:t>
            </w:r>
          </w:p>
        </w:tc>
        <w:tc>
          <w:tcPr>
            <w:tcW w:w="28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22,347</w:t>
            </w:r>
          </w:p>
        </w:tc>
      </w:tr>
      <w:tr>
        <w:trPr>
          <w:trHeight w:val="193"/>
        </w:trPr>
        <w:tc>
          <w:tcPr>
            <w:tcW w:w="84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Research and development expenses</w:t>
            </w:r>
          </w:p>
        </w:tc>
        <w:tc>
          <w:tcPr>
            <w:tcW w:w="160" w:type="dxa"/>
            <w:vAlign w:val="bottom"/>
            <w:tcBorders>
              <w:bottom w:val="single" w:sz="8" w:color="61656A"/>
            </w:tcBorders>
          </w:tcPr>
          <w:p>
            <w:pPr>
              <w:spacing w:after="0"/>
              <w:rPr>
                <w:sz w:val="16"/>
                <w:szCs w:val="16"/>
                <w:color w:val="auto"/>
              </w:rPr>
            </w:pPr>
          </w:p>
        </w:tc>
        <w:tc>
          <w:tcPr>
            <w:tcW w:w="7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1,536</w:t>
            </w:r>
          </w:p>
        </w:tc>
        <w:tc>
          <w:tcPr>
            <w:tcW w:w="280" w:type="dxa"/>
            <w:vAlign w:val="bottom"/>
            <w:tcBorders>
              <w:bottom w:val="single" w:sz="8" w:color="61656A"/>
            </w:tcBorders>
          </w:tcPr>
          <w:p>
            <w:pPr>
              <w:spacing w:after="0"/>
              <w:rPr>
                <w:sz w:val="16"/>
                <w:szCs w:val="16"/>
                <w:color w:val="auto"/>
              </w:rPr>
            </w:pPr>
          </w:p>
        </w:tc>
        <w:tc>
          <w:tcPr>
            <w:tcW w:w="7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1,456</w:t>
            </w:r>
          </w:p>
        </w:tc>
        <w:tc>
          <w:tcPr>
            <w:tcW w:w="280" w:type="dxa"/>
            <w:vAlign w:val="bottom"/>
            <w:tcBorders>
              <w:bottom w:val="single" w:sz="8" w:color="61656A"/>
            </w:tcBorders>
          </w:tcPr>
          <w:p>
            <w:pPr>
              <w:spacing w:after="0"/>
              <w:rPr>
                <w:sz w:val="16"/>
                <w:szCs w:val="16"/>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1,478</w:t>
            </w:r>
          </w:p>
        </w:tc>
      </w:tr>
      <w:tr>
        <w:trPr>
          <w:trHeight w:val="196"/>
        </w:trPr>
        <w:tc>
          <w:tcPr>
            <w:tcW w:w="84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Selling, general and administrative expenses</w:t>
            </w:r>
          </w:p>
        </w:tc>
        <w:tc>
          <w:tcPr>
            <w:tcW w:w="16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5,466</w:t>
            </w:r>
          </w:p>
        </w:tc>
        <w:tc>
          <w:tcPr>
            <w:tcW w:w="28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5,127</w:t>
            </w:r>
          </w:p>
        </w:tc>
        <w:tc>
          <w:tcPr>
            <w:tcW w:w="28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5,214</w:t>
            </w:r>
          </w:p>
        </w:tc>
      </w:tr>
      <w:tr>
        <w:trPr>
          <w:trHeight w:val="196"/>
        </w:trPr>
        <w:tc>
          <w:tcPr>
            <w:tcW w:w="84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Impairment of assets held for sale</w:t>
            </w:r>
          </w:p>
        </w:tc>
        <w:tc>
          <w:tcPr>
            <w:tcW w:w="16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219</w:t>
            </w:r>
          </w:p>
        </w:tc>
        <w:tc>
          <w:tcPr>
            <w:tcW w:w="28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84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Other (income) expense</w:t>
            </w:r>
          </w:p>
        </w:tc>
        <w:tc>
          <w:tcPr>
            <w:tcW w:w="16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(830)</w:t>
            </w:r>
          </w:p>
        </w:tc>
        <w:tc>
          <w:tcPr>
            <w:tcW w:w="28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(840)</w:t>
            </w:r>
          </w:p>
        </w:tc>
        <w:tc>
          <w:tcPr>
            <w:tcW w:w="28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(366)</w:t>
            </w:r>
          </w:p>
        </w:tc>
      </w:tr>
      <w:tr>
        <w:trPr>
          <w:trHeight w:val="196"/>
        </w:trPr>
        <w:tc>
          <w:tcPr>
            <w:tcW w:w="848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Interest and other financial charges</w:t>
            </w:r>
          </w:p>
        </w:tc>
        <w:tc>
          <w:tcPr>
            <w:tcW w:w="1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1,058</w:t>
            </w:r>
          </w:p>
        </w:tc>
        <w:tc>
          <w:tcPr>
            <w:tcW w:w="28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765</w:t>
            </w:r>
          </w:p>
        </w:tc>
        <w:tc>
          <w:tcPr>
            <w:tcW w:w="28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414</w:t>
            </w:r>
          </w:p>
        </w:tc>
      </w:tr>
      <w:tr>
        <w:trPr>
          <w:trHeight w:val="199"/>
        </w:trPr>
        <w:tc>
          <w:tcPr>
            <w:tcW w:w="84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Total costs, expenses and other</w:t>
            </w:r>
          </w:p>
        </w:tc>
        <w:tc>
          <w:tcPr>
            <w:tcW w:w="1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31,285</w:t>
            </w:r>
          </w:p>
        </w:tc>
        <w:tc>
          <w:tcPr>
            <w:tcW w:w="28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29,503</w:t>
            </w:r>
          </w:p>
        </w:tc>
        <w:tc>
          <w:tcPr>
            <w:tcW w:w="28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29,087</w:t>
            </w:r>
          </w:p>
        </w:tc>
      </w:tr>
      <w:tr>
        <w:trPr>
          <w:trHeight w:val="196"/>
        </w:trPr>
        <w:tc>
          <w:tcPr>
            <w:tcW w:w="848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Income before taxes</w:t>
            </w:r>
          </w:p>
        </w:tc>
        <w:tc>
          <w:tcPr>
            <w:tcW w:w="16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b w:val="1"/>
                <w:bCs w:val="1"/>
                <w:color w:val="auto"/>
              </w:rPr>
              <w:t>7,213</w:t>
            </w:r>
          </w:p>
        </w:tc>
        <w:tc>
          <w:tcPr>
            <w:tcW w:w="28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b w:val="1"/>
                <w:bCs w:val="1"/>
                <w:color w:val="auto"/>
              </w:rPr>
              <w:t>7,159</w:t>
            </w:r>
          </w:p>
        </w:tc>
        <w:tc>
          <w:tcPr>
            <w:tcW w:w="28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b w:val="1"/>
                <w:bCs w:val="1"/>
                <w:color w:val="auto"/>
              </w:rPr>
              <w:t>6,379</w:t>
            </w:r>
          </w:p>
        </w:tc>
      </w:tr>
      <w:tr>
        <w:trPr>
          <w:trHeight w:val="193"/>
        </w:trPr>
        <w:tc>
          <w:tcPr>
            <w:tcW w:w="84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Tax expense</w:t>
            </w:r>
          </w:p>
        </w:tc>
        <w:tc>
          <w:tcPr>
            <w:tcW w:w="160" w:type="dxa"/>
            <w:vAlign w:val="bottom"/>
            <w:tcBorders>
              <w:bottom w:val="single" w:sz="8" w:color="D7282F"/>
            </w:tcBorders>
          </w:tcPr>
          <w:p>
            <w:pPr>
              <w:spacing w:after="0"/>
              <w:rPr>
                <w:sz w:val="16"/>
                <w:szCs w:val="16"/>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1,473</w:t>
            </w:r>
          </w:p>
        </w:tc>
        <w:tc>
          <w:tcPr>
            <w:tcW w:w="280" w:type="dxa"/>
            <w:vAlign w:val="bottom"/>
            <w:tcBorders>
              <w:bottom w:val="single" w:sz="8" w:color="D7282F"/>
            </w:tcBorders>
          </w:tcPr>
          <w:p>
            <w:pPr>
              <w:spacing w:after="0"/>
              <w:rPr>
                <w:sz w:val="16"/>
                <w:szCs w:val="16"/>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1,487</w:t>
            </w:r>
          </w:p>
        </w:tc>
        <w:tc>
          <w:tcPr>
            <w:tcW w:w="280" w:type="dxa"/>
            <w:vAlign w:val="bottom"/>
            <w:tcBorders>
              <w:bottom w:val="single" w:sz="8" w:color="D7282F"/>
            </w:tcBorders>
          </w:tcPr>
          <w:p>
            <w:pPr>
              <w:spacing w:after="0"/>
              <w:rPr>
                <w:sz w:val="16"/>
                <w:szCs w:val="16"/>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1,412</w:t>
            </w:r>
          </w:p>
        </w:tc>
      </w:tr>
      <w:tr>
        <w:trPr>
          <w:trHeight w:val="199"/>
        </w:trPr>
        <w:tc>
          <w:tcPr>
            <w:tcW w:w="84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Net income</w:t>
            </w:r>
          </w:p>
        </w:tc>
        <w:tc>
          <w:tcPr>
            <w:tcW w:w="1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5,740</w:t>
            </w:r>
          </w:p>
        </w:tc>
        <w:tc>
          <w:tcPr>
            <w:tcW w:w="28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5,672</w:t>
            </w:r>
          </w:p>
        </w:tc>
        <w:tc>
          <w:tcPr>
            <w:tcW w:w="28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4,967</w:t>
            </w:r>
          </w:p>
        </w:tc>
      </w:tr>
      <w:tr>
        <w:trPr>
          <w:trHeight w:val="193"/>
        </w:trPr>
        <w:tc>
          <w:tcPr>
            <w:tcW w:w="84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Less: Net income attributable to noncontrolling interest</w:t>
            </w:r>
          </w:p>
        </w:tc>
        <w:tc>
          <w:tcPr>
            <w:tcW w:w="160" w:type="dxa"/>
            <w:vAlign w:val="bottom"/>
            <w:tcBorders>
              <w:bottom w:val="single" w:sz="8" w:color="D7282F"/>
            </w:tcBorders>
          </w:tcPr>
          <w:p>
            <w:pPr>
              <w:spacing w:after="0"/>
              <w:rPr>
                <w:sz w:val="16"/>
                <w:szCs w:val="16"/>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35</w:t>
            </w:r>
          </w:p>
        </w:tc>
        <w:tc>
          <w:tcPr>
            <w:tcW w:w="280" w:type="dxa"/>
            <w:vAlign w:val="bottom"/>
            <w:tcBorders>
              <w:bottom w:val="single" w:sz="8" w:color="D7282F"/>
            </w:tcBorders>
          </w:tcPr>
          <w:p>
            <w:pPr>
              <w:spacing w:after="0"/>
              <w:rPr>
                <w:sz w:val="16"/>
                <w:szCs w:val="16"/>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14</w:t>
            </w:r>
          </w:p>
        </w:tc>
        <w:tc>
          <w:tcPr>
            <w:tcW w:w="280" w:type="dxa"/>
            <w:vAlign w:val="bottom"/>
            <w:tcBorders>
              <w:bottom w:val="single" w:sz="8" w:color="D7282F"/>
            </w:tcBorders>
          </w:tcPr>
          <w:p>
            <w:pPr>
              <w:spacing w:after="0"/>
              <w:rPr>
                <w:sz w:val="16"/>
                <w:szCs w:val="16"/>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w:t>
            </w:r>
          </w:p>
        </w:tc>
      </w:tr>
      <w:tr>
        <w:trPr>
          <w:trHeight w:val="199"/>
        </w:trPr>
        <w:tc>
          <w:tcPr>
            <w:tcW w:w="84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Net income attributable to Honeywell</w:t>
            </w: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5,705</w:t>
            </w:r>
          </w:p>
        </w:tc>
        <w:tc>
          <w:tcPr>
            <w:tcW w:w="2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5,658</w:t>
            </w:r>
          </w:p>
        </w:tc>
        <w:tc>
          <w:tcPr>
            <w:tcW w:w="2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4,966</w:t>
            </w:r>
          </w:p>
        </w:tc>
      </w:tr>
      <w:tr>
        <w:trPr>
          <w:trHeight w:val="196"/>
        </w:trPr>
        <w:tc>
          <w:tcPr>
            <w:tcW w:w="84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Earnings per share of common stock—basic</w:t>
            </w: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8.76</w:t>
            </w:r>
          </w:p>
        </w:tc>
        <w:tc>
          <w:tcPr>
            <w:tcW w:w="2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8.53</w:t>
            </w:r>
          </w:p>
        </w:tc>
        <w:tc>
          <w:tcPr>
            <w:tcW w:w="2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7.33</w:t>
            </w:r>
          </w:p>
        </w:tc>
      </w:tr>
      <w:tr>
        <w:trPr>
          <w:trHeight w:val="196"/>
        </w:trPr>
        <w:tc>
          <w:tcPr>
            <w:tcW w:w="84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Earnings per share of common stock—assuming dilution</w:t>
            </w: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8.71</w:t>
            </w:r>
          </w:p>
        </w:tc>
        <w:tc>
          <w:tcPr>
            <w:tcW w:w="2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8.47</w:t>
            </w:r>
          </w:p>
        </w:tc>
        <w:tc>
          <w:tcPr>
            <w:tcW w:w="2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7.27</w:t>
            </w: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Notes to Consolidated Financial Statements are an integral part of this statement.</w:t>
      </w:r>
    </w:p>
    <w:p>
      <w:pPr>
        <w:spacing w:after="0" w:line="200" w:lineRule="exact"/>
        <w:rPr>
          <w:sz w:val="20"/>
          <w:szCs w:val="20"/>
          <w:color w:val="auto"/>
        </w:rPr>
      </w:pPr>
    </w:p>
    <w:p>
      <w:pPr>
        <w:spacing w:after="0" w:line="279" w:lineRule="exact"/>
        <w:rPr>
          <w:sz w:val="20"/>
          <w:szCs w:val="20"/>
          <w:color w:val="auto"/>
        </w:rPr>
      </w:pPr>
    </w:p>
    <w:p>
      <w:pPr>
        <w:ind w:left="400" w:hanging="392"/>
        <w:spacing w:after="0"/>
        <w:tabs>
          <w:tab w:leader="none" w:pos="400" w:val="left"/>
        </w:tabs>
        <w:numPr>
          <w:ilvl w:val="0"/>
          <w:numId w:val="104"/>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54" w:name="page55"/>
    <w:bookmarkEnd w:id="54"/>
    <w:p>
      <w:pPr>
        <w:ind w:left="20"/>
        <w:spacing w:after="0"/>
        <w:tabs>
          <w:tab w:leader="none" w:pos="784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FINANCIAL STATEMENTS AND SUPPLEMENTARY DATA</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 OF COMPREHENSIVE INCOME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480" w:type="dxa"/>
            <w:vAlign w:val="bottom"/>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2600" w:type="dxa"/>
            <w:vAlign w:val="bottom"/>
            <w:tcBorders>
              <w:bottom w:val="single" w:sz="8" w:color="D7282F"/>
            </w:tcBorders>
            <w:gridSpan w:val="5"/>
          </w:tcPr>
          <w:p>
            <w:pPr>
              <w:jc w:val="center"/>
              <w:ind w:right="88"/>
              <w:spacing w:after="0"/>
              <w:rPr>
                <w:sz w:val="20"/>
                <w:szCs w:val="20"/>
                <w:color w:val="auto"/>
              </w:rPr>
            </w:pPr>
            <w:r>
              <w:rPr>
                <w:rFonts w:ascii="Arial" w:cs="Arial" w:eastAsia="Arial" w:hAnsi="Arial"/>
                <w:sz w:val="14"/>
                <w:szCs w:val="14"/>
                <w:b w:val="1"/>
                <w:bCs w:val="1"/>
                <w:color w:val="auto"/>
              </w:rPr>
              <w:t>Years Ended December 31,</w:t>
            </w:r>
          </w:p>
        </w:tc>
      </w:tr>
      <w:tr>
        <w:trPr>
          <w:trHeight w:val="236"/>
        </w:trPr>
        <w:tc>
          <w:tcPr>
            <w:tcW w:w="8480" w:type="dxa"/>
            <w:vAlign w:val="bottom"/>
          </w:tcPr>
          <w:p>
            <w:pPr>
              <w:spacing w:after="0"/>
              <w:rPr>
                <w:sz w:val="20"/>
                <w:szCs w:val="20"/>
                <w:color w:val="auto"/>
              </w:rPr>
            </w:pPr>
          </w:p>
        </w:tc>
        <w:tc>
          <w:tcPr>
            <w:tcW w:w="160" w:type="dxa"/>
            <w:vAlign w:val="bottom"/>
            <w:tcBorders>
              <w:bottom w:val="single" w:sz="8" w:color="D7282F"/>
            </w:tcBorders>
          </w:tcPr>
          <w:p>
            <w:pPr>
              <w:spacing w:after="0"/>
              <w:rPr>
                <w:sz w:val="20"/>
                <w:szCs w:val="20"/>
                <w:color w:val="auto"/>
              </w:rPr>
            </w:pPr>
          </w:p>
        </w:tc>
        <w:tc>
          <w:tcPr>
            <w:tcW w:w="72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2024</w:t>
            </w:r>
          </w:p>
        </w:tc>
        <w:tc>
          <w:tcPr>
            <w:tcW w:w="280" w:type="dxa"/>
            <w:vAlign w:val="bottom"/>
            <w:tcBorders>
              <w:bottom w:val="single" w:sz="8" w:color="D7282F"/>
            </w:tcBorders>
          </w:tcPr>
          <w:p>
            <w:pPr>
              <w:spacing w:after="0"/>
              <w:rPr>
                <w:sz w:val="20"/>
                <w:szCs w:val="20"/>
                <w:color w:val="auto"/>
              </w:rPr>
            </w:pPr>
          </w:p>
        </w:tc>
        <w:tc>
          <w:tcPr>
            <w:tcW w:w="720" w:type="dxa"/>
            <w:vAlign w:val="bottom"/>
            <w:tcBorders>
              <w:bottom w:val="single" w:sz="8" w:color="D7282F"/>
            </w:tcBorders>
          </w:tcPr>
          <w:p>
            <w:pPr>
              <w:jc w:val="center"/>
              <w:ind w:right="208"/>
              <w:spacing w:after="0"/>
              <w:rPr>
                <w:sz w:val="20"/>
                <w:szCs w:val="20"/>
                <w:color w:val="auto"/>
              </w:rPr>
            </w:pPr>
            <w:r>
              <w:rPr>
                <w:rFonts w:ascii="Arial" w:cs="Arial" w:eastAsia="Arial" w:hAnsi="Arial"/>
                <w:sz w:val="14"/>
                <w:szCs w:val="14"/>
                <w:b w:val="1"/>
                <w:bCs w:val="1"/>
                <w:color w:val="auto"/>
              </w:rPr>
              <w:t>2023</w:t>
            </w:r>
          </w:p>
        </w:tc>
        <w:tc>
          <w:tcPr>
            <w:tcW w:w="280" w:type="dxa"/>
            <w:vAlign w:val="bottom"/>
            <w:tcBorders>
              <w:bottom w:val="single" w:sz="8" w:color="D7282F"/>
            </w:tcBorders>
          </w:tcPr>
          <w:p>
            <w:pPr>
              <w:spacing w:after="0"/>
              <w:rPr>
                <w:sz w:val="20"/>
                <w:szCs w:val="20"/>
                <w:color w:val="auto"/>
              </w:rPr>
            </w:pPr>
          </w:p>
        </w:tc>
        <w:tc>
          <w:tcPr>
            <w:tcW w:w="60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2022</w:t>
            </w:r>
          </w:p>
        </w:tc>
      </w:tr>
      <w:tr>
        <w:trPr>
          <w:trHeight w:val="196"/>
        </w:trPr>
        <w:tc>
          <w:tcPr>
            <w:tcW w:w="8480" w:type="dxa"/>
            <w:vAlign w:val="bottom"/>
            <w:tcBorders>
              <w:bottom w:val="single" w:sz="8" w:color="D7282F"/>
            </w:tcBorders>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2000" w:type="dxa"/>
            <w:vAlign w:val="bottom"/>
            <w:tcBorders>
              <w:bottom w:val="single" w:sz="8" w:color="D7282F"/>
            </w:tcBorders>
            <w:gridSpan w:val="4"/>
          </w:tcPr>
          <w:p>
            <w:pPr>
              <w:jc w:val="center"/>
              <w:ind w:left="348"/>
              <w:spacing w:after="0"/>
              <w:rPr>
                <w:sz w:val="20"/>
                <w:szCs w:val="20"/>
                <w:color w:val="auto"/>
              </w:rPr>
            </w:pPr>
            <w:r>
              <w:rPr>
                <w:rFonts w:ascii="Arial" w:cs="Arial" w:eastAsia="Arial" w:hAnsi="Arial"/>
                <w:sz w:val="14"/>
                <w:szCs w:val="14"/>
                <w:b w:val="1"/>
                <w:bCs w:val="1"/>
                <w:color w:val="auto"/>
              </w:rPr>
              <w:t>(Dollars in millions)</w:t>
            </w:r>
          </w:p>
        </w:tc>
        <w:tc>
          <w:tcPr>
            <w:tcW w:w="600" w:type="dxa"/>
            <w:vAlign w:val="bottom"/>
            <w:tcBorders>
              <w:bottom w:val="single" w:sz="8" w:color="D7282F"/>
            </w:tcBorders>
          </w:tcPr>
          <w:p>
            <w:pPr>
              <w:spacing w:after="0"/>
              <w:rPr>
                <w:sz w:val="17"/>
                <w:szCs w:val="17"/>
                <w:color w:val="auto"/>
              </w:rPr>
            </w:pPr>
          </w:p>
        </w:tc>
      </w:tr>
      <w:tr>
        <w:trPr>
          <w:trHeight w:val="193"/>
        </w:trPr>
        <w:tc>
          <w:tcPr>
            <w:tcW w:w="8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Net income</w:t>
            </w:r>
          </w:p>
        </w:tc>
        <w:tc>
          <w:tcPr>
            <w:tcW w:w="1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5,740</w:t>
            </w:r>
          </w:p>
        </w:tc>
        <w:tc>
          <w:tcPr>
            <w:tcW w:w="280" w:type="dxa"/>
            <w:vAlign w:val="bottom"/>
            <w:tcBorders>
              <w:bottom w:val="single" w:sz="8" w:color="888B8D"/>
            </w:tcBorders>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5,672</w:t>
            </w:r>
          </w:p>
        </w:tc>
        <w:tc>
          <w:tcPr>
            <w:tcW w:w="280" w:type="dxa"/>
            <w:vAlign w:val="bottom"/>
            <w:tcBorders>
              <w:bottom w:val="single" w:sz="8" w:color="888B8D"/>
            </w:tcBorders>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4,967</w:t>
            </w:r>
          </w:p>
        </w:tc>
      </w:tr>
      <w:tr>
        <w:trPr>
          <w:trHeight w:val="196"/>
        </w:trPr>
        <w:tc>
          <w:tcPr>
            <w:tcW w:w="848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Other comprehensive income (loss), net of tax</w:t>
            </w:r>
          </w:p>
        </w:tc>
        <w:tc>
          <w:tcPr>
            <w:tcW w:w="1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spacing w:after="0"/>
              <w:rPr>
                <w:sz w:val="17"/>
                <w:szCs w:val="17"/>
                <w:color w:val="auto"/>
              </w:rPr>
            </w:pPr>
          </w:p>
        </w:tc>
        <w:tc>
          <w:tcPr>
            <w:tcW w:w="28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spacing w:after="0"/>
              <w:rPr>
                <w:sz w:val="17"/>
                <w:szCs w:val="17"/>
                <w:color w:val="auto"/>
              </w:rPr>
            </w:pPr>
          </w:p>
        </w:tc>
        <w:tc>
          <w:tcPr>
            <w:tcW w:w="28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spacing w:after="0"/>
              <w:rPr>
                <w:sz w:val="17"/>
                <w:szCs w:val="17"/>
                <w:color w:val="auto"/>
              </w:rPr>
            </w:pPr>
          </w:p>
        </w:tc>
      </w:tr>
      <w:tr>
        <w:trPr>
          <w:trHeight w:val="199"/>
        </w:trPr>
        <w:tc>
          <w:tcPr>
            <w:tcW w:w="848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Foreign exchange translation adjustment</w:t>
            </w:r>
          </w:p>
        </w:tc>
        <w:tc>
          <w:tcPr>
            <w:tcW w:w="1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200</w:t>
            </w:r>
          </w:p>
        </w:tc>
        <w:tc>
          <w:tcPr>
            <w:tcW w:w="28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(274)</w:t>
            </w:r>
          </w:p>
        </w:tc>
        <w:tc>
          <w:tcPr>
            <w:tcW w:w="28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(372)</w:t>
            </w:r>
          </w:p>
        </w:tc>
      </w:tr>
      <w:tr>
        <w:trPr>
          <w:trHeight w:val="193"/>
        </w:trPr>
        <w:tc>
          <w:tcPr>
            <w:tcW w:w="8480" w:type="dxa"/>
            <w:vAlign w:val="bottom"/>
            <w:tcBorders>
              <w:bottom w:val="single" w:sz="8" w:color="888B8D"/>
            </w:tcBorders>
          </w:tcPr>
          <w:p>
            <w:pPr>
              <w:ind w:left="360"/>
              <w:spacing w:after="0"/>
              <w:rPr>
                <w:sz w:val="20"/>
                <w:szCs w:val="20"/>
                <w:color w:val="auto"/>
              </w:rPr>
            </w:pPr>
            <w:r>
              <w:rPr>
                <w:rFonts w:ascii="Arial" w:cs="Arial" w:eastAsia="Arial" w:hAnsi="Arial"/>
                <w:sz w:val="14"/>
                <w:szCs w:val="14"/>
                <w:color w:val="auto"/>
              </w:rPr>
              <w:t>Actuarial gains (losses) recognized</w:t>
            </w:r>
          </w:p>
        </w:tc>
        <w:tc>
          <w:tcPr>
            <w:tcW w:w="160" w:type="dxa"/>
            <w:vAlign w:val="bottom"/>
            <w:tcBorders>
              <w:bottom w:val="single" w:sz="8" w:color="888B8D"/>
            </w:tcBorders>
          </w:tcPr>
          <w:p>
            <w:pPr>
              <w:spacing w:after="0"/>
              <w:rPr>
                <w:sz w:val="16"/>
                <w:szCs w:val="16"/>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350</w:t>
            </w:r>
          </w:p>
        </w:tc>
        <w:tc>
          <w:tcPr>
            <w:tcW w:w="280" w:type="dxa"/>
            <w:vAlign w:val="bottom"/>
            <w:tcBorders>
              <w:bottom w:val="single" w:sz="8" w:color="888B8D"/>
            </w:tcBorders>
          </w:tcPr>
          <w:p>
            <w:pPr>
              <w:spacing w:after="0"/>
              <w:rPr>
                <w:sz w:val="16"/>
                <w:szCs w:val="16"/>
                <w:color w:val="auto"/>
              </w:rPr>
            </w:pPr>
          </w:p>
        </w:tc>
        <w:tc>
          <w:tcPr>
            <w:tcW w:w="72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(468)</w:t>
            </w:r>
          </w:p>
        </w:tc>
        <w:tc>
          <w:tcPr>
            <w:tcW w:w="280" w:type="dxa"/>
            <w:vAlign w:val="bottom"/>
            <w:tcBorders>
              <w:bottom w:val="single" w:sz="8" w:color="888B8D"/>
            </w:tcBorders>
          </w:tcPr>
          <w:p>
            <w:pPr>
              <w:spacing w:after="0"/>
              <w:rPr>
                <w:sz w:val="16"/>
                <w:szCs w:val="16"/>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(452)</w:t>
            </w:r>
          </w:p>
        </w:tc>
      </w:tr>
      <w:tr>
        <w:trPr>
          <w:trHeight w:val="196"/>
        </w:trPr>
        <w:tc>
          <w:tcPr>
            <w:tcW w:w="8480" w:type="dxa"/>
            <w:vAlign w:val="bottom"/>
            <w:tcBorders>
              <w:bottom w:val="single" w:sz="8" w:color="888B8D"/>
            </w:tcBorders>
          </w:tcPr>
          <w:p>
            <w:pPr>
              <w:ind w:left="360"/>
              <w:spacing w:after="0"/>
              <w:rPr>
                <w:sz w:val="20"/>
                <w:szCs w:val="20"/>
                <w:color w:val="auto"/>
              </w:rPr>
            </w:pPr>
            <w:r>
              <w:rPr>
                <w:rFonts w:ascii="Arial" w:cs="Arial" w:eastAsia="Arial" w:hAnsi="Arial"/>
                <w:sz w:val="14"/>
                <w:szCs w:val="14"/>
                <w:color w:val="auto"/>
              </w:rPr>
              <w:t>Prior service credit recognized</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(10)</w:t>
            </w:r>
          </w:p>
        </w:tc>
        <w:tc>
          <w:tcPr>
            <w:tcW w:w="28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8480" w:type="dxa"/>
            <w:vAlign w:val="bottom"/>
            <w:tcBorders>
              <w:bottom w:val="single" w:sz="8" w:color="888B8D"/>
            </w:tcBorders>
          </w:tcPr>
          <w:p>
            <w:pPr>
              <w:ind w:left="360"/>
              <w:spacing w:after="0"/>
              <w:rPr>
                <w:sz w:val="20"/>
                <w:szCs w:val="20"/>
                <w:color w:val="auto"/>
              </w:rPr>
            </w:pPr>
            <w:r>
              <w:rPr>
                <w:rFonts w:ascii="Arial" w:cs="Arial" w:eastAsia="Arial" w:hAnsi="Arial"/>
                <w:sz w:val="14"/>
                <w:szCs w:val="14"/>
                <w:color w:val="auto"/>
              </w:rPr>
              <w:t>Prior service credit recognized during year</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(17)</w:t>
            </w:r>
          </w:p>
        </w:tc>
        <w:tc>
          <w:tcPr>
            <w:tcW w:w="28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(48)</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(64)</w:t>
            </w:r>
          </w:p>
        </w:tc>
      </w:tr>
      <w:tr>
        <w:trPr>
          <w:trHeight w:val="196"/>
        </w:trPr>
        <w:tc>
          <w:tcPr>
            <w:tcW w:w="8480" w:type="dxa"/>
            <w:vAlign w:val="bottom"/>
            <w:tcBorders>
              <w:bottom w:val="single" w:sz="8" w:color="939598"/>
            </w:tcBorders>
          </w:tcPr>
          <w:p>
            <w:pPr>
              <w:ind w:left="360"/>
              <w:spacing w:after="0"/>
              <w:rPr>
                <w:sz w:val="20"/>
                <w:szCs w:val="20"/>
                <w:color w:val="auto"/>
              </w:rPr>
            </w:pPr>
            <w:r>
              <w:rPr>
                <w:rFonts w:ascii="Arial" w:cs="Arial" w:eastAsia="Arial" w:hAnsi="Arial"/>
                <w:sz w:val="14"/>
                <w:szCs w:val="14"/>
                <w:color w:val="auto"/>
              </w:rPr>
              <w:t>Actuarial losses recognized during year</w:t>
            </w:r>
          </w:p>
        </w:tc>
        <w:tc>
          <w:tcPr>
            <w:tcW w:w="160" w:type="dxa"/>
            <w:vAlign w:val="bottom"/>
            <w:tcBorders>
              <w:bottom w:val="single" w:sz="8" w:color="939598"/>
            </w:tcBorders>
          </w:tcPr>
          <w:p>
            <w:pPr>
              <w:spacing w:after="0"/>
              <w:rPr>
                <w:sz w:val="17"/>
                <w:szCs w:val="17"/>
                <w:color w:val="auto"/>
              </w:rPr>
            </w:pPr>
          </w:p>
        </w:tc>
        <w:tc>
          <w:tcPr>
            <w:tcW w:w="720" w:type="dxa"/>
            <w:vAlign w:val="bottom"/>
            <w:tcBorders>
              <w:bottom w:val="single" w:sz="8" w:color="939598"/>
            </w:tcBorders>
          </w:tcPr>
          <w:p>
            <w:pPr>
              <w:jc w:val="right"/>
              <w:ind w:right="108"/>
              <w:spacing w:after="0"/>
              <w:rPr>
                <w:sz w:val="20"/>
                <w:szCs w:val="20"/>
                <w:color w:val="auto"/>
              </w:rPr>
            </w:pPr>
            <w:r>
              <w:rPr>
                <w:rFonts w:ascii="Arial" w:cs="Arial" w:eastAsia="Arial" w:hAnsi="Arial"/>
                <w:sz w:val="14"/>
                <w:szCs w:val="14"/>
                <w:color w:val="auto"/>
              </w:rPr>
              <w:t>87</w:t>
            </w:r>
          </w:p>
        </w:tc>
        <w:tc>
          <w:tcPr>
            <w:tcW w:w="280" w:type="dxa"/>
            <w:vAlign w:val="bottom"/>
            <w:tcBorders>
              <w:bottom w:val="single" w:sz="8" w:color="939598"/>
            </w:tcBorders>
          </w:tcPr>
          <w:p>
            <w:pPr>
              <w:spacing w:after="0"/>
              <w:rPr>
                <w:sz w:val="17"/>
                <w:szCs w:val="17"/>
                <w:color w:val="auto"/>
              </w:rPr>
            </w:pPr>
          </w:p>
        </w:tc>
        <w:tc>
          <w:tcPr>
            <w:tcW w:w="720" w:type="dxa"/>
            <w:vAlign w:val="bottom"/>
            <w:tcBorders>
              <w:bottom w:val="single" w:sz="8" w:color="939598"/>
            </w:tcBorders>
          </w:tcPr>
          <w:p>
            <w:pPr>
              <w:jc w:val="right"/>
              <w:ind w:right="108"/>
              <w:spacing w:after="0"/>
              <w:rPr>
                <w:sz w:val="20"/>
                <w:szCs w:val="20"/>
                <w:color w:val="auto"/>
              </w:rPr>
            </w:pPr>
            <w:r>
              <w:rPr>
                <w:rFonts w:ascii="Arial" w:cs="Arial" w:eastAsia="Arial" w:hAnsi="Arial"/>
                <w:sz w:val="14"/>
                <w:szCs w:val="14"/>
                <w:color w:val="auto"/>
              </w:rPr>
              <w:t>118</w:t>
            </w:r>
          </w:p>
        </w:tc>
        <w:tc>
          <w:tcPr>
            <w:tcW w:w="280" w:type="dxa"/>
            <w:vAlign w:val="bottom"/>
            <w:tcBorders>
              <w:bottom w:val="single" w:sz="8" w:color="939598"/>
            </w:tcBorders>
          </w:tcPr>
          <w:p>
            <w:pPr>
              <w:spacing w:after="0"/>
              <w:rPr>
                <w:sz w:val="17"/>
                <w:szCs w:val="17"/>
                <w:color w:val="auto"/>
              </w:rPr>
            </w:pPr>
          </w:p>
        </w:tc>
        <w:tc>
          <w:tcPr>
            <w:tcW w:w="60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454</w:t>
            </w:r>
          </w:p>
        </w:tc>
      </w:tr>
      <w:tr>
        <w:trPr>
          <w:trHeight w:val="196"/>
        </w:trPr>
        <w:tc>
          <w:tcPr>
            <w:tcW w:w="8480" w:type="dxa"/>
            <w:vAlign w:val="bottom"/>
            <w:tcBorders>
              <w:bottom w:val="single" w:sz="8" w:color="D7282F"/>
            </w:tcBorders>
          </w:tcPr>
          <w:p>
            <w:pPr>
              <w:ind w:left="360"/>
              <w:spacing w:after="0"/>
              <w:rPr>
                <w:sz w:val="20"/>
                <w:szCs w:val="20"/>
                <w:color w:val="auto"/>
              </w:rPr>
            </w:pPr>
            <w:r>
              <w:rPr>
                <w:rFonts w:ascii="Arial" w:cs="Arial" w:eastAsia="Arial" w:hAnsi="Arial"/>
                <w:sz w:val="14"/>
                <w:szCs w:val="14"/>
                <w:color w:val="auto"/>
              </w:rPr>
              <w:t>Foreign exchange translation and other</w:t>
            </w:r>
          </w:p>
        </w:tc>
        <w:tc>
          <w:tcPr>
            <w:tcW w:w="1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3</w:t>
            </w:r>
          </w:p>
        </w:tc>
        <w:tc>
          <w:tcPr>
            <w:tcW w:w="28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(9)</w:t>
            </w:r>
          </w:p>
        </w:tc>
        <w:tc>
          <w:tcPr>
            <w:tcW w:w="28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(171)</w:t>
            </w:r>
          </w:p>
        </w:tc>
      </w:tr>
      <w:tr>
        <w:trPr>
          <w:trHeight w:val="199"/>
        </w:trPr>
        <w:tc>
          <w:tcPr>
            <w:tcW w:w="848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Pension and other postretirement benefit adjustments</w:t>
            </w:r>
          </w:p>
        </w:tc>
        <w:tc>
          <w:tcPr>
            <w:tcW w:w="1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413</w:t>
            </w:r>
          </w:p>
        </w:tc>
        <w:tc>
          <w:tcPr>
            <w:tcW w:w="28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(407)</w:t>
            </w:r>
          </w:p>
        </w:tc>
        <w:tc>
          <w:tcPr>
            <w:tcW w:w="28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(233)</w:t>
            </w:r>
          </w:p>
        </w:tc>
      </w:tr>
      <w:tr>
        <w:trPr>
          <w:trHeight w:val="196"/>
        </w:trPr>
        <w:tc>
          <w:tcPr>
            <w:tcW w:w="848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Changes in fair value of available for sale investments</w:t>
            </w:r>
          </w:p>
        </w:tc>
        <w:tc>
          <w:tcPr>
            <w:tcW w:w="1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w:t>
            </w:r>
          </w:p>
        </w:tc>
        <w:tc>
          <w:tcPr>
            <w:tcW w:w="28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5</w:t>
            </w:r>
          </w:p>
        </w:tc>
        <w:tc>
          <w:tcPr>
            <w:tcW w:w="28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(8)</w:t>
            </w:r>
          </w:p>
        </w:tc>
      </w:tr>
      <w:tr>
        <w:trPr>
          <w:trHeight w:val="193"/>
        </w:trPr>
        <w:tc>
          <w:tcPr>
            <w:tcW w:w="8480" w:type="dxa"/>
            <w:vAlign w:val="bottom"/>
            <w:tcBorders>
              <w:bottom w:val="single" w:sz="8" w:color="888B8D"/>
            </w:tcBorders>
          </w:tcPr>
          <w:p>
            <w:pPr>
              <w:ind w:left="360"/>
              <w:spacing w:after="0"/>
              <w:rPr>
                <w:sz w:val="20"/>
                <w:szCs w:val="20"/>
                <w:color w:val="auto"/>
              </w:rPr>
            </w:pPr>
            <w:r>
              <w:rPr>
                <w:rFonts w:ascii="Arial" w:cs="Arial" w:eastAsia="Arial" w:hAnsi="Arial"/>
                <w:sz w:val="14"/>
                <w:szCs w:val="14"/>
                <w:color w:val="auto"/>
              </w:rPr>
              <w:t>Cash flow hedges recognized in other comprehensive income (loss)</w:t>
            </w:r>
          </w:p>
        </w:tc>
        <w:tc>
          <w:tcPr>
            <w:tcW w:w="160" w:type="dxa"/>
            <w:vAlign w:val="bottom"/>
            <w:tcBorders>
              <w:bottom w:val="single" w:sz="8" w:color="888B8D"/>
            </w:tcBorders>
          </w:tcPr>
          <w:p>
            <w:pPr>
              <w:spacing w:after="0"/>
              <w:rPr>
                <w:sz w:val="16"/>
                <w:szCs w:val="16"/>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17</w:t>
            </w:r>
          </w:p>
        </w:tc>
        <w:tc>
          <w:tcPr>
            <w:tcW w:w="280" w:type="dxa"/>
            <w:vAlign w:val="bottom"/>
            <w:tcBorders>
              <w:bottom w:val="single" w:sz="8" w:color="888B8D"/>
            </w:tcBorders>
          </w:tcPr>
          <w:p>
            <w:pPr>
              <w:spacing w:after="0"/>
              <w:rPr>
                <w:sz w:val="16"/>
                <w:szCs w:val="16"/>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60</w:t>
            </w:r>
          </w:p>
        </w:tc>
        <w:tc>
          <w:tcPr>
            <w:tcW w:w="280" w:type="dxa"/>
            <w:vAlign w:val="bottom"/>
            <w:tcBorders>
              <w:bottom w:val="single" w:sz="8" w:color="888B8D"/>
            </w:tcBorders>
          </w:tcPr>
          <w:p>
            <w:pPr>
              <w:spacing w:after="0"/>
              <w:rPr>
                <w:sz w:val="16"/>
                <w:szCs w:val="16"/>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71</w:t>
            </w:r>
          </w:p>
        </w:tc>
      </w:tr>
      <w:tr>
        <w:trPr>
          <w:trHeight w:val="196"/>
        </w:trPr>
        <w:tc>
          <w:tcPr>
            <w:tcW w:w="8480" w:type="dxa"/>
            <w:vAlign w:val="bottom"/>
            <w:tcBorders>
              <w:bottom w:val="single" w:sz="8" w:color="D7282F"/>
            </w:tcBorders>
          </w:tcPr>
          <w:p>
            <w:pPr>
              <w:ind w:left="360"/>
              <w:spacing w:after="0"/>
              <w:rPr>
                <w:sz w:val="20"/>
                <w:szCs w:val="20"/>
                <w:color w:val="auto"/>
              </w:rPr>
            </w:pPr>
            <w:r>
              <w:rPr>
                <w:rFonts w:ascii="Arial" w:cs="Arial" w:eastAsia="Arial" w:hAnsi="Arial"/>
                <w:sz w:val="14"/>
                <w:szCs w:val="14"/>
                <w:color w:val="auto"/>
              </w:rPr>
              <w:t>Less: Reclassification adjustment for gains included in net income</w:t>
            </w:r>
          </w:p>
        </w:tc>
        <w:tc>
          <w:tcPr>
            <w:tcW w:w="1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16</w:t>
            </w:r>
          </w:p>
        </w:tc>
        <w:tc>
          <w:tcPr>
            <w:tcW w:w="28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49</w:t>
            </w:r>
          </w:p>
        </w:tc>
        <w:tc>
          <w:tcPr>
            <w:tcW w:w="28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56</w:t>
            </w:r>
          </w:p>
        </w:tc>
      </w:tr>
      <w:tr>
        <w:trPr>
          <w:trHeight w:val="199"/>
        </w:trPr>
        <w:tc>
          <w:tcPr>
            <w:tcW w:w="848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Changes in fair value of cash flow hedges</w:t>
            </w:r>
          </w:p>
        </w:tc>
        <w:tc>
          <w:tcPr>
            <w:tcW w:w="1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w:t>
            </w:r>
          </w:p>
        </w:tc>
        <w:tc>
          <w:tcPr>
            <w:tcW w:w="28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11</w:t>
            </w:r>
          </w:p>
        </w:tc>
        <w:tc>
          <w:tcPr>
            <w:tcW w:w="28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15</w:t>
            </w:r>
          </w:p>
        </w:tc>
      </w:tr>
      <w:tr>
        <w:trPr>
          <w:trHeight w:val="196"/>
        </w:trPr>
        <w:tc>
          <w:tcPr>
            <w:tcW w:w="848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Other comprehensive income (loss), net of tax</w:t>
            </w:r>
          </w:p>
        </w:tc>
        <w:tc>
          <w:tcPr>
            <w:tcW w:w="1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615</w:t>
            </w:r>
          </w:p>
        </w:tc>
        <w:tc>
          <w:tcPr>
            <w:tcW w:w="28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(665)</w:t>
            </w:r>
          </w:p>
        </w:tc>
        <w:tc>
          <w:tcPr>
            <w:tcW w:w="28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(598)</w:t>
            </w:r>
          </w:p>
        </w:tc>
      </w:tr>
      <w:tr>
        <w:trPr>
          <w:trHeight w:val="196"/>
        </w:trPr>
        <w:tc>
          <w:tcPr>
            <w:tcW w:w="84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Comprehensive income</w:t>
            </w:r>
          </w:p>
        </w:tc>
        <w:tc>
          <w:tcPr>
            <w:tcW w:w="1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6,355</w:t>
            </w:r>
          </w:p>
        </w:tc>
        <w:tc>
          <w:tcPr>
            <w:tcW w:w="28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5,007</w:t>
            </w:r>
          </w:p>
        </w:tc>
        <w:tc>
          <w:tcPr>
            <w:tcW w:w="28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4,369</w:t>
            </w:r>
          </w:p>
        </w:tc>
      </w:tr>
      <w:tr>
        <w:trPr>
          <w:trHeight w:val="193"/>
        </w:trPr>
        <w:tc>
          <w:tcPr>
            <w:tcW w:w="84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Less: Comprehensive income (loss) attributable to the noncontrolling interest</w:t>
            </w:r>
          </w:p>
        </w:tc>
        <w:tc>
          <w:tcPr>
            <w:tcW w:w="160" w:type="dxa"/>
            <w:vAlign w:val="bottom"/>
            <w:tcBorders>
              <w:bottom w:val="single" w:sz="8" w:color="D7282F"/>
            </w:tcBorders>
          </w:tcPr>
          <w:p>
            <w:pPr>
              <w:spacing w:after="0"/>
              <w:rPr>
                <w:sz w:val="16"/>
                <w:szCs w:val="16"/>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6</w:t>
            </w:r>
          </w:p>
        </w:tc>
        <w:tc>
          <w:tcPr>
            <w:tcW w:w="280" w:type="dxa"/>
            <w:vAlign w:val="bottom"/>
            <w:tcBorders>
              <w:bottom w:val="single" w:sz="8" w:color="D7282F"/>
            </w:tcBorders>
          </w:tcPr>
          <w:p>
            <w:pPr>
              <w:spacing w:after="0"/>
              <w:rPr>
                <w:sz w:val="16"/>
                <w:szCs w:val="16"/>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9</w:t>
            </w:r>
          </w:p>
        </w:tc>
        <w:tc>
          <w:tcPr>
            <w:tcW w:w="280" w:type="dxa"/>
            <w:vAlign w:val="bottom"/>
            <w:tcBorders>
              <w:bottom w:val="single" w:sz="8" w:color="D7282F"/>
            </w:tcBorders>
          </w:tcPr>
          <w:p>
            <w:pPr>
              <w:spacing w:after="0"/>
              <w:rPr>
                <w:sz w:val="16"/>
                <w:szCs w:val="16"/>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(17)</w:t>
            </w:r>
          </w:p>
        </w:tc>
      </w:tr>
      <w:tr>
        <w:trPr>
          <w:trHeight w:val="198"/>
        </w:trPr>
        <w:tc>
          <w:tcPr>
            <w:tcW w:w="8480" w:type="dxa"/>
            <w:vAlign w:val="bottom"/>
          </w:tcPr>
          <w:p>
            <w:pPr>
              <w:ind w:left="20"/>
              <w:spacing w:after="0"/>
              <w:rPr>
                <w:sz w:val="20"/>
                <w:szCs w:val="20"/>
                <w:color w:val="auto"/>
              </w:rPr>
            </w:pPr>
            <w:r>
              <w:rPr>
                <w:rFonts w:ascii="Arial" w:cs="Arial" w:eastAsia="Arial" w:hAnsi="Arial"/>
                <w:sz w:val="14"/>
                <w:szCs w:val="14"/>
                <w:b w:val="1"/>
                <w:bCs w:val="1"/>
                <w:color w:val="auto"/>
              </w:rPr>
              <w:t>Comprehensive income attributable to Honeywell</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jc w:val="right"/>
              <w:ind w:right="108"/>
              <w:spacing w:after="0"/>
              <w:rPr>
                <w:sz w:val="20"/>
                <w:szCs w:val="20"/>
                <w:color w:val="auto"/>
              </w:rPr>
            </w:pPr>
            <w:r>
              <w:rPr>
                <w:rFonts w:ascii="Arial" w:cs="Arial" w:eastAsia="Arial" w:hAnsi="Arial"/>
                <w:sz w:val="14"/>
                <w:szCs w:val="14"/>
                <w:b w:val="1"/>
                <w:bCs w:val="1"/>
                <w:color w:val="auto"/>
              </w:rPr>
              <w:t>6,349</w:t>
            </w:r>
          </w:p>
        </w:tc>
        <w:tc>
          <w:tcPr>
            <w:tcW w:w="2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jc w:val="right"/>
              <w:ind w:right="108"/>
              <w:spacing w:after="0"/>
              <w:rPr>
                <w:sz w:val="20"/>
                <w:szCs w:val="20"/>
                <w:color w:val="auto"/>
              </w:rPr>
            </w:pPr>
            <w:r>
              <w:rPr>
                <w:rFonts w:ascii="Arial" w:cs="Arial" w:eastAsia="Arial" w:hAnsi="Arial"/>
                <w:sz w:val="14"/>
                <w:szCs w:val="14"/>
                <w:b w:val="1"/>
                <w:bCs w:val="1"/>
                <w:color w:val="auto"/>
              </w:rPr>
              <w:t>4,998</w:t>
            </w:r>
          </w:p>
        </w:tc>
        <w:tc>
          <w:tcPr>
            <w:tcW w:w="2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4,386</w:t>
            </w:r>
          </w:p>
        </w:tc>
      </w:tr>
    </w:tbl>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Notes to Consolidated Financial Statements are an integral part of this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ind w:left="400" w:hanging="392"/>
        <w:spacing w:after="0"/>
        <w:tabs>
          <w:tab w:leader="none" w:pos="400" w:val="left"/>
        </w:tabs>
        <w:numPr>
          <w:ilvl w:val="0"/>
          <w:numId w:val="105"/>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55" w:name="page56"/>
    <w:bookmarkEnd w:id="55"/>
    <w:p>
      <w:pPr>
        <w:ind w:left="20"/>
        <w:spacing w:after="0"/>
        <w:tabs>
          <w:tab w:leader="none" w:pos="784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FINANCIAL STATEMENTS AND SUPPLEMENTARY DATA</w:t>
      </w:r>
    </w:p>
    <w:p>
      <w:pPr>
        <w:spacing w:after="0" w:line="200" w:lineRule="exact"/>
        <w:rPr>
          <w:sz w:val="20"/>
          <w:szCs w:val="20"/>
          <w:color w:val="auto"/>
        </w:rPr>
      </w:pPr>
    </w:p>
    <w:p>
      <w:pPr>
        <w:spacing w:after="0" w:line="370"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21" w:lineRule="exact"/>
        <w:rPr>
          <w:sz w:val="20"/>
          <w:szCs w:val="20"/>
          <w:color w:val="auto"/>
        </w:rPr>
      </w:pPr>
    </w:p>
    <w:p>
      <w:pPr>
        <w:ind w:left="4280"/>
        <w:spacing w:after="0"/>
        <w:rPr>
          <w:sz w:val="20"/>
          <w:szCs w:val="20"/>
          <w:color w:val="auto"/>
        </w:rPr>
      </w:pPr>
      <w:r>
        <w:rPr>
          <w:rFonts w:ascii="Arial" w:cs="Arial" w:eastAsia="Arial" w:hAnsi="Arial"/>
          <w:sz w:val="16"/>
          <w:szCs w:val="16"/>
          <w:b w:val="1"/>
          <w:bCs w:val="1"/>
          <w:color w:val="auto"/>
        </w:rPr>
        <w:t>CONSOLIDATED BALANCE SHEET</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480" w:type="dxa"/>
            <w:vAlign w:val="bottom"/>
          </w:tcPr>
          <w:p>
            <w:pPr>
              <w:spacing w:after="0"/>
              <w:rPr>
                <w:sz w:val="17"/>
                <w:szCs w:val="17"/>
                <w:color w:val="auto"/>
              </w:rPr>
            </w:pPr>
          </w:p>
        </w:tc>
        <w:tc>
          <w:tcPr>
            <w:tcW w:w="140" w:type="dxa"/>
            <w:vAlign w:val="bottom"/>
            <w:tcBorders>
              <w:bottom w:val="single" w:sz="8" w:color="D7282F"/>
            </w:tcBorders>
          </w:tcPr>
          <w:p>
            <w:pPr>
              <w:spacing w:after="0"/>
              <w:rPr>
                <w:sz w:val="17"/>
                <w:szCs w:val="17"/>
                <w:color w:val="auto"/>
              </w:rPr>
            </w:pPr>
          </w:p>
        </w:tc>
        <w:tc>
          <w:tcPr>
            <w:tcW w:w="1620" w:type="dxa"/>
            <w:vAlign w:val="bottom"/>
            <w:tcBorders>
              <w:bottom w:val="single" w:sz="8" w:color="D7282F"/>
            </w:tcBorders>
            <w:gridSpan w:val="3"/>
          </w:tcPr>
          <w:p>
            <w:pPr>
              <w:jc w:val="right"/>
              <w:ind w:right="348"/>
              <w:spacing w:after="0"/>
              <w:rPr>
                <w:sz w:val="20"/>
                <w:szCs w:val="20"/>
                <w:color w:val="auto"/>
              </w:rPr>
            </w:pPr>
            <w:r>
              <w:rPr>
                <w:rFonts w:ascii="Arial" w:cs="Arial" w:eastAsia="Arial" w:hAnsi="Arial"/>
                <w:sz w:val="14"/>
                <w:szCs w:val="14"/>
                <w:b w:val="1"/>
                <w:bCs w:val="1"/>
                <w:color w:val="auto"/>
              </w:rPr>
              <w:t>December 31,</w:t>
            </w:r>
          </w:p>
        </w:tc>
      </w:tr>
      <w:tr>
        <w:trPr>
          <w:trHeight w:val="237"/>
        </w:trPr>
        <w:tc>
          <w:tcPr>
            <w:tcW w:w="9480" w:type="dxa"/>
            <w:vAlign w:val="bottom"/>
          </w:tcPr>
          <w:p>
            <w:pPr>
              <w:spacing w:after="0"/>
              <w:rPr>
                <w:sz w:val="20"/>
                <w:szCs w:val="20"/>
                <w:color w:val="auto"/>
              </w:rPr>
            </w:pPr>
          </w:p>
        </w:tc>
        <w:tc>
          <w:tcPr>
            <w:tcW w:w="140" w:type="dxa"/>
            <w:vAlign w:val="bottom"/>
            <w:tcBorders>
              <w:bottom w:val="single" w:sz="8" w:color="D7282F"/>
            </w:tcBorders>
          </w:tcPr>
          <w:p>
            <w:pPr>
              <w:spacing w:after="0"/>
              <w:rPr>
                <w:sz w:val="20"/>
                <w:szCs w:val="20"/>
                <w:color w:val="auto"/>
              </w:rPr>
            </w:pPr>
          </w:p>
        </w:tc>
        <w:tc>
          <w:tcPr>
            <w:tcW w:w="74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2024</w:t>
            </w:r>
          </w:p>
        </w:tc>
        <w:tc>
          <w:tcPr>
            <w:tcW w:w="260" w:type="dxa"/>
            <w:vAlign w:val="bottom"/>
            <w:tcBorders>
              <w:bottom w:val="single" w:sz="8" w:color="D7282F"/>
            </w:tcBorders>
          </w:tcPr>
          <w:p>
            <w:pPr>
              <w:spacing w:after="0"/>
              <w:rPr>
                <w:sz w:val="20"/>
                <w:szCs w:val="20"/>
                <w:color w:val="auto"/>
              </w:rPr>
            </w:pPr>
          </w:p>
        </w:tc>
        <w:tc>
          <w:tcPr>
            <w:tcW w:w="62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2023</w:t>
            </w:r>
          </w:p>
        </w:tc>
      </w:tr>
      <w:tr>
        <w:trPr>
          <w:trHeight w:val="196"/>
        </w:trPr>
        <w:tc>
          <w:tcPr>
            <w:tcW w:w="9480" w:type="dxa"/>
            <w:vAlign w:val="bottom"/>
            <w:tcBorders>
              <w:bottom w:val="single" w:sz="8" w:color="D7282F"/>
            </w:tcBorders>
          </w:tcPr>
          <w:p>
            <w:pPr>
              <w:spacing w:after="0"/>
              <w:rPr>
                <w:sz w:val="17"/>
                <w:szCs w:val="17"/>
                <w:color w:val="auto"/>
              </w:rPr>
            </w:pPr>
          </w:p>
        </w:tc>
        <w:tc>
          <w:tcPr>
            <w:tcW w:w="140" w:type="dxa"/>
            <w:vAlign w:val="bottom"/>
            <w:tcBorders>
              <w:bottom w:val="single" w:sz="8" w:color="D7282F"/>
            </w:tcBorders>
          </w:tcPr>
          <w:p>
            <w:pPr>
              <w:spacing w:after="0"/>
              <w:rPr>
                <w:sz w:val="17"/>
                <w:szCs w:val="17"/>
                <w:color w:val="auto"/>
              </w:rPr>
            </w:pPr>
          </w:p>
        </w:tc>
        <w:tc>
          <w:tcPr>
            <w:tcW w:w="1620" w:type="dxa"/>
            <w:vAlign w:val="bottom"/>
            <w:tcBorders>
              <w:bottom w:val="single" w:sz="8" w:color="D7282F"/>
            </w:tcBorders>
            <w:gridSpan w:val="3"/>
          </w:tcPr>
          <w:p>
            <w:pPr>
              <w:jc w:val="right"/>
              <w:ind w:right="148"/>
              <w:spacing w:after="0"/>
              <w:rPr>
                <w:sz w:val="20"/>
                <w:szCs w:val="20"/>
                <w:color w:val="auto"/>
              </w:rPr>
            </w:pPr>
            <w:r>
              <w:rPr>
                <w:rFonts w:ascii="Arial" w:cs="Arial" w:eastAsia="Arial" w:hAnsi="Arial"/>
                <w:sz w:val="14"/>
                <w:szCs w:val="14"/>
                <w:b w:val="1"/>
                <w:bCs w:val="1"/>
                <w:color w:val="auto"/>
              </w:rPr>
              <w:t>(Dollars in millions)</w:t>
            </w:r>
          </w:p>
        </w:tc>
      </w:tr>
      <w:tr>
        <w:trPr>
          <w:trHeight w:val="196"/>
        </w:trPr>
        <w:tc>
          <w:tcPr>
            <w:tcW w:w="948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ASSETS</w:t>
            </w:r>
          </w:p>
        </w:tc>
        <w:tc>
          <w:tcPr>
            <w:tcW w:w="14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spacing w:after="0"/>
              <w:rPr>
                <w:sz w:val="17"/>
                <w:szCs w:val="17"/>
                <w:color w:val="auto"/>
              </w:rPr>
            </w:pPr>
          </w:p>
        </w:tc>
        <w:tc>
          <w:tcPr>
            <w:tcW w:w="26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spacing w:after="0"/>
              <w:rPr>
                <w:sz w:val="17"/>
                <w:szCs w:val="17"/>
                <w:color w:val="auto"/>
              </w:rPr>
            </w:pPr>
          </w:p>
        </w:tc>
      </w:tr>
      <w:tr>
        <w:trPr>
          <w:trHeight w:val="196"/>
        </w:trPr>
        <w:tc>
          <w:tcPr>
            <w:tcW w:w="948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Current assets</w:t>
            </w:r>
          </w:p>
        </w:tc>
        <w:tc>
          <w:tcPr>
            <w:tcW w:w="14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spacing w:after="0"/>
              <w:rPr>
                <w:sz w:val="17"/>
                <w:szCs w:val="17"/>
                <w:color w:val="auto"/>
              </w:rPr>
            </w:pPr>
          </w:p>
        </w:tc>
        <w:tc>
          <w:tcPr>
            <w:tcW w:w="26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spacing w:after="0"/>
              <w:rPr>
                <w:sz w:val="17"/>
                <w:szCs w:val="17"/>
                <w:color w:val="auto"/>
              </w:rPr>
            </w:pPr>
          </w:p>
        </w:tc>
      </w:tr>
      <w:tr>
        <w:trPr>
          <w:trHeight w:val="193"/>
        </w:trPr>
        <w:tc>
          <w:tcPr>
            <w:tcW w:w="94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Cash and cash equivalents</w:t>
            </w:r>
          </w:p>
        </w:tc>
        <w:tc>
          <w:tcPr>
            <w:tcW w:w="1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10,567</w:t>
            </w:r>
          </w:p>
        </w:tc>
        <w:tc>
          <w:tcPr>
            <w:tcW w:w="2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7,925</w:t>
            </w:r>
          </w:p>
        </w:tc>
      </w:tr>
      <w:tr>
        <w:trPr>
          <w:trHeight w:val="196"/>
        </w:trPr>
        <w:tc>
          <w:tcPr>
            <w:tcW w:w="94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Short-term investments</w:t>
            </w:r>
          </w:p>
        </w:tc>
        <w:tc>
          <w:tcPr>
            <w:tcW w:w="14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386</w:t>
            </w:r>
          </w:p>
        </w:tc>
        <w:tc>
          <w:tcPr>
            <w:tcW w:w="26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170</w:t>
            </w:r>
          </w:p>
        </w:tc>
      </w:tr>
      <w:tr>
        <w:trPr>
          <w:trHeight w:val="196"/>
        </w:trPr>
        <w:tc>
          <w:tcPr>
            <w:tcW w:w="94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Accounts receivable, less allowances of $314 and $323, respectively</w:t>
            </w:r>
          </w:p>
        </w:tc>
        <w:tc>
          <w:tcPr>
            <w:tcW w:w="14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7,819</w:t>
            </w:r>
          </w:p>
        </w:tc>
        <w:tc>
          <w:tcPr>
            <w:tcW w:w="26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7,530</w:t>
            </w:r>
          </w:p>
        </w:tc>
      </w:tr>
      <w:tr>
        <w:trPr>
          <w:trHeight w:val="196"/>
        </w:trPr>
        <w:tc>
          <w:tcPr>
            <w:tcW w:w="94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Inventories</w:t>
            </w:r>
          </w:p>
        </w:tc>
        <w:tc>
          <w:tcPr>
            <w:tcW w:w="14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6,442</w:t>
            </w:r>
          </w:p>
        </w:tc>
        <w:tc>
          <w:tcPr>
            <w:tcW w:w="26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6,178</w:t>
            </w:r>
          </w:p>
        </w:tc>
      </w:tr>
      <w:tr>
        <w:trPr>
          <w:trHeight w:val="196"/>
        </w:trPr>
        <w:tc>
          <w:tcPr>
            <w:tcW w:w="94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Assets held for sale</w:t>
            </w:r>
          </w:p>
        </w:tc>
        <w:tc>
          <w:tcPr>
            <w:tcW w:w="14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1,365</w:t>
            </w:r>
          </w:p>
        </w:tc>
        <w:tc>
          <w:tcPr>
            <w:tcW w:w="26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948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Other current assets</w:t>
            </w:r>
          </w:p>
        </w:tc>
        <w:tc>
          <w:tcPr>
            <w:tcW w:w="14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1,329</w:t>
            </w:r>
          </w:p>
        </w:tc>
        <w:tc>
          <w:tcPr>
            <w:tcW w:w="26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1,699</w:t>
            </w:r>
          </w:p>
        </w:tc>
      </w:tr>
      <w:tr>
        <w:trPr>
          <w:trHeight w:val="199"/>
        </w:trPr>
        <w:tc>
          <w:tcPr>
            <w:tcW w:w="948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current assets</w:t>
            </w:r>
          </w:p>
        </w:tc>
        <w:tc>
          <w:tcPr>
            <w:tcW w:w="14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27,908</w:t>
            </w:r>
          </w:p>
        </w:tc>
        <w:tc>
          <w:tcPr>
            <w:tcW w:w="26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23,502</w:t>
            </w:r>
          </w:p>
        </w:tc>
      </w:tr>
      <w:tr>
        <w:trPr>
          <w:trHeight w:val="193"/>
        </w:trPr>
        <w:tc>
          <w:tcPr>
            <w:tcW w:w="9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Investments and long-term receivables</w:t>
            </w:r>
          </w:p>
        </w:tc>
        <w:tc>
          <w:tcPr>
            <w:tcW w:w="140" w:type="dxa"/>
            <w:vAlign w:val="bottom"/>
            <w:tcBorders>
              <w:bottom w:val="single" w:sz="8" w:color="61656A"/>
            </w:tcBorders>
          </w:tcPr>
          <w:p>
            <w:pPr>
              <w:spacing w:after="0"/>
              <w:rPr>
                <w:sz w:val="16"/>
                <w:szCs w:val="16"/>
                <w:color w:val="auto"/>
              </w:rPr>
            </w:pPr>
          </w:p>
        </w:tc>
        <w:tc>
          <w:tcPr>
            <w:tcW w:w="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1,394</w:t>
            </w:r>
          </w:p>
        </w:tc>
        <w:tc>
          <w:tcPr>
            <w:tcW w:w="260" w:type="dxa"/>
            <w:vAlign w:val="bottom"/>
            <w:tcBorders>
              <w:bottom w:val="single" w:sz="8" w:color="61656A"/>
            </w:tcBorders>
          </w:tcPr>
          <w:p>
            <w:pPr>
              <w:spacing w:after="0"/>
              <w:rPr>
                <w:sz w:val="16"/>
                <w:szCs w:val="16"/>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939</w:t>
            </w:r>
          </w:p>
        </w:tc>
      </w:tr>
      <w:tr>
        <w:trPr>
          <w:trHeight w:val="196"/>
        </w:trPr>
        <w:tc>
          <w:tcPr>
            <w:tcW w:w="9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Property, plant and equipment—net</w:t>
            </w:r>
          </w:p>
        </w:tc>
        <w:tc>
          <w:tcPr>
            <w:tcW w:w="14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6,194</w:t>
            </w:r>
          </w:p>
        </w:tc>
        <w:tc>
          <w:tcPr>
            <w:tcW w:w="26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5,660</w:t>
            </w:r>
          </w:p>
        </w:tc>
      </w:tr>
      <w:tr>
        <w:trPr>
          <w:trHeight w:val="196"/>
        </w:trPr>
        <w:tc>
          <w:tcPr>
            <w:tcW w:w="9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Goodwill</w:t>
            </w:r>
          </w:p>
        </w:tc>
        <w:tc>
          <w:tcPr>
            <w:tcW w:w="14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21,825</w:t>
            </w:r>
          </w:p>
        </w:tc>
        <w:tc>
          <w:tcPr>
            <w:tcW w:w="26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18,049</w:t>
            </w:r>
          </w:p>
        </w:tc>
      </w:tr>
      <w:tr>
        <w:trPr>
          <w:trHeight w:val="196"/>
        </w:trPr>
        <w:tc>
          <w:tcPr>
            <w:tcW w:w="9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Other intangible assets—net</w:t>
            </w:r>
          </w:p>
        </w:tc>
        <w:tc>
          <w:tcPr>
            <w:tcW w:w="14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6,656</w:t>
            </w:r>
          </w:p>
        </w:tc>
        <w:tc>
          <w:tcPr>
            <w:tcW w:w="26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3,231</w:t>
            </w:r>
          </w:p>
        </w:tc>
      </w:tr>
      <w:tr>
        <w:trPr>
          <w:trHeight w:val="196"/>
        </w:trPr>
        <w:tc>
          <w:tcPr>
            <w:tcW w:w="9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Insurance recoveries for asbestos-related liabilities</w:t>
            </w:r>
          </w:p>
        </w:tc>
        <w:tc>
          <w:tcPr>
            <w:tcW w:w="14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171</w:t>
            </w:r>
          </w:p>
        </w:tc>
        <w:tc>
          <w:tcPr>
            <w:tcW w:w="26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170</w:t>
            </w:r>
          </w:p>
        </w:tc>
      </w:tr>
      <w:tr>
        <w:trPr>
          <w:trHeight w:val="196"/>
        </w:trPr>
        <w:tc>
          <w:tcPr>
            <w:tcW w:w="9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Deferred income taxes</w:t>
            </w:r>
          </w:p>
        </w:tc>
        <w:tc>
          <w:tcPr>
            <w:tcW w:w="14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238</w:t>
            </w:r>
          </w:p>
        </w:tc>
        <w:tc>
          <w:tcPr>
            <w:tcW w:w="26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392</w:t>
            </w:r>
          </w:p>
        </w:tc>
      </w:tr>
      <w:tr>
        <w:trPr>
          <w:trHeight w:val="196"/>
        </w:trPr>
        <w:tc>
          <w:tcPr>
            <w:tcW w:w="94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Other assets</w:t>
            </w:r>
          </w:p>
        </w:tc>
        <w:tc>
          <w:tcPr>
            <w:tcW w:w="14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10,810</w:t>
            </w:r>
          </w:p>
        </w:tc>
        <w:tc>
          <w:tcPr>
            <w:tcW w:w="26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9,582</w:t>
            </w:r>
          </w:p>
        </w:tc>
      </w:tr>
      <w:tr>
        <w:trPr>
          <w:trHeight w:val="199"/>
        </w:trPr>
        <w:tc>
          <w:tcPr>
            <w:tcW w:w="94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Total assets</w:t>
            </w:r>
          </w:p>
        </w:tc>
        <w:tc>
          <w:tcPr>
            <w:tcW w:w="1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75,196</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61,525</w:t>
            </w:r>
          </w:p>
        </w:tc>
      </w:tr>
      <w:tr>
        <w:trPr>
          <w:trHeight w:val="196"/>
        </w:trPr>
        <w:tc>
          <w:tcPr>
            <w:tcW w:w="9480" w:type="dxa"/>
            <w:vAlign w:val="bottom"/>
            <w:tcBorders>
              <w:bottom w:val="single" w:sz="8" w:color="939598"/>
            </w:tcBorders>
          </w:tcPr>
          <w:p>
            <w:pPr>
              <w:ind w:left="20"/>
              <w:spacing w:after="0"/>
              <w:rPr>
                <w:sz w:val="20"/>
                <w:szCs w:val="20"/>
                <w:color w:val="auto"/>
              </w:rPr>
            </w:pPr>
            <w:r>
              <w:rPr>
                <w:rFonts w:ascii="Arial" w:cs="Arial" w:eastAsia="Arial" w:hAnsi="Arial"/>
                <w:sz w:val="14"/>
                <w:szCs w:val="14"/>
                <w:b w:val="1"/>
                <w:bCs w:val="1"/>
                <w:color w:val="auto"/>
              </w:rPr>
              <w:t>LIABILITIES</w:t>
            </w:r>
          </w:p>
        </w:tc>
        <w:tc>
          <w:tcPr>
            <w:tcW w:w="140" w:type="dxa"/>
            <w:vAlign w:val="bottom"/>
            <w:tcBorders>
              <w:bottom w:val="single" w:sz="8" w:color="939598"/>
            </w:tcBorders>
          </w:tcPr>
          <w:p>
            <w:pPr>
              <w:spacing w:after="0"/>
              <w:rPr>
                <w:sz w:val="17"/>
                <w:szCs w:val="17"/>
                <w:color w:val="auto"/>
              </w:rPr>
            </w:pPr>
          </w:p>
        </w:tc>
        <w:tc>
          <w:tcPr>
            <w:tcW w:w="740" w:type="dxa"/>
            <w:vAlign w:val="bottom"/>
            <w:tcBorders>
              <w:bottom w:val="single" w:sz="8" w:color="939598"/>
            </w:tcBorders>
          </w:tcPr>
          <w:p>
            <w:pPr>
              <w:spacing w:after="0"/>
              <w:rPr>
                <w:sz w:val="17"/>
                <w:szCs w:val="17"/>
                <w:color w:val="auto"/>
              </w:rPr>
            </w:pPr>
          </w:p>
        </w:tc>
        <w:tc>
          <w:tcPr>
            <w:tcW w:w="260" w:type="dxa"/>
            <w:vAlign w:val="bottom"/>
            <w:tcBorders>
              <w:bottom w:val="single" w:sz="8" w:color="939598"/>
            </w:tcBorders>
          </w:tcPr>
          <w:p>
            <w:pPr>
              <w:spacing w:after="0"/>
              <w:rPr>
                <w:sz w:val="17"/>
                <w:szCs w:val="17"/>
                <w:color w:val="auto"/>
              </w:rPr>
            </w:pPr>
          </w:p>
        </w:tc>
        <w:tc>
          <w:tcPr>
            <w:tcW w:w="620" w:type="dxa"/>
            <w:vAlign w:val="bottom"/>
            <w:tcBorders>
              <w:bottom w:val="single" w:sz="8" w:color="939598"/>
            </w:tcBorders>
          </w:tcPr>
          <w:p>
            <w:pPr>
              <w:spacing w:after="0"/>
              <w:rPr>
                <w:sz w:val="17"/>
                <w:szCs w:val="17"/>
                <w:color w:val="auto"/>
              </w:rPr>
            </w:pPr>
          </w:p>
        </w:tc>
      </w:tr>
      <w:tr>
        <w:trPr>
          <w:trHeight w:val="196"/>
        </w:trPr>
        <w:tc>
          <w:tcPr>
            <w:tcW w:w="948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Current liabilities</w:t>
            </w:r>
          </w:p>
        </w:tc>
        <w:tc>
          <w:tcPr>
            <w:tcW w:w="14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spacing w:after="0"/>
              <w:rPr>
                <w:sz w:val="17"/>
                <w:szCs w:val="17"/>
                <w:color w:val="auto"/>
              </w:rPr>
            </w:pPr>
          </w:p>
        </w:tc>
        <w:tc>
          <w:tcPr>
            <w:tcW w:w="26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spacing w:after="0"/>
              <w:rPr>
                <w:sz w:val="17"/>
                <w:szCs w:val="17"/>
                <w:color w:val="auto"/>
              </w:rPr>
            </w:pPr>
          </w:p>
        </w:tc>
      </w:tr>
      <w:tr>
        <w:trPr>
          <w:trHeight w:val="193"/>
        </w:trPr>
        <w:tc>
          <w:tcPr>
            <w:tcW w:w="94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Accounts payable</w:t>
            </w:r>
          </w:p>
        </w:tc>
        <w:tc>
          <w:tcPr>
            <w:tcW w:w="1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6,880</w:t>
            </w:r>
          </w:p>
        </w:tc>
        <w:tc>
          <w:tcPr>
            <w:tcW w:w="2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6,849</w:t>
            </w:r>
          </w:p>
        </w:tc>
      </w:tr>
      <w:tr>
        <w:trPr>
          <w:trHeight w:val="196"/>
        </w:trPr>
        <w:tc>
          <w:tcPr>
            <w:tcW w:w="94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Commercial paper and other short-term borrowings</w:t>
            </w:r>
          </w:p>
        </w:tc>
        <w:tc>
          <w:tcPr>
            <w:tcW w:w="14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4,273</w:t>
            </w:r>
          </w:p>
        </w:tc>
        <w:tc>
          <w:tcPr>
            <w:tcW w:w="26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2,085</w:t>
            </w:r>
          </w:p>
        </w:tc>
      </w:tr>
      <w:tr>
        <w:trPr>
          <w:trHeight w:val="196"/>
        </w:trPr>
        <w:tc>
          <w:tcPr>
            <w:tcW w:w="94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Current maturities of long-term debt</w:t>
            </w:r>
          </w:p>
        </w:tc>
        <w:tc>
          <w:tcPr>
            <w:tcW w:w="14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1,347</w:t>
            </w:r>
          </w:p>
        </w:tc>
        <w:tc>
          <w:tcPr>
            <w:tcW w:w="26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1,796</w:t>
            </w:r>
          </w:p>
        </w:tc>
      </w:tr>
      <w:tr>
        <w:trPr>
          <w:trHeight w:val="196"/>
        </w:trPr>
        <w:tc>
          <w:tcPr>
            <w:tcW w:w="94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Accrued liabilities</w:t>
            </w:r>
          </w:p>
        </w:tc>
        <w:tc>
          <w:tcPr>
            <w:tcW w:w="14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8,348</w:t>
            </w:r>
          </w:p>
        </w:tc>
        <w:tc>
          <w:tcPr>
            <w:tcW w:w="26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7,809</w:t>
            </w:r>
          </w:p>
        </w:tc>
      </w:tr>
      <w:tr>
        <w:trPr>
          <w:trHeight w:val="196"/>
        </w:trPr>
        <w:tc>
          <w:tcPr>
            <w:tcW w:w="948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Liabilities held for sale</w:t>
            </w:r>
          </w:p>
        </w:tc>
        <w:tc>
          <w:tcPr>
            <w:tcW w:w="14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408</w:t>
            </w:r>
          </w:p>
        </w:tc>
        <w:tc>
          <w:tcPr>
            <w:tcW w:w="26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r>
      <w:tr>
        <w:trPr>
          <w:trHeight w:val="199"/>
        </w:trPr>
        <w:tc>
          <w:tcPr>
            <w:tcW w:w="948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current liabilities</w:t>
            </w:r>
          </w:p>
        </w:tc>
        <w:tc>
          <w:tcPr>
            <w:tcW w:w="14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21,256</w:t>
            </w:r>
          </w:p>
        </w:tc>
        <w:tc>
          <w:tcPr>
            <w:tcW w:w="26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18,539</w:t>
            </w:r>
          </w:p>
        </w:tc>
      </w:tr>
      <w:tr>
        <w:trPr>
          <w:trHeight w:val="193"/>
        </w:trPr>
        <w:tc>
          <w:tcPr>
            <w:tcW w:w="9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Long-term debt</w:t>
            </w:r>
          </w:p>
        </w:tc>
        <w:tc>
          <w:tcPr>
            <w:tcW w:w="140" w:type="dxa"/>
            <w:vAlign w:val="bottom"/>
            <w:tcBorders>
              <w:bottom w:val="single" w:sz="8" w:color="61656A"/>
            </w:tcBorders>
          </w:tcPr>
          <w:p>
            <w:pPr>
              <w:spacing w:after="0"/>
              <w:rPr>
                <w:sz w:val="16"/>
                <w:szCs w:val="16"/>
                <w:color w:val="auto"/>
              </w:rPr>
            </w:pPr>
          </w:p>
        </w:tc>
        <w:tc>
          <w:tcPr>
            <w:tcW w:w="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25,479</w:t>
            </w:r>
          </w:p>
        </w:tc>
        <w:tc>
          <w:tcPr>
            <w:tcW w:w="260" w:type="dxa"/>
            <w:vAlign w:val="bottom"/>
            <w:tcBorders>
              <w:bottom w:val="single" w:sz="8" w:color="61656A"/>
            </w:tcBorders>
          </w:tcPr>
          <w:p>
            <w:pPr>
              <w:spacing w:after="0"/>
              <w:rPr>
                <w:sz w:val="16"/>
                <w:szCs w:val="16"/>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16,562</w:t>
            </w:r>
          </w:p>
        </w:tc>
      </w:tr>
      <w:tr>
        <w:trPr>
          <w:trHeight w:val="196"/>
        </w:trPr>
        <w:tc>
          <w:tcPr>
            <w:tcW w:w="9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Deferred income taxes</w:t>
            </w:r>
          </w:p>
        </w:tc>
        <w:tc>
          <w:tcPr>
            <w:tcW w:w="14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1,787</w:t>
            </w:r>
          </w:p>
        </w:tc>
        <w:tc>
          <w:tcPr>
            <w:tcW w:w="26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2,094</w:t>
            </w:r>
          </w:p>
        </w:tc>
      </w:tr>
      <w:tr>
        <w:trPr>
          <w:trHeight w:val="196"/>
        </w:trPr>
        <w:tc>
          <w:tcPr>
            <w:tcW w:w="9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Postretirement benefit obligations other than pensions</w:t>
            </w:r>
          </w:p>
        </w:tc>
        <w:tc>
          <w:tcPr>
            <w:tcW w:w="14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112</w:t>
            </w:r>
          </w:p>
        </w:tc>
        <w:tc>
          <w:tcPr>
            <w:tcW w:w="26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134</w:t>
            </w:r>
          </w:p>
        </w:tc>
      </w:tr>
      <w:tr>
        <w:trPr>
          <w:trHeight w:val="196"/>
        </w:trPr>
        <w:tc>
          <w:tcPr>
            <w:tcW w:w="9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Asbestos-related liabilities</w:t>
            </w:r>
          </w:p>
        </w:tc>
        <w:tc>
          <w:tcPr>
            <w:tcW w:w="14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1,325</w:t>
            </w:r>
          </w:p>
        </w:tc>
        <w:tc>
          <w:tcPr>
            <w:tcW w:w="26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1,490</w:t>
            </w:r>
          </w:p>
        </w:tc>
      </w:tr>
      <w:tr>
        <w:trPr>
          <w:trHeight w:val="196"/>
        </w:trPr>
        <w:tc>
          <w:tcPr>
            <w:tcW w:w="9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Other liabilities</w:t>
            </w:r>
          </w:p>
        </w:tc>
        <w:tc>
          <w:tcPr>
            <w:tcW w:w="14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6,076</w:t>
            </w:r>
          </w:p>
        </w:tc>
        <w:tc>
          <w:tcPr>
            <w:tcW w:w="26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6,265</w:t>
            </w:r>
          </w:p>
        </w:tc>
      </w:tr>
      <w:tr>
        <w:trPr>
          <w:trHeight w:val="196"/>
        </w:trPr>
        <w:tc>
          <w:tcPr>
            <w:tcW w:w="9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Redeemable noncontrolling interest</w:t>
            </w:r>
          </w:p>
        </w:tc>
        <w:tc>
          <w:tcPr>
            <w:tcW w:w="14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7</w:t>
            </w:r>
          </w:p>
        </w:tc>
        <w:tc>
          <w:tcPr>
            <w:tcW w:w="26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w:t>
            </w:r>
          </w:p>
        </w:tc>
      </w:tr>
      <w:tr>
        <w:trPr>
          <w:trHeight w:val="199"/>
        </w:trPr>
        <w:tc>
          <w:tcPr>
            <w:tcW w:w="948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SHAREOWNERS’ EQUITY</w:t>
            </w:r>
          </w:p>
        </w:tc>
        <w:tc>
          <w:tcPr>
            <w:tcW w:w="14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spacing w:after="0"/>
              <w:rPr>
                <w:sz w:val="17"/>
                <w:szCs w:val="17"/>
                <w:color w:val="auto"/>
              </w:rPr>
            </w:pPr>
          </w:p>
        </w:tc>
        <w:tc>
          <w:tcPr>
            <w:tcW w:w="26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spacing w:after="0"/>
              <w:rPr>
                <w:sz w:val="17"/>
                <w:szCs w:val="17"/>
                <w:color w:val="auto"/>
              </w:rPr>
            </w:pPr>
          </w:p>
        </w:tc>
      </w:tr>
      <w:tr>
        <w:trPr>
          <w:trHeight w:val="193"/>
        </w:trPr>
        <w:tc>
          <w:tcPr>
            <w:tcW w:w="9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Capital—common stock issued</w:t>
            </w:r>
          </w:p>
        </w:tc>
        <w:tc>
          <w:tcPr>
            <w:tcW w:w="140" w:type="dxa"/>
            <w:vAlign w:val="bottom"/>
            <w:tcBorders>
              <w:bottom w:val="single" w:sz="8" w:color="61656A"/>
            </w:tcBorders>
          </w:tcPr>
          <w:p>
            <w:pPr>
              <w:spacing w:after="0"/>
              <w:rPr>
                <w:sz w:val="16"/>
                <w:szCs w:val="16"/>
                <w:color w:val="auto"/>
              </w:rPr>
            </w:pPr>
          </w:p>
        </w:tc>
        <w:tc>
          <w:tcPr>
            <w:tcW w:w="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958</w:t>
            </w:r>
          </w:p>
        </w:tc>
        <w:tc>
          <w:tcPr>
            <w:tcW w:w="260" w:type="dxa"/>
            <w:vAlign w:val="bottom"/>
            <w:tcBorders>
              <w:bottom w:val="single" w:sz="8" w:color="61656A"/>
            </w:tcBorders>
          </w:tcPr>
          <w:p>
            <w:pPr>
              <w:spacing w:after="0"/>
              <w:rPr>
                <w:sz w:val="16"/>
                <w:szCs w:val="16"/>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958</w:t>
            </w:r>
          </w:p>
        </w:tc>
      </w:tr>
      <w:tr>
        <w:trPr>
          <w:trHeight w:val="196"/>
        </w:trPr>
        <w:tc>
          <w:tcPr>
            <w:tcW w:w="9480" w:type="dxa"/>
            <w:vAlign w:val="bottom"/>
            <w:tcBorders>
              <w:bottom w:val="single" w:sz="8" w:color="61656A"/>
            </w:tcBorders>
          </w:tcPr>
          <w:p>
            <w:pPr>
              <w:ind w:left="460"/>
              <w:spacing w:after="0"/>
              <w:rPr>
                <w:sz w:val="20"/>
                <w:szCs w:val="20"/>
                <w:color w:val="auto"/>
              </w:rPr>
            </w:pPr>
            <w:r>
              <w:rPr>
                <w:rFonts w:ascii="Arial" w:cs="Arial" w:eastAsia="Arial" w:hAnsi="Arial"/>
                <w:sz w:val="14"/>
                <w:szCs w:val="14"/>
                <w:color w:val="auto"/>
              </w:rPr>
              <w:t>—additional paid-in capital</w:t>
            </w:r>
          </w:p>
        </w:tc>
        <w:tc>
          <w:tcPr>
            <w:tcW w:w="14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9,695</w:t>
            </w:r>
          </w:p>
        </w:tc>
        <w:tc>
          <w:tcPr>
            <w:tcW w:w="26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9,062</w:t>
            </w:r>
          </w:p>
        </w:tc>
      </w:tr>
      <w:tr>
        <w:trPr>
          <w:trHeight w:val="196"/>
        </w:trPr>
        <w:tc>
          <w:tcPr>
            <w:tcW w:w="9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Common stock held in treasury, at cost</w:t>
            </w:r>
          </w:p>
        </w:tc>
        <w:tc>
          <w:tcPr>
            <w:tcW w:w="14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(39,378)</w:t>
            </w:r>
          </w:p>
        </w:tc>
        <w:tc>
          <w:tcPr>
            <w:tcW w:w="26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(38,008)</w:t>
            </w:r>
          </w:p>
        </w:tc>
      </w:tr>
      <w:tr>
        <w:trPr>
          <w:trHeight w:val="196"/>
        </w:trPr>
        <w:tc>
          <w:tcPr>
            <w:tcW w:w="9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Accumulated other comprehensive loss</w:t>
            </w:r>
          </w:p>
        </w:tc>
        <w:tc>
          <w:tcPr>
            <w:tcW w:w="14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(3,491)</w:t>
            </w:r>
          </w:p>
        </w:tc>
        <w:tc>
          <w:tcPr>
            <w:tcW w:w="26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(4,135)</w:t>
            </w:r>
          </w:p>
        </w:tc>
      </w:tr>
      <w:tr>
        <w:trPr>
          <w:trHeight w:val="196"/>
        </w:trPr>
        <w:tc>
          <w:tcPr>
            <w:tcW w:w="94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Retained earnings</w:t>
            </w:r>
          </w:p>
        </w:tc>
        <w:tc>
          <w:tcPr>
            <w:tcW w:w="14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50,835</w:t>
            </w:r>
          </w:p>
        </w:tc>
        <w:tc>
          <w:tcPr>
            <w:tcW w:w="26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47,979</w:t>
            </w:r>
          </w:p>
        </w:tc>
      </w:tr>
      <w:tr>
        <w:trPr>
          <w:trHeight w:val="199"/>
        </w:trPr>
        <w:tc>
          <w:tcPr>
            <w:tcW w:w="948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Honeywell shareowners’ equity</w:t>
            </w:r>
          </w:p>
        </w:tc>
        <w:tc>
          <w:tcPr>
            <w:tcW w:w="14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18,619</w:t>
            </w:r>
          </w:p>
        </w:tc>
        <w:tc>
          <w:tcPr>
            <w:tcW w:w="26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15,856</w:t>
            </w:r>
          </w:p>
        </w:tc>
      </w:tr>
      <w:tr>
        <w:trPr>
          <w:trHeight w:val="193"/>
        </w:trPr>
        <w:tc>
          <w:tcPr>
            <w:tcW w:w="94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Noncontrolling interest</w:t>
            </w:r>
          </w:p>
        </w:tc>
        <w:tc>
          <w:tcPr>
            <w:tcW w:w="140" w:type="dxa"/>
            <w:vAlign w:val="bottom"/>
            <w:tcBorders>
              <w:bottom w:val="single" w:sz="8" w:color="D7282F"/>
            </w:tcBorders>
          </w:tcPr>
          <w:p>
            <w:pPr>
              <w:spacing w:after="0"/>
              <w:rPr>
                <w:sz w:val="16"/>
                <w:szCs w:val="16"/>
                <w:color w:val="auto"/>
              </w:rPr>
            </w:pPr>
          </w:p>
        </w:tc>
        <w:tc>
          <w:tcPr>
            <w:tcW w:w="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535</w:t>
            </w:r>
          </w:p>
        </w:tc>
        <w:tc>
          <w:tcPr>
            <w:tcW w:w="260" w:type="dxa"/>
            <w:vAlign w:val="bottom"/>
            <w:tcBorders>
              <w:bottom w:val="single" w:sz="8" w:color="D7282F"/>
            </w:tcBorders>
          </w:tcPr>
          <w:p>
            <w:pPr>
              <w:spacing w:after="0"/>
              <w:rPr>
                <w:sz w:val="16"/>
                <w:szCs w:val="16"/>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578</w:t>
            </w:r>
          </w:p>
        </w:tc>
      </w:tr>
      <w:tr>
        <w:trPr>
          <w:trHeight w:val="199"/>
        </w:trPr>
        <w:tc>
          <w:tcPr>
            <w:tcW w:w="948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shareowners’ equity</w:t>
            </w:r>
          </w:p>
        </w:tc>
        <w:tc>
          <w:tcPr>
            <w:tcW w:w="14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19,154</w:t>
            </w:r>
          </w:p>
        </w:tc>
        <w:tc>
          <w:tcPr>
            <w:tcW w:w="26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16,434</w:t>
            </w:r>
          </w:p>
        </w:tc>
      </w:tr>
      <w:tr>
        <w:trPr>
          <w:trHeight w:val="195"/>
        </w:trPr>
        <w:tc>
          <w:tcPr>
            <w:tcW w:w="9480" w:type="dxa"/>
            <w:vAlign w:val="bottom"/>
          </w:tcPr>
          <w:p>
            <w:pPr>
              <w:ind w:left="20"/>
              <w:spacing w:after="0"/>
              <w:rPr>
                <w:sz w:val="20"/>
                <w:szCs w:val="20"/>
                <w:color w:val="auto"/>
              </w:rPr>
            </w:pPr>
            <w:r>
              <w:rPr>
                <w:rFonts w:ascii="Arial" w:cs="Arial" w:eastAsia="Arial" w:hAnsi="Arial"/>
                <w:sz w:val="14"/>
                <w:szCs w:val="14"/>
                <w:b w:val="1"/>
                <w:bCs w:val="1"/>
                <w:color w:val="auto"/>
              </w:rPr>
              <w:t>Total liabilities, redeemable noncontrolling interest and shareowners’ equity</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740" w:type="dxa"/>
            <w:vAlign w:val="bottom"/>
          </w:tcPr>
          <w:p>
            <w:pPr>
              <w:jc w:val="right"/>
              <w:ind w:right="108"/>
              <w:spacing w:after="0"/>
              <w:rPr>
                <w:sz w:val="20"/>
                <w:szCs w:val="20"/>
                <w:color w:val="auto"/>
              </w:rPr>
            </w:pPr>
            <w:r>
              <w:rPr>
                <w:rFonts w:ascii="Arial" w:cs="Arial" w:eastAsia="Arial" w:hAnsi="Arial"/>
                <w:sz w:val="14"/>
                <w:szCs w:val="14"/>
                <w:b w:val="1"/>
                <w:bCs w:val="1"/>
                <w:color w:val="auto"/>
              </w:rPr>
              <w:t>75,196</w:t>
            </w: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61,525</w:t>
            </w:r>
          </w:p>
        </w:tc>
      </w:tr>
    </w:tbl>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Notes to Consolidated Financial Statements are an integral part of this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ind w:left="400" w:hanging="392"/>
        <w:spacing w:after="0"/>
        <w:tabs>
          <w:tab w:leader="none" w:pos="400" w:val="left"/>
        </w:tabs>
        <w:numPr>
          <w:ilvl w:val="0"/>
          <w:numId w:val="106"/>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56" w:name="page57"/>
    <w:bookmarkEnd w:id="56"/>
    <w:p>
      <w:pPr>
        <w:ind w:left="20"/>
        <w:spacing w:after="0"/>
        <w:tabs>
          <w:tab w:leader="none" w:pos="784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FINANCIAL STATEMENTS AND SUPPLEMENTARY DATA</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 OF CASH FLOWS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480" w:type="dxa"/>
            <w:vAlign w:val="bottom"/>
          </w:tcPr>
          <w:p>
            <w:pPr>
              <w:spacing w:after="0"/>
              <w:rPr>
                <w:sz w:val="17"/>
                <w:szCs w:val="17"/>
                <w:color w:val="auto"/>
              </w:rPr>
            </w:pPr>
          </w:p>
        </w:tc>
        <w:tc>
          <w:tcPr>
            <w:tcW w:w="140" w:type="dxa"/>
            <w:vAlign w:val="bottom"/>
            <w:tcBorders>
              <w:bottom w:val="single" w:sz="8" w:color="D7282F"/>
            </w:tcBorders>
          </w:tcPr>
          <w:p>
            <w:pPr>
              <w:spacing w:after="0"/>
              <w:rPr>
                <w:sz w:val="17"/>
                <w:szCs w:val="17"/>
                <w:color w:val="auto"/>
              </w:rPr>
            </w:pPr>
          </w:p>
        </w:tc>
        <w:tc>
          <w:tcPr>
            <w:tcW w:w="2620" w:type="dxa"/>
            <w:vAlign w:val="bottom"/>
            <w:tcBorders>
              <w:bottom w:val="single" w:sz="8" w:color="D7282F"/>
            </w:tcBorders>
            <w:gridSpan w:val="5"/>
          </w:tcPr>
          <w:p>
            <w:pPr>
              <w:jc w:val="center"/>
              <w:ind w:right="68"/>
              <w:spacing w:after="0"/>
              <w:rPr>
                <w:sz w:val="20"/>
                <w:szCs w:val="20"/>
                <w:color w:val="auto"/>
              </w:rPr>
            </w:pPr>
            <w:r>
              <w:rPr>
                <w:rFonts w:ascii="Arial" w:cs="Arial" w:eastAsia="Arial" w:hAnsi="Arial"/>
                <w:sz w:val="14"/>
                <w:szCs w:val="14"/>
                <w:b w:val="1"/>
                <w:bCs w:val="1"/>
                <w:color w:val="auto"/>
              </w:rPr>
              <w:t>Years Ended December 31,</w:t>
            </w:r>
          </w:p>
        </w:tc>
      </w:tr>
      <w:tr>
        <w:trPr>
          <w:trHeight w:val="237"/>
        </w:trPr>
        <w:tc>
          <w:tcPr>
            <w:tcW w:w="8480" w:type="dxa"/>
            <w:vAlign w:val="bottom"/>
          </w:tcPr>
          <w:p>
            <w:pPr>
              <w:spacing w:after="0"/>
              <w:rPr>
                <w:sz w:val="20"/>
                <w:szCs w:val="20"/>
                <w:color w:val="auto"/>
              </w:rPr>
            </w:pPr>
          </w:p>
        </w:tc>
        <w:tc>
          <w:tcPr>
            <w:tcW w:w="140" w:type="dxa"/>
            <w:vAlign w:val="bottom"/>
            <w:tcBorders>
              <w:bottom w:val="single" w:sz="8" w:color="D7282F"/>
            </w:tcBorders>
          </w:tcPr>
          <w:p>
            <w:pPr>
              <w:spacing w:after="0"/>
              <w:rPr>
                <w:sz w:val="20"/>
                <w:szCs w:val="20"/>
                <w:color w:val="auto"/>
              </w:rPr>
            </w:pPr>
          </w:p>
        </w:tc>
        <w:tc>
          <w:tcPr>
            <w:tcW w:w="74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2024</w:t>
            </w:r>
          </w:p>
        </w:tc>
        <w:tc>
          <w:tcPr>
            <w:tcW w:w="260" w:type="dxa"/>
            <w:vAlign w:val="bottom"/>
            <w:tcBorders>
              <w:bottom w:val="single" w:sz="8" w:color="D7282F"/>
            </w:tcBorders>
          </w:tcPr>
          <w:p>
            <w:pPr>
              <w:spacing w:after="0"/>
              <w:rPr>
                <w:sz w:val="20"/>
                <w:szCs w:val="20"/>
                <w:color w:val="auto"/>
              </w:rPr>
            </w:pPr>
          </w:p>
        </w:tc>
        <w:tc>
          <w:tcPr>
            <w:tcW w:w="740" w:type="dxa"/>
            <w:vAlign w:val="bottom"/>
            <w:tcBorders>
              <w:bottom w:val="single" w:sz="8" w:color="D7282F"/>
            </w:tcBorders>
          </w:tcPr>
          <w:p>
            <w:pPr>
              <w:jc w:val="center"/>
              <w:ind w:right="188"/>
              <w:spacing w:after="0"/>
              <w:rPr>
                <w:sz w:val="20"/>
                <w:szCs w:val="20"/>
                <w:color w:val="auto"/>
              </w:rPr>
            </w:pPr>
            <w:r>
              <w:rPr>
                <w:rFonts w:ascii="Arial" w:cs="Arial" w:eastAsia="Arial" w:hAnsi="Arial"/>
                <w:sz w:val="14"/>
                <w:szCs w:val="14"/>
                <w:b w:val="1"/>
                <w:bCs w:val="1"/>
                <w:color w:val="auto"/>
              </w:rPr>
              <w:t>2023</w:t>
            </w:r>
          </w:p>
        </w:tc>
        <w:tc>
          <w:tcPr>
            <w:tcW w:w="280" w:type="dxa"/>
            <w:vAlign w:val="bottom"/>
            <w:tcBorders>
              <w:bottom w:val="single" w:sz="8" w:color="D7282F"/>
            </w:tcBorders>
          </w:tcPr>
          <w:p>
            <w:pPr>
              <w:spacing w:after="0"/>
              <w:rPr>
                <w:sz w:val="20"/>
                <w:szCs w:val="20"/>
                <w:color w:val="auto"/>
              </w:rPr>
            </w:pPr>
          </w:p>
        </w:tc>
        <w:tc>
          <w:tcPr>
            <w:tcW w:w="60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2022</w:t>
            </w:r>
          </w:p>
        </w:tc>
      </w:tr>
      <w:tr>
        <w:trPr>
          <w:trHeight w:val="196"/>
        </w:trPr>
        <w:tc>
          <w:tcPr>
            <w:tcW w:w="8480" w:type="dxa"/>
            <w:vAlign w:val="bottom"/>
            <w:tcBorders>
              <w:bottom w:val="single" w:sz="8" w:color="D7282F"/>
            </w:tcBorders>
          </w:tcPr>
          <w:p>
            <w:pPr>
              <w:spacing w:after="0"/>
              <w:rPr>
                <w:sz w:val="17"/>
                <w:szCs w:val="17"/>
                <w:color w:val="auto"/>
              </w:rPr>
            </w:pPr>
          </w:p>
        </w:tc>
        <w:tc>
          <w:tcPr>
            <w:tcW w:w="140" w:type="dxa"/>
            <w:vAlign w:val="bottom"/>
            <w:tcBorders>
              <w:bottom w:val="single" w:sz="8" w:color="D7282F"/>
            </w:tcBorders>
          </w:tcPr>
          <w:p>
            <w:pPr>
              <w:spacing w:after="0"/>
              <w:rPr>
                <w:sz w:val="17"/>
                <w:szCs w:val="17"/>
                <w:color w:val="auto"/>
              </w:rPr>
            </w:pPr>
          </w:p>
        </w:tc>
        <w:tc>
          <w:tcPr>
            <w:tcW w:w="2020" w:type="dxa"/>
            <w:vAlign w:val="bottom"/>
            <w:tcBorders>
              <w:bottom w:val="single" w:sz="8" w:color="D7282F"/>
            </w:tcBorders>
            <w:gridSpan w:val="4"/>
          </w:tcPr>
          <w:p>
            <w:pPr>
              <w:jc w:val="center"/>
              <w:ind w:left="368"/>
              <w:spacing w:after="0"/>
              <w:rPr>
                <w:sz w:val="20"/>
                <w:szCs w:val="20"/>
                <w:color w:val="auto"/>
              </w:rPr>
            </w:pPr>
            <w:r>
              <w:rPr>
                <w:rFonts w:ascii="Arial" w:cs="Arial" w:eastAsia="Arial" w:hAnsi="Arial"/>
                <w:sz w:val="14"/>
                <w:szCs w:val="14"/>
                <w:b w:val="1"/>
                <w:bCs w:val="1"/>
                <w:color w:val="auto"/>
              </w:rPr>
              <w:t>(Dollars in millions)</w:t>
            </w:r>
          </w:p>
        </w:tc>
        <w:tc>
          <w:tcPr>
            <w:tcW w:w="600" w:type="dxa"/>
            <w:vAlign w:val="bottom"/>
            <w:tcBorders>
              <w:bottom w:val="single" w:sz="8" w:color="D7282F"/>
            </w:tcBorders>
          </w:tcPr>
          <w:p>
            <w:pPr>
              <w:spacing w:after="0"/>
              <w:rPr>
                <w:sz w:val="17"/>
                <w:szCs w:val="17"/>
                <w:color w:val="auto"/>
              </w:rPr>
            </w:pPr>
          </w:p>
        </w:tc>
      </w:tr>
      <w:tr>
        <w:trPr>
          <w:trHeight w:val="196"/>
        </w:trPr>
        <w:tc>
          <w:tcPr>
            <w:tcW w:w="8480" w:type="dxa"/>
            <w:vAlign w:val="bottom"/>
            <w:tcBorders>
              <w:bottom w:val="single" w:sz="8" w:color="888B8D"/>
            </w:tcBorders>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140" w:type="dxa"/>
            <w:vAlign w:val="bottom"/>
            <w:tcBorders>
              <w:bottom w:val="single" w:sz="8" w:color="888B8D"/>
            </w:tcBorders>
          </w:tcPr>
          <w:p>
            <w:pPr>
              <w:spacing w:after="0"/>
              <w:rPr>
                <w:sz w:val="17"/>
                <w:szCs w:val="17"/>
                <w:color w:val="auto"/>
              </w:rPr>
            </w:pPr>
          </w:p>
        </w:tc>
        <w:tc>
          <w:tcPr>
            <w:tcW w:w="740" w:type="dxa"/>
            <w:vAlign w:val="bottom"/>
            <w:tcBorders>
              <w:bottom w:val="single" w:sz="8" w:color="888B8D"/>
            </w:tcBorders>
          </w:tcPr>
          <w:p>
            <w:pPr>
              <w:spacing w:after="0"/>
              <w:rPr>
                <w:sz w:val="17"/>
                <w:szCs w:val="17"/>
                <w:color w:val="auto"/>
              </w:rPr>
            </w:pPr>
          </w:p>
        </w:tc>
        <w:tc>
          <w:tcPr>
            <w:tcW w:w="260" w:type="dxa"/>
            <w:vAlign w:val="bottom"/>
            <w:tcBorders>
              <w:bottom w:val="single" w:sz="8" w:color="888B8D"/>
            </w:tcBorders>
          </w:tcPr>
          <w:p>
            <w:pPr>
              <w:spacing w:after="0"/>
              <w:rPr>
                <w:sz w:val="17"/>
                <w:szCs w:val="17"/>
                <w:color w:val="auto"/>
              </w:rPr>
            </w:pPr>
          </w:p>
        </w:tc>
        <w:tc>
          <w:tcPr>
            <w:tcW w:w="740" w:type="dxa"/>
            <w:vAlign w:val="bottom"/>
            <w:tcBorders>
              <w:bottom w:val="single" w:sz="8" w:color="888B8D"/>
            </w:tcBorders>
          </w:tcPr>
          <w:p>
            <w:pPr>
              <w:spacing w:after="0"/>
              <w:rPr>
                <w:sz w:val="17"/>
                <w:szCs w:val="17"/>
                <w:color w:val="auto"/>
              </w:rPr>
            </w:pP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spacing w:after="0"/>
              <w:rPr>
                <w:sz w:val="17"/>
                <w:szCs w:val="17"/>
                <w:color w:val="auto"/>
              </w:rPr>
            </w:pPr>
          </w:p>
        </w:tc>
      </w:tr>
      <w:tr>
        <w:trPr>
          <w:trHeight w:val="193"/>
        </w:trPr>
        <w:tc>
          <w:tcPr>
            <w:tcW w:w="848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Net income</w:t>
            </w:r>
          </w:p>
        </w:tc>
        <w:tc>
          <w:tcPr>
            <w:tcW w:w="1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5,740</w:t>
            </w:r>
          </w:p>
        </w:tc>
        <w:tc>
          <w:tcPr>
            <w:tcW w:w="2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5,672</w:t>
            </w:r>
          </w:p>
        </w:tc>
        <w:tc>
          <w:tcPr>
            <w:tcW w:w="280" w:type="dxa"/>
            <w:vAlign w:val="bottom"/>
            <w:tcBorders>
              <w:bottom w:val="single" w:sz="8" w:color="888B8D"/>
            </w:tcBorders>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4,967</w:t>
            </w:r>
          </w:p>
        </w:tc>
      </w:tr>
      <w:tr>
        <w:trPr>
          <w:trHeight w:val="196"/>
        </w:trPr>
        <w:tc>
          <w:tcPr>
            <w:tcW w:w="848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Less: Net income attributable to noncontrolling interest</w:t>
            </w:r>
          </w:p>
        </w:tc>
        <w:tc>
          <w:tcPr>
            <w:tcW w:w="14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35</w:t>
            </w:r>
          </w:p>
        </w:tc>
        <w:tc>
          <w:tcPr>
            <w:tcW w:w="26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14</w:t>
            </w:r>
          </w:p>
        </w:tc>
        <w:tc>
          <w:tcPr>
            <w:tcW w:w="28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w:t>
            </w:r>
          </w:p>
        </w:tc>
      </w:tr>
      <w:tr>
        <w:trPr>
          <w:trHeight w:val="199"/>
        </w:trPr>
        <w:tc>
          <w:tcPr>
            <w:tcW w:w="848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Net income attributable to Honeywell</w:t>
            </w:r>
          </w:p>
        </w:tc>
        <w:tc>
          <w:tcPr>
            <w:tcW w:w="14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5,705</w:t>
            </w:r>
          </w:p>
        </w:tc>
        <w:tc>
          <w:tcPr>
            <w:tcW w:w="26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5,658</w:t>
            </w:r>
          </w:p>
        </w:tc>
        <w:tc>
          <w:tcPr>
            <w:tcW w:w="28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4,966</w:t>
            </w:r>
          </w:p>
        </w:tc>
      </w:tr>
      <w:tr>
        <w:trPr>
          <w:trHeight w:val="193"/>
        </w:trPr>
        <w:tc>
          <w:tcPr>
            <w:tcW w:w="848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Adjustments to reconcile net income attributable to Honeywell to net cash provided by operating activities</w:t>
            </w:r>
          </w:p>
        </w:tc>
        <w:tc>
          <w:tcPr>
            <w:tcW w:w="140" w:type="dxa"/>
            <w:vAlign w:val="bottom"/>
            <w:tcBorders>
              <w:bottom w:val="single" w:sz="8" w:color="888B8D"/>
            </w:tcBorders>
          </w:tcPr>
          <w:p>
            <w:pPr>
              <w:spacing w:after="0"/>
              <w:rPr>
                <w:sz w:val="16"/>
                <w:szCs w:val="16"/>
                <w:color w:val="auto"/>
              </w:rPr>
            </w:pPr>
          </w:p>
        </w:tc>
        <w:tc>
          <w:tcPr>
            <w:tcW w:w="740" w:type="dxa"/>
            <w:vAlign w:val="bottom"/>
            <w:tcBorders>
              <w:bottom w:val="single" w:sz="8" w:color="888B8D"/>
            </w:tcBorders>
          </w:tcPr>
          <w:p>
            <w:pPr>
              <w:spacing w:after="0"/>
              <w:rPr>
                <w:sz w:val="16"/>
                <w:szCs w:val="16"/>
                <w:color w:val="auto"/>
              </w:rPr>
            </w:pPr>
          </w:p>
        </w:tc>
        <w:tc>
          <w:tcPr>
            <w:tcW w:w="260" w:type="dxa"/>
            <w:vAlign w:val="bottom"/>
            <w:tcBorders>
              <w:bottom w:val="single" w:sz="8" w:color="888B8D"/>
            </w:tcBorders>
          </w:tcPr>
          <w:p>
            <w:pPr>
              <w:spacing w:after="0"/>
              <w:rPr>
                <w:sz w:val="16"/>
                <w:szCs w:val="16"/>
                <w:color w:val="auto"/>
              </w:rPr>
            </w:pPr>
          </w:p>
        </w:tc>
        <w:tc>
          <w:tcPr>
            <w:tcW w:w="740" w:type="dxa"/>
            <w:vAlign w:val="bottom"/>
            <w:tcBorders>
              <w:bottom w:val="single" w:sz="8" w:color="888B8D"/>
            </w:tcBorders>
          </w:tcPr>
          <w:p>
            <w:pPr>
              <w:spacing w:after="0"/>
              <w:rPr>
                <w:sz w:val="16"/>
                <w:szCs w:val="16"/>
                <w:color w:val="auto"/>
              </w:rPr>
            </w:pPr>
          </w:p>
        </w:tc>
        <w:tc>
          <w:tcPr>
            <w:tcW w:w="280" w:type="dxa"/>
            <w:vAlign w:val="bottom"/>
            <w:tcBorders>
              <w:bottom w:val="single" w:sz="8" w:color="888B8D"/>
            </w:tcBorders>
          </w:tcPr>
          <w:p>
            <w:pPr>
              <w:spacing w:after="0"/>
              <w:rPr>
                <w:sz w:val="16"/>
                <w:szCs w:val="16"/>
                <w:color w:val="auto"/>
              </w:rPr>
            </w:pPr>
          </w:p>
        </w:tc>
        <w:tc>
          <w:tcPr>
            <w:tcW w:w="600" w:type="dxa"/>
            <w:vAlign w:val="bottom"/>
            <w:tcBorders>
              <w:bottom w:val="single" w:sz="8" w:color="888B8D"/>
            </w:tcBorders>
          </w:tcPr>
          <w:p>
            <w:pPr>
              <w:spacing w:after="0"/>
              <w:rPr>
                <w:sz w:val="16"/>
                <w:szCs w:val="16"/>
                <w:color w:val="auto"/>
              </w:rPr>
            </w:pPr>
          </w:p>
        </w:tc>
      </w:tr>
      <w:tr>
        <w:trPr>
          <w:trHeight w:val="196"/>
        </w:trPr>
        <w:tc>
          <w:tcPr>
            <w:tcW w:w="8480" w:type="dxa"/>
            <w:vAlign w:val="bottom"/>
            <w:tcBorders>
              <w:bottom w:val="single" w:sz="8" w:color="888B8D"/>
            </w:tcBorders>
          </w:tcPr>
          <w:p>
            <w:pPr>
              <w:ind w:left="240"/>
              <w:spacing w:after="0"/>
              <w:rPr>
                <w:sz w:val="20"/>
                <w:szCs w:val="20"/>
                <w:color w:val="auto"/>
              </w:rPr>
            </w:pPr>
            <w:r>
              <w:rPr>
                <w:rFonts w:ascii="Arial" w:cs="Arial" w:eastAsia="Arial" w:hAnsi="Arial"/>
                <w:sz w:val="14"/>
                <w:szCs w:val="14"/>
                <w:color w:val="auto"/>
              </w:rPr>
              <w:t>Depreciation</w:t>
            </w:r>
          </w:p>
        </w:tc>
        <w:tc>
          <w:tcPr>
            <w:tcW w:w="140" w:type="dxa"/>
            <w:vAlign w:val="bottom"/>
            <w:tcBorders>
              <w:bottom w:val="single" w:sz="8" w:color="888B8D"/>
            </w:tcBorders>
          </w:tcPr>
          <w:p>
            <w:pPr>
              <w:spacing w:after="0"/>
              <w:rPr>
                <w:sz w:val="17"/>
                <w:szCs w:val="17"/>
                <w:color w:val="auto"/>
              </w:rPr>
            </w:pPr>
          </w:p>
        </w:tc>
        <w:tc>
          <w:tcPr>
            <w:tcW w:w="74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671</w:t>
            </w:r>
          </w:p>
        </w:tc>
        <w:tc>
          <w:tcPr>
            <w:tcW w:w="260" w:type="dxa"/>
            <w:vAlign w:val="bottom"/>
            <w:tcBorders>
              <w:bottom w:val="single" w:sz="8" w:color="888B8D"/>
            </w:tcBorders>
          </w:tcPr>
          <w:p>
            <w:pPr>
              <w:spacing w:after="0"/>
              <w:rPr>
                <w:sz w:val="17"/>
                <w:szCs w:val="17"/>
                <w:color w:val="auto"/>
              </w:rPr>
            </w:pPr>
          </w:p>
        </w:tc>
        <w:tc>
          <w:tcPr>
            <w:tcW w:w="74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659</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657</w:t>
            </w:r>
          </w:p>
        </w:tc>
      </w:tr>
      <w:tr>
        <w:trPr>
          <w:trHeight w:val="196"/>
        </w:trPr>
        <w:tc>
          <w:tcPr>
            <w:tcW w:w="8480" w:type="dxa"/>
            <w:vAlign w:val="bottom"/>
            <w:tcBorders>
              <w:bottom w:val="single" w:sz="8" w:color="888B8D"/>
            </w:tcBorders>
          </w:tcPr>
          <w:p>
            <w:pPr>
              <w:ind w:left="240"/>
              <w:spacing w:after="0"/>
              <w:rPr>
                <w:sz w:val="20"/>
                <w:szCs w:val="20"/>
                <w:color w:val="auto"/>
              </w:rPr>
            </w:pPr>
            <w:r>
              <w:rPr>
                <w:rFonts w:ascii="Arial" w:cs="Arial" w:eastAsia="Arial" w:hAnsi="Arial"/>
                <w:sz w:val="14"/>
                <w:szCs w:val="14"/>
                <w:color w:val="auto"/>
              </w:rPr>
              <w:t>Amortization</w:t>
            </w:r>
          </w:p>
        </w:tc>
        <w:tc>
          <w:tcPr>
            <w:tcW w:w="140" w:type="dxa"/>
            <w:vAlign w:val="bottom"/>
            <w:tcBorders>
              <w:bottom w:val="single" w:sz="8" w:color="888B8D"/>
            </w:tcBorders>
          </w:tcPr>
          <w:p>
            <w:pPr>
              <w:spacing w:after="0"/>
              <w:rPr>
                <w:sz w:val="17"/>
                <w:szCs w:val="17"/>
                <w:color w:val="auto"/>
              </w:rPr>
            </w:pPr>
          </w:p>
        </w:tc>
        <w:tc>
          <w:tcPr>
            <w:tcW w:w="74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663</w:t>
            </w:r>
          </w:p>
        </w:tc>
        <w:tc>
          <w:tcPr>
            <w:tcW w:w="260" w:type="dxa"/>
            <w:vAlign w:val="bottom"/>
            <w:tcBorders>
              <w:bottom w:val="single" w:sz="8" w:color="888B8D"/>
            </w:tcBorders>
          </w:tcPr>
          <w:p>
            <w:pPr>
              <w:spacing w:after="0"/>
              <w:rPr>
                <w:sz w:val="17"/>
                <w:szCs w:val="17"/>
                <w:color w:val="auto"/>
              </w:rPr>
            </w:pPr>
          </w:p>
        </w:tc>
        <w:tc>
          <w:tcPr>
            <w:tcW w:w="74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517</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547</w:t>
            </w:r>
          </w:p>
        </w:tc>
      </w:tr>
      <w:tr>
        <w:trPr>
          <w:trHeight w:val="196"/>
        </w:trPr>
        <w:tc>
          <w:tcPr>
            <w:tcW w:w="8480" w:type="dxa"/>
            <w:vAlign w:val="bottom"/>
            <w:tcBorders>
              <w:bottom w:val="single" w:sz="8" w:color="888B8D"/>
            </w:tcBorders>
          </w:tcPr>
          <w:p>
            <w:pPr>
              <w:ind w:left="240"/>
              <w:spacing w:after="0"/>
              <w:rPr>
                <w:sz w:val="20"/>
                <w:szCs w:val="20"/>
                <w:color w:val="auto"/>
              </w:rPr>
            </w:pPr>
            <w:r>
              <w:rPr>
                <w:rFonts w:ascii="Arial" w:cs="Arial" w:eastAsia="Arial" w:hAnsi="Arial"/>
                <w:sz w:val="14"/>
                <w:szCs w:val="14"/>
                <w:color w:val="auto"/>
              </w:rPr>
              <w:t>Loss (gain) on sale of non-strategic businesses and assets</w:t>
            </w:r>
          </w:p>
        </w:tc>
        <w:tc>
          <w:tcPr>
            <w:tcW w:w="140" w:type="dxa"/>
            <w:vAlign w:val="bottom"/>
            <w:tcBorders>
              <w:bottom w:val="single" w:sz="8" w:color="888B8D"/>
            </w:tcBorders>
          </w:tcPr>
          <w:p>
            <w:pPr>
              <w:spacing w:after="0"/>
              <w:rPr>
                <w:sz w:val="17"/>
                <w:szCs w:val="17"/>
                <w:color w:val="auto"/>
              </w:rPr>
            </w:pPr>
          </w:p>
        </w:tc>
        <w:tc>
          <w:tcPr>
            <w:tcW w:w="74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1</w:t>
            </w:r>
          </w:p>
        </w:tc>
        <w:tc>
          <w:tcPr>
            <w:tcW w:w="260" w:type="dxa"/>
            <w:vAlign w:val="bottom"/>
            <w:tcBorders>
              <w:bottom w:val="single" w:sz="8" w:color="888B8D"/>
            </w:tcBorders>
          </w:tcPr>
          <w:p>
            <w:pPr>
              <w:spacing w:after="0"/>
              <w:rPr>
                <w:sz w:val="17"/>
                <w:szCs w:val="17"/>
                <w:color w:val="auto"/>
              </w:rPr>
            </w:pPr>
          </w:p>
        </w:tc>
        <w:tc>
          <w:tcPr>
            <w:tcW w:w="74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(5)</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(22)</w:t>
            </w:r>
          </w:p>
        </w:tc>
      </w:tr>
      <w:tr>
        <w:trPr>
          <w:trHeight w:val="196"/>
        </w:trPr>
        <w:tc>
          <w:tcPr>
            <w:tcW w:w="8480" w:type="dxa"/>
            <w:vAlign w:val="bottom"/>
            <w:tcBorders>
              <w:bottom w:val="single" w:sz="8" w:color="888B8D"/>
            </w:tcBorders>
          </w:tcPr>
          <w:p>
            <w:pPr>
              <w:ind w:left="240"/>
              <w:spacing w:after="0"/>
              <w:rPr>
                <w:sz w:val="20"/>
                <w:szCs w:val="20"/>
                <w:color w:val="auto"/>
              </w:rPr>
            </w:pPr>
            <w:r>
              <w:rPr>
                <w:rFonts w:ascii="Arial" w:cs="Arial" w:eastAsia="Arial" w:hAnsi="Arial"/>
                <w:sz w:val="14"/>
                <w:szCs w:val="14"/>
                <w:color w:val="auto"/>
              </w:rPr>
              <w:t>Impairment of assets held for sale</w:t>
            </w:r>
          </w:p>
        </w:tc>
        <w:tc>
          <w:tcPr>
            <w:tcW w:w="140" w:type="dxa"/>
            <w:vAlign w:val="bottom"/>
            <w:tcBorders>
              <w:bottom w:val="single" w:sz="8" w:color="888B8D"/>
            </w:tcBorders>
          </w:tcPr>
          <w:p>
            <w:pPr>
              <w:spacing w:after="0"/>
              <w:rPr>
                <w:sz w:val="17"/>
                <w:szCs w:val="17"/>
                <w:color w:val="auto"/>
              </w:rPr>
            </w:pPr>
          </w:p>
        </w:tc>
        <w:tc>
          <w:tcPr>
            <w:tcW w:w="74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219</w:t>
            </w:r>
          </w:p>
        </w:tc>
        <w:tc>
          <w:tcPr>
            <w:tcW w:w="260" w:type="dxa"/>
            <w:vAlign w:val="bottom"/>
            <w:tcBorders>
              <w:bottom w:val="single" w:sz="8" w:color="888B8D"/>
            </w:tcBorders>
          </w:tcPr>
          <w:p>
            <w:pPr>
              <w:spacing w:after="0"/>
              <w:rPr>
                <w:sz w:val="17"/>
                <w:szCs w:val="17"/>
                <w:color w:val="auto"/>
              </w:rPr>
            </w:pPr>
          </w:p>
        </w:tc>
        <w:tc>
          <w:tcPr>
            <w:tcW w:w="74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8480" w:type="dxa"/>
            <w:vAlign w:val="bottom"/>
            <w:tcBorders>
              <w:bottom w:val="single" w:sz="8" w:color="888B8D"/>
            </w:tcBorders>
          </w:tcPr>
          <w:p>
            <w:pPr>
              <w:ind w:left="240"/>
              <w:spacing w:after="0"/>
              <w:rPr>
                <w:sz w:val="20"/>
                <w:szCs w:val="20"/>
                <w:color w:val="auto"/>
              </w:rPr>
            </w:pPr>
            <w:r>
              <w:rPr>
                <w:rFonts w:ascii="Arial" w:cs="Arial" w:eastAsia="Arial" w:hAnsi="Arial"/>
                <w:sz w:val="14"/>
                <w:szCs w:val="14"/>
                <w:color w:val="auto"/>
              </w:rPr>
              <w:t>Repositioning and other charges</w:t>
            </w:r>
          </w:p>
        </w:tc>
        <w:tc>
          <w:tcPr>
            <w:tcW w:w="140" w:type="dxa"/>
            <w:vAlign w:val="bottom"/>
            <w:tcBorders>
              <w:bottom w:val="single" w:sz="8" w:color="888B8D"/>
            </w:tcBorders>
          </w:tcPr>
          <w:p>
            <w:pPr>
              <w:spacing w:after="0"/>
              <w:rPr>
                <w:sz w:val="17"/>
                <w:szCs w:val="17"/>
                <w:color w:val="auto"/>
              </w:rPr>
            </w:pPr>
          </w:p>
        </w:tc>
        <w:tc>
          <w:tcPr>
            <w:tcW w:w="74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244</w:t>
            </w:r>
          </w:p>
        </w:tc>
        <w:tc>
          <w:tcPr>
            <w:tcW w:w="260" w:type="dxa"/>
            <w:vAlign w:val="bottom"/>
            <w:tcBorders>
              <w:bottom w:val="single" w:sz="8" w:color="888B8D"/>
            </w:tcBorders>
          </w:tcPr>
          <w:p>
            <w:pPr>
              <w:spacing w:after="0"/>
              <w:rPr>
                <w:sz w:val="17"/>
                <w:szCs w:val="17"/>
                <w:color w:val="auto"/>
              </w:rPr>
            </w:pPr>
          </w:p>
        </w:tc>
        <w:tc>
          <w:tcPr>
            <w:tcW w:w="74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860</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1,266</w:t>
            </w:r>
          </w:p>
        </w:tc>
      </w:tr>
      <w:tr>
        <w:trPr>
          <w:trHeight w:val="196"/>
        </w:trPr>
        <w:tc>
          <w:tcPr>
            <w:tcW w:w="8480" w:type="dxa"/>
            <w:vAlign w:val="bottom"/>
            <w:tcBorders>
              <w:bottom w:val="single" w:sz="8" w:color="61656A"/>
            </w:tcBorders>
          </w:tcPr>
          <w:p>
            <w:pPr>
              <w:ind w:left="240"/>
              <w:spacing w:after="0"/>
              <w:rPr>
                <w:sz w:val="20"/>
                <w:szCs w:val="20"/>
                <w:color w:val="auto"/>
              </w:rPr>
            </w:pPr>
            <w:r>
              <w:rPr>
                <w:rFonts w:ascii="Arial" w:cs="Arial" w:eastAsia="Arial" w:hAnsi="Arial"/>
                <w:sz w:val="14"/>
                <w:szCs w:val="14"/>
                <w:color w:val="auto"/>
              </w:rPr>
              <w:t>Net payments for repositioning and other charges</w:t>
            </w:r>
          </w:p>
        </w:tc>
        <w:tc>
          <w:tcPr>
            <w:tcW w:w="14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(479)</w:t>
            </w: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(459)</w:t>
            </w:r>
          </w:p>
        </w:tc>
        <w:tc>
          <w:tcPr>
            <w:tcW w:w="28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(512)</w:t>
            </w:r>
          </w:p>
        </w:tc>
      </w:tr>
      <w:tr>
        <w:trPr>
          <w:trHeight w:val="196"/>
        </w:trPr>
        <w:tc>
          <w:tcPr>
            <w:tcW w:w="8480" w:type="dxa"/>
            <w:vAlign w:val="bottom"/>
            <w:tcBorders>
              <w:bottom w:val="single" w:sz="8" w:color="61656A"/>
            </w:tcBorders>
          </w:tcPr>
          <w:p>
            <w:pPr>
              <w:ind w:left="240"/>
              <w:spacing w:after="0"/>
              <w:rPr>
                <w:sz w:val="20"/>
                <w:szCs w:val="20"/>
                <w:color w:val="auto"/>
              </w:rPr>
            </w:pPr>
            <w:r>
              <w:rPr>
                <w:rFonts w:ascii="Arial" w:cs="Arial" w:eastAsia="Arial" w:hAnsi="Arial"/>
                <w:sz w:val="14"/>
                <w:szCs w:val="14"/>
                <w:color w:val="auto"/>
              </w:rPr>
              <w:t>NARCO Buyout payment</w:t>
            </w:r>
          </w:p>
        </w:tc>
        <w:tc>
          <w:tcPr>
            <w:tcW w:w="14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(1,325)</w:t>
            </w:r>
          </w:p>
        </w:tc>
        <w:tc>
          <w:tcPr>
            <w:tcW w:w="28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8480" w:type="dxa"/>
            <w:vAlign w:val="bottom"/>
            <w:tcBorders>
              <w:bottom w:val="single" w:sz="8" w:color="888B8D"/>
            </w:tcBorders>
          </w:tcPr>
          <w:p>
            <w:pPr>
              <w:ind w:left="240"/>
              <w:spacing w:after="0"/>
              <w:rPr>
                <w:sz w:val="20"/>
                <w:szCs w:val="20"/>
                <w:color w:val="auto"/>
              </w:rPr>
            </w:pPr>
            <w:r>
              <w:rPr>
                <w:rFonts w:ascii="Arial" w:cs="Arial" w:eastAsia="Arial" w:hAnsi="Arial"/>
                <w:sz w:val="14"/>
                <w:szCs w:val="14"/>
                <w:color w:val="auto"/>
              </w:rPr>
              <w:t>Pension and other postretirement income</w:t>
            </w:r>
          </w:p>
        </w:tc>
        <w:tc>
          <w:tcPr>
            <w:tcW w:w="140" w:type="dxa"/>
            <w:vAlign w:val="bottom"/>
            <w:tcBorders>
              <w:bottom w:val="single" w:sz="8" w:color="888B8D"/>
            </w:tcBorders>
          </w:tcPr>
          <w:p>
            <w:pPr>
              <w:spacing w:after="0"/>
              <w:rPr>
                <w:sz w:val="17"/>
                <w:szCs w:val="17"/>
                <w:color w:val="auto"/>
              </w:rPr>
            </w:pPr>
          </w:p>
        </w:tc>
        <w:tc>
          <w:tcPr>
            <w:tcW w:w="74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(476)</w:t>
            </w:r>
          </w:p>
        </w:tc>
        <w:tc>
          <w:tcPr>
            <w:tcW w:w="260" w:type="dxa"/>
            <w:vAlign w:val="bottom"/>
            <w:tcBorders>
              <w:bottom w:val="single" w:sz="8" w:color="888B8D"/>
            </w:tcBorders>
          </w:tcPr>
          <w:p>
            <w:pPr>
              <w:spacing w:after="0"/>
              <w:rPr>
                <w:sz w:val="17"/>
                <w:szCs w:val="17"/>
                <w:color w:val="auto"/>
              </w:rPr>
            </w:pPr>
          </w:p>
        </w:tc>
        <w:tc>
          <w:tcPr>
            <w:tcW w:w="74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(406)</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(510)</w:t>
            </w:r>
          </w:p>
        </w:tc>
      </w:tr>
      <w:tr>
        <w:trPr>
          <w:trHeight w:val="196"/>
        </w:trPr>
        <w:tc>
          <w:tcPr>
            <w:tcW w:w="8480" w:type="dxa"/>
            <w:vAlign w:val="bottom"/>
            <w:tcBorders>
              <w:bottom w:val="single" w:sz="8" w:color="888B8D"/>
            </w:tcBorders>
          </w:tcPr>
          <w:p>
            <w:pPr>
              <w:ind w:left="240"/>
              <w:spacing w:after="0"/>
              <w:rPr>
                <w:sz w:val="20"/>
                <w:szCs w:val="20"/>
                <w:color w:val="auto"/>
              </w:rPr>
            </w:pPr>
            <w:r>
              <w:rPr>
                <w:rFonts w:ascii="Arial" w:cs="Arial" w:eastAsia="Arial" w:hAnsi="Arial"/>
                <w:sz w:val="14"/>
                <w:szCs w:val="14"/>
                <w:color w:val="auto"/>
              </w:rPr>
              <w:t>Pension and other postretirement benefit payments</w:t>
            </w:r>
          </w:p>
        </w:tc>
        <w:tc>
          <w:tcPr>
            <w:tcW w:w="140" w:type="dxa"/>
            <w:vAlign w:val="bottom"/>
            <w:tcBorders>
              <w:bottom w:val="single" w:sz="8" w:color="888B8D"/>
            </w:tcBorders>
          </w:tcPr>
          <w:p>
            <w:pPr>
              <w:spacing w:after="0"/>
              <w:rPr>
                <w:sz w:val="17"/>
                <w:szCs w:val="17"/>
                <w:color w:val="auto"/>
              </w:rPr>
            </w:pPr>
          </w:p>
        </w:tc>
        <w:tc>
          <w:tcPr>
            <w:tcW w:w="74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(32)</w:t>
            </w:r>
          </w:p>
        </w:tc>
        <w:tc>
          <w:tcPr>
            <w:tcW w:w="260" w:type="dxa"/>
            <w:vAlign w:val="bottom"/>
            <w:tcBorders>
              <w:bottom w:val="single" w:sz="8" w:color="888B8D"/>
            </w:tcBorders>
          </w:tcPr>
          <w:p>
            <w:pPr>
              <w:spacing w:after="0"/>
              <w:rPr>
                <w:sz w:val="17"/>
                <w:szCs w:val="17"/>
                <w:color w:val="auto"/>
              </w:rPr>
            </w:pPr>
          </w:p>
        </w:tc>
        <w:tc>
          <w:tcPr>
            <w:tcW w:w="74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(38)</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(23)</w:t>
            </w:r>
          </w:p>
        </w:tc>
      </w:tr>
      <w:tr>
        <w:trPr>
          <w:trHeight w:val="196"/>
        </w:trPr>
        <w:tc>
          <w:tcPr>
            <w:tcW w:w="8480" w:type="dxa"/>
            <w:vAlign w:val="bottom"/>
            <w:tcBorders>
              <w:bottom w:val="single" w:sz="8" w:color="888B8D"/>
            </w:tcBorders>
          </w:tcPr>
          <w:p>
            <w:pPr>
              <w:ind w:left="240"/>
              <w:spacing w:after="0"/>
              <w:rPr>
                <w:sz w:val="20"/>
                <w:szCs w:val="20"/>
                <w:color w:val="auto"/>
              </w:rPr>
            </w:pPr>
            <w:r>
              <w:rPr>
                <w:rFonts w:ascii="Arial" w:cs="Arial" w:eastAsia="Arial" w:hAnsi="Arial"/>
                <w:sz w:val="14"/>
                <w:szCs w:val="14"/>
                <w:color w:val="auto"/>
              </w:rPr>
              <w:t>Stock compensation expense</w:t>
            </w:r>
          </w:p>
        </w:tc>
        <w:tc>
          <w:tcPr>
            <w:tcW w:w="140" w:type="dxa"/>
            <w:vAlign w:val="bottom"/>
            <w:tcBorders>
              <w:bottom w:val="single" w:sz="8" w:color="888B8D"/>
            </w:tcBorders>
          </w:tcPr>
          <w:p>
            <w:pPr>
              <w:spacing w:after="0"/>
              <w:rPr>
                <w:sz w:val="17"/>
                <w:szCs w:val="17"/>
                <w:color w:val="auto"/>
              </w:rPr>
            </w:pPr>
          </w:p>
        </w:tc>
        <w:tc>
          <w:tcPr>
            <w:tcW w:w="74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194</w:t>
            </w:r>
          </w:p>
        </w:tc>
        <w:tc>
          <w:tcPr>
            <w:tcW w:w="260" w:type="dxa"/>
            <w:vAlign w:val="bottom"/>
            <w:tcBorders>
              <w:bottom w:val="single" w:sz="8" w:color="888B8D"/>
            </w:tcBorders>
          </w:tcPr>
          <w:p>
            <w:pPr>
              <w:spacing w:after="0"/>
              <w:rPr>
                <w:sz w:val="17"/>
                <w:szCs w:val="17"/>
                <w:color w:val="auto"/>
              </w:rPr>
            </w:pPr>
          </w:p>
        </w:tc>
        <w:tc>
          <w:tcPr>
            <w:tcW w:w="74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202</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188</w:t>
            </w:r>
          </w:p>
        </w:tc>
      </w:tr>
      <w:tr>
        <w:trPr>
          <w:trHeight w:val="196"/>
        </w:trPr>
        <w:tc>
          <w:tcPr>
            <w:tcW w:w="8480" w:type="dxa"/>
            <w:vAlign w:val="bottom"/>
            <w:tcBorders>
              <w:bottom w:val="single" w:sz="8" w:color="888B8D"/>
            </w:tcBorders>
          </w:tcPr>
          <w:p>
            <w:pPr>
              <w:ind w:left="240"/>
              <w:spacing w:after="0"/>
              <w:rPr>
                <w:sz w:val="20"/>
                <w:szCs w:val="20"/>
                <w:color w:val="auto"/>
              </w:rPr>
            </w:pPr>
            <w:r>
              <w:rPr>
                <w:rFonts w:ascii="Arial" w:cs="Arial" w:eastAsia="Arial" w:hAnsi="Arial"/>
                <w:sz w:val="14"/>
                <w:szCs w:val="14"/>
                <w:color w:val="auto"/>
              </w:rPr>
              <w:t>Deferred income taxes</w:t>
            </w:r>
          </w:p>
        </w:tc>
        <w:tc>
          <w:tcPr>
            <w:tcW w:w="140" w:type="dxa"/>
            <w:vAlign w:val="bottom"/>
            <w:tcBorders>
              <w:bottom w:val="single" w:sz="8" w:color="888B8D"/>
            </w:tcBorders>
          </w:tcPr>
          <w:p>
            <w:pPr>
              <w:spacing w:after="0"/>
              <w:rPr>
                <w:sz w:val="17"/>
                <w:szCs w:val="17"/>
                <w:color w:val="auto"/>
              </w:rPr>
            </w:pPr>
          </w:p>
        </w:tc>
        <w:tc>
          <w:tcPr>
            <w:tcW w:w="74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(233)</w:t>
            </w:r>
          </w:p>
        </w:tc>
        <w:tc>
          <w:tcPr>
            <w:tcW w:w="260" w:type="dxa"/>
            <w:vAlign w:val="bottom"/>
            <w:tcBorders>
              <w:bottom w:val="single" w:sz="8" w:color="888B8D"/>
            </w:tcBorders>
          </w:tcPr>
          <w:p>
            <w:pPr>
              <w:spacing w:after="0"/>
              <w:rPr>
                <w:sz w:val="17"/>
                <w:szCs w:val="17"/>
                <w:color w:val="auto"/>
              </w:rPr>
            </w:pPr>
          </w:p>
        </w:tc>
        <w:tc>
          <w:tcPr>
            <w:tcW w:w="74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153</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(180)</w:t>
            </w:r>
          </w:p>
        </w:tc>
      </w:tr>
      <w:tr>
        <w:trPr>
          <w:trHeight w:val="196"/>
        </w:trPr>
        <w:tc>
          <w:tcPr>
            <w:tcW w:w="8480" w:type="dxa"/>
            <w:vAlign w:val="bottom"/>
            <w:tcBorders>
              <w:bottom w:val="single" w:sz="8" w:color="888B8D"/>
            </w:tcBorders>
          </w:tcPr>
          <w:p>
            <w:pPr>
              <w:ind w:left="240"/>
              <w:spacing w:after="0"/>
              <w:rPr>
                <w:sz w:val="20"/>
                <w:szCs w:val="20"/>
                <w:color w:val="auto"/>
              </w:rPr>
            </w:pPr>
            <w:r>
              <w:rPr>
                <w:rFonts w:ascii="Arial" w:cs="Arial" w:eastAsia="Arial" w:hAnsi="Arial"/>
                <w:sz w:val="14"/>
                <w:szCs w:val="14"/>
                <w:color w:val="auto"/>
              </w:rPr>
              <w:t>Other</w:t>
            </w:r>
          </w:p>
        </w:tc>
        <w:tc>
          <w:tcPr>
            <w:tcW w:w="140" w:type="dxa"/>
            <w:vAlign w:val="bottom"/>
            <w:tcBorders>
              <w:bottom w:val="single" w:sz="8" w:color="888B8D"/>
            </w:tcBorders>
          </w:tcPr>
          <w:p>
            <w:pPr>
              <w:spacing w:after="0"/>
              <w:rPr>
                <w:sz w:val="17"/>
                <w:szCs w:val="17"/>
                <w:color w:val="auto"/>
              </w:rPr>
            </w:pPr>
          </w:p>
        </w:tc>
        <w:tc>
          <w:tcPr>
            <w:tcW w:w="74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(617)</w:t>
            </w:r>
          </w:p>
        </w:tc>
        <w:tc>
          <w:tcPr>
            <w:tcW w:w="260" w:type="dxa"/>
            <w:vAlign w:val="bottom"/>
            <w:tcBorders>
              <w:bottom w:val="single" w:sz="8" w:color="888B8D"/>
            </w:tcBorders>
          </w:tcPr>
          <w:p>
            <w:pPr>
              <w:spacing w:after="0"/>
              <w:rPr>
                <w:sz w:val="17"/>
                <w:szCs w:val="17"/>
                <w:color w:val="auto"/>
              </w:rPr>
            </w:pPr>
          </w:p>
        </w:tc>
        <w:tc>
          <w:tcPr>
            <w:tcW w:w="74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(837)</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(358)</w:t>
            </w:r>
          </w:p>
        </w:tc>
      </w:tr>
      <w:tr>
        <w:trPr>
          <w:trHeight w:val="196"/>
        </w:trPr>
        <w:tc>
          <w:tcPr>
            <w:tcW w:w="8480" w:type="dxa"/>
            <w:vAlign w:val="bottom"/>
            <w:tcBorders>
              <w:bottom w:val="single" w:sz="8" w:color="888B8D"/>
            </w:tcBorders>
          </w:tcPr>
          <w:p>
            <w:pPr>
              <w:ind w:left="240"/>
              <w:spacing w:after="0"/>
              <w:rPr>
                <w:sz w:val="20"/>
                <w:szCs w:val="20"/>
                <w:color w:val="auto"/>
              </w:rPr>
            </w:pPr>
            <w:r>
              <w:rPr>
                <w:rFonts w:ascii="Arial" w:cs="Arial" w:eastAsia="Arial" w:hAnsi="Arial"/>
                <w:sz w:val="14"/>
                <w:szCs w:val="14"/>
                <w:color w:val="auto"/>
              </w:rPr>
              <w:t>Changes in assets and liabilities, net of the effects of acquisitions and divestitures</w:t>
            </w:r>
          </w:p>
        </w:tc>
        <w:tc>
          <w:tcPr>
            <w:tcW w:w="140" w:type="dxa"/>
            <w:vAlign w:val="bottom"/>
            <w:tcBorders>
              <w:bottom w:val="single" w:sz="8" w:color="888B8D"/>
            </w:tcBorders>
          </w:tcPr>
          <w:p>
            <w:pPr>
              <w:spacing w:after="0"/>
              <w:rPr>
                <w:sz w:val="17"/>
                <w:szCs w:val="17"/>
                <w:color w:val="auto"/>
              </w:rPr>
            </w:pPr>
          </w:p>
        </w:tc>
        <w:tc>
          <w:tcPr>
            <w:tcW w:w="740" w:type="dxa"/>
            <w:vAlign w:val="bottom"/>
            <w:tcBorders>
              <w:bottom w:val="single" w:sz="8" w:color="888B8D"/>
            </w:tcBorders>
          </w:tcPr>
          <w:p>
            <w:pPr>
              <w:spacing w:after="0"/>
              <w:rPr>
                <w:sz w:val="17"/>
                <w:szCs w:val="17"/>
                <w:color w:val="auto"/>
              </w:rPr>
            </w:pPr>
          </w:p>
        </w:tc>
        <w:tc>
          <w:tcPr>
            <w:tcW w:w="260" w:type="dxa"/>
            <w:vAlign w:val="bottom"/>
            <w:tcBorders>
              <w:bottom w:val="single" w:sz="8" w:color="888B8D"/>
            </w:tcBorders>
          </w:tcPr>
          <w:p>
            <w:pPr>
              <w:spacing w:after="0"/>
              <w:rPr>
                <w:sz w:val="17"/>
                <w:szCs w:val="17"/>
                <w:color w:val="auto"/>
              </w:rPr>
            </w:pPr>
          </w:p>
        </w:tc>
        <w:tc>
          <w:tcPr>
            <w:tcW w:w="740" w:type="dxa"/>
            <w:vAlign w:val="bottom"/>
            <w:tcBorders>
              <w:bottom w:val="single" w:sz="8" w:color="888B8D"/>
            </w:tcBorders>
          </w:tcPr>
          <w:p>
            <w:pPr>
              <w:spacing w:after="0"/>
              <w:rPr>
                <w:sz w:val="17"/>
                <w:szCs w:val="17"/>
                <w:color w:val="auto"/>
              </w:rPr>
            </w:pP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spacing w:after="0"/>
              <w:rPr>
                <w:sz w:val="17"/>
                <w:szCs w:val="17"/>
                <w:color w:val="auto"/>
              </w:rPr>
            </w:pPr>
          </w:p>
        </w:tc>
      </w:tr>
      <w:tr>
        <w:trPr>
          <w:trHeight w:val="196"/>
        </w:trPr>
        <w:tc>
          <w:tcPr>
            <w:tcW w:w="8480" w:type="dxa"/>
            <w:vAlign w:val="bottom"/>
            <w:tcBorders>
              <w:bottom w:val="single" w:sz="8" w:color="888B8D"/>
            </w:tcBorders>
          </w:tcPr>
          <w:p>
            <w:pPr>
              <w:ind w:left="360"/>
              <w:spacing w:after="0"/>
              <w:rPr>
                <w:sz w:val="20"/>
                <w:szCs w:val="20"/>
                <w:color w:val="auto"/>
              </w:rPr>
            </w:pPr>
            <w:r>
              <w:rPr>
                <w:rFonts w:ascii="Arial" w:cs="Arial" w:eastAsia="Arial" w:hAnsi="Arial"/>
                <w:sz w:val="14"/>
                <w:szCs w:val="14"/>
                <w:color w:val="auto"/>
              </w:rPr>
              <w:t>Accounts receivable</w:t>
            </w:r>
          </w:p>
        </w:tc>
        <w:tc>
          <w:tcPr>
            <w:tcW w:w="140" w:type="dxa"/>
            <w:vAlign w:val="bottom"/>
            <w:tcBorders>
              <w:bottom w:val="single" w:sz="8" w:color="888B8D"/>
            </w:tcBorders>
          </w:tcPr>
          <w:p>
            <w:pPr>
              <w:spacing w:after="0"/>
              <w:rPr>
                <w:sz w:val="17"/>
                <w:szCs w:val="17"/>
                <w:color w:val="auto"/>
              </w:rPr>
            </w:pPr>
          </w:p>
        </w:tc>
        <w:tc>
          <w:tcPr>
            <w:tcW w:w="74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(96)</w:t>
            </w:r>
          </w:p>
        </w:tc>
        <w:tc>
          <w:tcPr>
            <w:tcW w:w="260" w:type="dxa"/>
            <w:vAlign w:val="bottom"/>
            <w:tcBorders>
              <w:bottom w:val="single" w:sz="8" w:color="888B8D"/>
            </w:tcBorders>
          </w:tcPr>
          <w:p>
            <w:pPr>
              <w:spacing w:after="0"/>
              <w:rPr>
                <w:sz w:val="17"/>
                <w:szCs w:val="17"/>
                <w:color w:val="auto"/>
              </w:rPr>
            </w:pPr>
          </w:p>
        </w:tc>
        <w:tc>
          <w:tcPr>
            <w:tcW w:w="74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(42)</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(739)</w:t>
            </w:r>
          </w:p>
        </w:tc>
      </w:tr>
      <w:tr>
        <w:trPr>
          <w:trHeight w:val="196"/>
        </w:trPr>
        <w:tc>
          <w:tcPr>
            <w:tcW w:w="8480" w:type="dxa"/>
            <w:vAlign w:val="bottom"/>
            <w:tcBorders>
              <w:bottom w:val="single" w:sz="8" w:color="888B8D"/>
            </w:tcBorders>
          </w:tcPr>
          <w:p>
            <w:pPr>
              <w:ind w:left="360"/>
              <w:spacing w:after="0"/>
              <w:rPr>
                <w:sz w:val="20"/>
                <w:szCs w:val="20"/>
                <w:color w:val="auto"/>
              </w:rPr>
            </w:pPr>
            <w:r>
              <w:rPr>
                <w:rFonts w:ascii="Arial" w:cs="Arial" w:eastAsia="Arial" w:hAnsi="Arial"/>
                <w:sz w:val="14"/>
                <w:szCs w:val="14"/>
                <w:color w:val="auto"/>
              </w:rPr>
              <w:t>Inventories</w:t>
            </w:r>
          </w:p>
        </w:tc>
        <w:tc>
          <w:tcPr>
            <w:tcW w:w="140" w:type="dxa"/>
            <w:vAlign w:val="bottom"/>
            <w:tcBorders>
              <w:bottom w:val="single" w:sz="8" w:color="888B8D"/>
            </w:tcBorders>
          </w:tcPr>
          <w:p>
            <w:pPr>
              <w:spacing w:after="0"/>
              <w:rPr>
                <w:sz w:val="17"/>
                <w:szCs w:val="17"/>
                <w:color w:val="auto"/>
              </w:rPr>
            </w:pPr>
          </w:p>
        </w:tc>
        <w:tc>
          <w:tcPr>
            <w:tcW w:w="74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(304)</w:t>
            </w:r>
          </w:p>
        </w:tc>
        <w:tc>
          <w:tcPr>
            <w:tcW w:w="260" w:type="dxa"/>
            <w:vAlign w:val="bottom"/>
            <w:tcBorders>
              <w:bottom w:val="single" w:sz="8" w:color="888B8D"/>
            </w:tcBorders>
          </w:tcPr>
          <w:p>
            <w:pPr>
              <w:spacing w:after="0"/>
              <w:rPr>
                <w:sz w:val="17"/>
                <w:szCs w:val="17"/>
                <w:color w:val="auto"/>
              </w:rPr>
            </w:pPr>
          </w:p>
        </w:tc>
        <w:tc>
          <w:tcPr>
            <w:tcW w:w="74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(626)</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(440)</w:t>
            </w:r>
          </w:p>
        </w:tc>
      </w:tr>
      <w:tr>
        <w:trPr>
          <w:trHeight w:val="196"/>
        </w:trPr>
        <w:tc>
          <w:tcPr>
            <w:tcW w:w="8480" w:type="dxa"/>
            <w:vAlign w:val="bottom"/>
            <w:tcBorders>
              <w:bottom w:val="single" w:sz="8" w:color="888B8D"/>
            </w:tcBorders>
          </w:tcPr>
          <w:p>
            <w:pPr>
              <w:ind w:left="360"/>
              <w:spacing w:after="0"/>
              <w:rPr>
                <w:sz w:val="20"/>
                <w:szCs w:val="20"/>
                <w:color w:val="auto"/>
              </w:rPr>
            </w:pPr>
            <w:r>
              <w:rPr>
                <w:rFonts w:ascii="Arial" w:cs="Arial" w:eastAsia="Arial" w:hAnsi="Arial"/>
                <w:sz w:val="14"/>
                <w:szCs w:val="14"/>
                <w:color w:val="auto"/>
              </w:rPr>
              <w:t>Other current assets</w:t>
            </w:r>
          </w:p>
        </w:tc>
        <w:tc>
          <w:tcPr>
            <w:tcW w:w="140" w:type="dxa"/>
            <w:vAlign w:val="bottom"/>
            <w:tcBorders>
              <w:bottom w:val="single" w:sz="8" w:color="888B8D"/>
            </w:tcBorders>
          </w:tcPr>
          <w:p>
            <w:pPr>
              <w:spacing w:after="0"/>
              <w:rPr>
                <w:sz w:val="17"/>
                <w:szCs w:val="17"/>
                <w:color w:val="auto"/>
              </w:rPr>
            </w:pPr>
          </w:p>
        </w:tc>
        <w:tc>
          <w:tcPr>
            <w:tcW w:w="74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371</w:t>
            </w:r>
          </w:p>
        </w:tc>
        <w:tc>
          <w:tcPr>
            <w:tcW w:w="260" w:type="dxa"/>
            <w:vAlign w:val="bottom"/>
            <w:tcBorders>
              <w:bottom w:val="single" w:sz="8" w:color="888B8D"/>
            </w:tcBorders>
          </w:tcPr>
          <w:p>
            <w:pPr>
              <w:spacing w:after="0"/>
              <w:rPr>
                <w:sz w:val="17"/>
                <w:szCs w:val="17"/>
                <w:color w:val="auto"/>
              </w:rPr>
            </w:pPr>
          </w:p>
        </w:tc>
        <w:tc>
          <w:tcPr>
            <w:tcW w:w="74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17</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232</w:t>
            </w:r>
          </w:p>
        </w:tc>
      </w:tr>
      <w:tr>
        <w:trPr>
          <w:trHeight w:val="196"/>
        </w:trPr>
        <w:tc>
          <w:tcPr>
            <w:tcW w:w="8480" w:type="dxa"/>
            <w:vAlign w:val="bottom"/>
            <w:tcBorders>
              <w:bottom w:val="single" w:sz="8" w:color="888B8D"/>
            </w:tcBorders>
          </w:tcPr>
          <w:p>
            <w:pPr>
              <w:ind w:left="360"/>
              <w:spacing w:after="0"/>
              <w:rPr>
                <w:sz w:val="20"/>
                <w:szCs w:val="20"/>
                <w:color w:val="auto"/>
              </w:rPr>
            </w:pPr>
            <w:r>
              <w:rPr>
                <w:rFonts w:ascii="Arial" w:cs="Arial" w:eastAsia="Arial" w:hAnsi="Arial"/>
                <w:sz w:val="14"/>
                <w:szCs w:val="14"/>
                <w:color w:val="auto"/>
              </w:rPr>
              <w:t>Accounts payable</w:t>
            </w:r>
          </w:p>
        </w:tc>
        <w:tc>
          <w:tcPr>
            <w:tcW w:w="140" w:type="dxa"/>
            <w:vAlign w:val="bottom"/>
            <w:tcBorders>
              <w:bottom w:val="single" w:sz="8" w:color="888B8D"/>
            </w:tcBorders>
          </w:tcPr>
          <w:p>
            <w:pPr>
              <w:spacing w:after="0"/>
              <w:rPr>
                <w:sz w:val="17"/>
                <w:szCs w:val="17"/>
                <w:color w:val="auto"/>
              </w:rPr>
            </w:pPr>
          </w:p>
        </w:tc>
        <w:tc>
          <w:tcPr>
            <w:tcW w:w="74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95</w:t>
            </w:r>
          </w:p>
        </w:tc>
        <w:tc>
          <w:tcPr>
            <w:tcW w:w="260" w:type="dxa"/>
            <w:vAlign w:val="bottom"/>
            <w:tcBorders>
              <w:bottom w:val="single" w:sz="8" w:color="888B8D"/>
            </w:tcBorders>
          </w:tcPr>
          <w:p>
            <w:pPr>
              <w:spacing w:after="0"/>
              <w:rPr>
                <w:sz w:val="17"/>
                <w:szCs w:val="17"/>
                <w:color w:val="auto"/>
              </w:rPr>
            </w:pPr>
          </w:p>
        </w:tc>
        <w:tc>
          <w:tcPr>
            <w:tcW w:w="74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518</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(155)</w:t>
            </w:r>
          </w:p>
        </w:tc>
      </w:tr>
      <w:tr>
        <w:trPr>
          <w:trHeight w:val="196"/>
        </w:trPr>
        <w:tc>
          <w:tcPr>
            <w:tcW w:w="8480" w:type="dxa"/>
            <w:vAlign w:val="bottom"/>
            <w:tcBorders>
              <w:bottom w:val="single" w:sz="8" w:color="D7282F"/>
            </w:tcBorders>
          </w:tcPr>
          <w:p>
            <w:pPr>
              <w:ind w:left="360"/>
              <w:spacing w:after="0"/>
              <w:rPr>
                <w:sz w:val="20"/>
                <w:szCs w:val="20"/>
                <w:color w:val="auto"/>
              </w:rPr>
            </w:pPr>
            <w:r>
              <w:rPr>
                <w:rFonts w:ascii="Arial" w:cs="Arial" w:eastAsia="Arial" w:hAnsi="Arial"/>
                <w:sz w:val="14"/>
                <w:szCs w:val="14"/>
                <w:color w:val="auto"/>
              </w:rPr>
              <w:t>Accrued liabilities</w:t>
            </w:r>
          </w:p>
        </w:tc>
        <w:tc>
          <w:tcPr>
            <w:tcW w:w="14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171</w:t>
            </w:r>
          </w:p>
        </w:tc>
        <w:tc>
          <w:tcPr>
            <w:tcW w:w="26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494</w:t>
            </w:r>
          </w:p>
        </w:tc>
        <w:tc>
          <w:tcPr>
            <w:tcW w:w="28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357</w:t>
            </w:r>
          </w:p>
        </w:tc>
      </w:tr>
      <w:tr>
        <w:trPr>
          <w:trHeight w:val="199"/>
        </w:trPr>
        <w:tc>
          <w:tcPr>
            <w:tcW w:w="8480" w:type="dxa"/>
            <w:vAlign w:val="bottom"/>
            <w:tcBorders>
              <w:bottom w:val="single" w:sz="8" w:color="D7282F"/>
            </w:tcBorders>
          </w:tcPr>
          <w:p>
            <w:pPr>
              <w:ind w:left="460"/>
              <w:spacing w:after="0"/>
              <w:rPr>
                <w:sz w:val="20"/>
                <w:szCs w:val="20"/>
                <w:color w:val="auto"/>
              </w:rPr>
            </w:pPr>
            <w:r>
              <w:rPr>
                <w:rFonts w:ascii="Arial" w:cs="Arial" w:eastAsia="Arial" w:hAnsi="Arial"/>
                <w:sz w:val="14"/>
                <w:szCs w:val="14"/>
                <w:b w:val="1"/>
                <w:bCs w:val="1"/>
                <w:color w:val="auto"/>
              </w:rPr>
              <w:t>Net cash provided by operating activities</w:t>
            </w:r>
          </w:p>
        </w:tc>
        <w:tc>
          <w:tcPr>
            <w:tcW w:w="14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6,097</w:t>
            </w:r>
          </w:p>
        </w:tc>
        <w:tc>
          <w:tcPr>
            <w:tcW w:w="26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5,340</w:t>
            </w:r>
          </w:p>
        </w:tc>
        <w:tc>
          <w:tcPr>
            <w:tcW w:w="28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5,274</w:t>
            </w:r>
          </w:p>
        </w:tc>
      </w:tr>
      <w:tr>
        <w:trPr>
          <w:trHeight w:val="196"/>
        </w:trPr>
        <w:tc>
          <w:tcPr>
            <w:tcW w:w="8480" w:type="dxa"/>
            <w:vAlign w:val="bottom"/>
            <w:tcBorders>
              <w:bottom w:val="single" w:sz="8" w:color="888B8D"/>
            </w:tcBorders>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140" w:type="dxa"/>
            <w:vAlign w:val="bottom"/>
            <w:tcBorders>
              <w:bottom w:val="single" w:sz="8" w:color="888B8D"/>
            </w:tcBorders>
          </w:tcPr>
          <w:p>
            <w:pPr>
              <w:spacing w:after="0"/>
              <w:rPr>
                <w:sz w:val="17"/>
                <w:szCs w:val="17"/>
                <w:color w:val="auto"/>
              </w:rPr>
            </w:pPr>
          </w:p>
        </w:tc>
        <w:tc>
          <w:tcPr>
            <w:tcW w:w="740" w:type="dxa"/>
            <w:vAlign w:val="bottom"/>
            <w:tcBorders>
              <w:bottom w:val="single" w:sz="8" w:color="888B8D"/>
            </w:tcBorders>
          </w:tcPr>
          <w:p>
            <w:pPr>
              <w:spacing w:after="0"/>
              <w:rPr>
                <w:sz w:val="17"/>
                <w:szCs w:val="17"/>
                <w:color w:val="auto"/>
              </w:rPr>
            </w:pPr>
          </w:p>
        </w:tc>
        <w:tc>
          <w:tcPr>
            <w:tcW w:w="260" w:type="dxa"/>
            <w:vAlign w:val="bottom"/>
            <w:tcBorders>
              <w:bottom w:val="single" w:sz="8" w:color="888B8D"/>
            </w:tcBorders>
          </w:tcPr>
          <w:p>
            <w:pPr>
              <w:spacing w:after="0"/>
              <w:rPr>
                <w:sz w:val="17"/>
                <w:szCs w:val="17"/>
                <w:color w:val="auto"/>
              </w:rPr>
            </w:pPr>
          </w:p>
        </w:tc>
        <w:tc>
          <w:tcPr>
            <w:tcW w:w="740" w:type="dxa"/>
            <w:vAlign w:val="bottom"/>
            <w:tcBorders>
              <w:bottom w:val="single" w:sz="8" w:color="888B8D"/>
            </w:tcBorders>
          </w:tcPr>
          <w:p>
            <w:pPr>
              <w:spacing w:after="0"/>
              <w:rPr>
                <w:sz w:val="17"/>
                <w:szCs w:val="17"/>
                <w:color w:val="auto"/>
              </w:rPr>
            </w:pP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spacing w:after="0"/>
              <w:rPr>
                <w:sz w:val="17"/>
                <w:szCs w:val="17"/>
                <w:color w:val="auto"/>
              </w:rPr>
            </w:pPr>
          </w:p>
        </w:tc>
      </w:tr>
      <w:tr>
        <w:trPr>
          <w:trHeight w:val="193"/>
        </w:trPr>
        <w:tc>
          <w:tcPr>
            <w:tcW w:w="848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Capital expenditures</w:t>
            </w:r>
          </w:p>
        </w:tc>
        <w:tc>
          <w:tcPr>
            <w:tcW w:w="140" w:type="dxa"/>
            <w:vAlign w:val="bottom"/>
            <w:tcBorders>
              <w:bottom w:val="single" w:sz="8" w:color="888B8D"/>
            </w:tcBorders>
          </w:tcPr>
          <w:p>
            <w:pPr>
              <w:spacing w:after="0"/>
              <w:rPr>
                <w:sz w:val="16"/>
                <w:szCs w:val="16"/>
                <w:color w:val="auto"/>
              </w:rPr>
            </w:pPr>
          </w:p>
        </w:tc>
        <w:tc>
          <w:tcPr>
            <w:tcW w:w="74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(1,164)</w:t>
            </w:r>
          </w:p>
        </w:tc>
        <w:tc>
          <w:tcPr>
            <w:tcW w:w="260" w:type="dxa"/>
            <w:vAlign w:val="bottom"/>
            <w:tcBorders>
              <w:bottom w:val="single" w:sz="8" w:color="888B8D"/>
            </w:tcBorders>
          </w:tcPr>
          <w:p>
            <w:pPr>
              <w:spacing w:after="0"/>
              <w:rPr>
                <w:sz w:val="16"/>
                <w:szCs w:val="16"/>
                <w:color w:val="auto"/>
              </w:rPr>
            </w:pPr>
          </w:p>
        </w:tc>
        <w:tc>
          <w:tcPr>
            <w:tcW w:w="74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(1,039)</w:t>
            </w:r>
          </w:p>
        </w:tc>
        <w:tc>
          <w:tcPr>
            <w:tcW w:w="280" w:type="dxa"/>
            <w:vAlign w:val="bottom"/>
            <w:tcBorders>
              <w:bottom w:val="single" w:sz="8" w:color="888B8D"/>
            </w:tcBorders>
          </w:tcPr>
          <w:p>
            <w:pPr>
              <w:spacing w:after="0"/>
              <w:rPr>
                <w:sz w:val="16"/>
                <w:szCs w:val="16"/>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(766)</w:t>
            </w:r>
          </w:p>
        </w:tc>
      </w:tr>
      <w:tr>
        <w:trPr>
          <w:trHeight w:val="196"/>
        </w:trPr>
        <w:tc>
          <w:tcPr>
            <w:tcW w:w="848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Proceeds from disposals of property, plant and equipment</w:t>
            </w:r>
          </w:p>
        </w:tc>
        <w:tc>
          <w:tcPr>
            <w:tcW w:w="140" w:type="dxa"/>
            <w:vAlign w:val="bottom"/>
            <w:tcBorders>
              <w:bottom w:val="single" w:sz="8" w:color="888B8D"/>
            </w:tcBorders>
          </w:tcPr>
          <w:p>
            <w:pPr>
              <w:spacing w:after="0"/>
              <w:rPr>
                <w:sz w:val="17"/>
                <w:szCs w:val="17"/>
                <w:color w:val="auto"/>
              </w:rPr>
            </w:pPr>
          </w:p>
        </w:tc>
        <w:tc>
          <w:tcPr>
            <w:tcW w:w="74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888B8D"/>
            </w:tcBorders>
          </w:tcPr>
          <w:p>
            <w:pPr>
              <w:spacing w:after="0"/>
              <w:rPr>
                <w:sz w:val="17"/>
                <w:szCs w:val="17"/>
                <w:color w:val="auto"/>
              </w:rPr>
            </w:pPr>
          </w:p>
        </w:tc>
        <w:tc>
          <w:tcPr>
            <w:tcW w:w="74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43</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29</w:t>
            </w:r>
          </w:p>
        </w:tc>
      </w:tr>
      <w:tr>
        <w:trPr>
          <w:trHeight w:val="196"/>
        </w:trPr>
        <w:tc>
          <w:tcPr>
            <w:tcW w:w="848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Increase in investments</w:t>
            </w:r>
          </w:p>
        </w:tc>
        <w:tc>
          <w:tcPr>
            <w:tcW w:w="140" w:type="dxa"/>
            <w:vAlign w:val="bottom"/>
            <w:tcBorders>
              <w:bottom w:val="single" w:sz="8" w:color="888B8D"/>
            </w:tcBorders>
          </w:tcPr>
          <w:p>
            <w:pPr>
              <w:spacing w:after="0"/>
              <w:rPr>
                <w:sz w:val="17"/>
                <w:szCs w:val="17"/>
                <w:color w:val="auto"/>
              </w:rPr>
            </w:pPr>
          </w:p>
        </w:tc>
        <w:tc>
          <w:tcPr>
            <w:tcW w:w="74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(1,077)</w:t>
            </w:r>
          </w:p>
        </w:tc>
        <w:tc>
          <w:tcPr>
            <w:tcW w:w="260" w:type="dxa"/>
            <w:vAlign w:val="bottom"/>
            <w:tcBorders>
              <w:bottom w:val="single" w:sz="8" w:color="888B8D"/>
            </w:tcBorders>
          </w:tcPr>
          <w:p>
            <w:pPr>
              <w:spacing w:after="0"/>
              <w:rPr>
                <w:sz w:val="17"/>
                <w:szCs w:val="17"/>
                <w:color w:val="auto"/>
              </w:rPr>
            </w:pPr>
          </w:p>
        </w:tc>
        <w:tc>
          <w:tcPr>
            <w:tcW w:w="74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(560)</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(1,211)</w:t>
            </w:r>
          </w:p>
        </w:tc>
      </w:tr>
      <w:tr>
        <w:trPr>
          <w:trHeight w:val="196"/>
        </w:trPr>
        <w:tc>
          <w:tcPr>
            <w:tcW w:w="848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Decrease in investments</w:t>
            </w:r>
          </w:p>
        </w:tc>
        <w:tc>
          <w:tcPr>
            <w:tcW w:w="140" w:type="dxa"/>
            <w:vAlign w:val="bottom"/>
            <w:tcBorders>
              <w:bottom w:val="single" w:sz="8" w:color="888B8D"/>
            </w:tcBorders>
          </w:tcPr>
          <w:p>
            <w:pPr>
              <w:spacing w:after="0"/>
              <w:rPr>
                <w:sz w:val="17"/>
                <w:szCs w:val="17"/>
                <w:color w:val="auto"/>
              </w:rPr>
            </w:pPr>
          </w:p>
        </w:tc>
        <w:tc>
          <w:tcPr>
            <w:tcW w:w="74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870</w:t>
            </w:r>
          </w:p>
        </w:tc>
        <w:tc>
          <w:tcPr>
            <w:tcW w:w="260" w:type="dxa"/>
            <w:vAlign w:val="bottom"/>
            <w:tcBorders>
              <w:bottom w:val="single" w:sz="8" w:color="888B8D"/>
            </w:tcBorders>
          </w:tcPr>
          <w:p>
            <w:pPr>
              <w:spacing w:after="0"/>
              <w:rPr>
                <w:sz w:val="17"/>
                <w:szCs w:val="17"/>
                <w:color w:val="auto"/>
              </w:rPr>
            </w:pPr>
          </w:p>
        </w:tc>
        <w:tc>
          <w:tcPr>
            <w:tcW w:w="74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971</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1,255</w:t>
            </w:r>
          </w:p>
        </w:tc>
      </w:tr>
      <w:tr>
        <w:trPr>
          <w:trHeight w:val="196"/>
        </w:trPr>
        <w:tc>
          <w:tcPr>
            <w:tcW w:w="848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Receipts from Garrett Motion Inc.</w:t>
            </w:r>
          </w:p>
        </w:tc>
        <w:tc>
          <w:tcPr>
            <w:tcW w:w="140" w:type="dxa"/>
            <w:vAlign w:val="bottom"/>
            <w:tcBorders>
              <w:bottom w:val="single" w:sz="8" w:color="888B8D"/>
            </w:tcBorders>
          </w:tcPr>
          <w:p>
            <w:pPr>
              <w:spacing w:after="0"/>
              <w:rPr>
                <w:sz w:val="17"/>
                <w:szCs w:val="17"/>
                <w:color w:val="auto"/>
              </w:rPr>
            </w:pPr>
          </w:p>
        </w:tc>
        <w:tc>
          <w:tcPr>
            <w:tcW w:w="74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888B8D"/>
            </w:tcBorders>
          </w:tcPr>
          <w:p>
            <w:pPr>
              <w:spacing w:after="0"/>
              <w:rPr>
                <w:sz w:val="17"/>
                <w:szCs w:val="17"/>
                <w:color w:val="auto"/>
              </w:rPr>
            </w:pPr>
          </w:p>
        </w:tc>
        <w:tc>
          <w:tcPr>
            <w:tcW w:w="74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409</w:t>
            </w:r>
          </w:p>
        </w:tc>
      </w:tr>
      <w:tr>
        <w:trPr>
          <w:trHeight w:val="196"/>
        </w:trPr>
        <w:tc>
          <w:tcPr>
            <w:tcW w:w="848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Receipts from settlements of derivative contracts</w:t>
            </w:r>
          </w:p>
        </w:tc>
        <w:tc>
          <w:tcPr>
            <w:tcW w:w="140" w:type="dxa"/>
            <w:vAlign w:val="bottom"/>
            <w:tcBorders>
              <w:bottom w:val="single" w:sz="8" w:color="888B8D"/>
            </w:tcBorders>
          </w:tcPr>
          <w:p>
            <w:pPr>
              <w:spacing w:after="0"/>
              <w:rPr>
                <w:sz w:val="17"/>
                <w:szCs w:val="17"/>
                <w:color w:val="auto"/>
              </w:rPr>
            </w:pPr>
          </w:p>
        </w:tc>
        <w:tc>
          <w:tcPr>
            <w:tcW w:w="74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94</w:t>
            </w:r>
          </w:p>
        </w:tc>
        <w:tc>
          <w:tcPr>
            <w:tcW w:w="260" w:type="dxa"/>
            <w:vAlign w:val="bottom"/>
            <w:tcBorders>
              <w:bottom w:val="single" w:sz="8" w:color="888B8D"/>
            </w:tcBorders>
          </w:tcPr>
          <w:p>
            <w:pPr>
              <w:spacing w:after="0"/>
              <w:rPr>
                <w:sz w:val="17"/>
                <w:szCs w:val="17"/>
                <w:color w:val="auto"/>
              </w:rPr>
            </w:pPr>
          </w:p>
        </w:tc>
        <w:tc>
          <w:tcPr>
            <w:tcW w:w="74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6</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369</w:t>
            </w:r>
          </w:p>
        </w:tc>
      </w:tr>
      <w:tr>
        <w:trPr>
          <w:trHeight w:val="196"/>
        </w:trPr>
        <w:tc>
          <w:tcPr>
            <w:tcW w:w="848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Cash paid for acquisitions, net of cash acquired</w:t>
            </w:r>
          </w:p>
        </w:tc>
        <w:tc>
          <w:tcPr>
            <w:tcW w:w="140" w:type="dxa"/>
            <w:vAlign w:val="bottom"/>
            <w:tcBorders>
              <w:bottom w:val="single" w:sz="8" w:color="888B8D"/>
            </w:tcBorders>
          </w:tcPr>
          <w:p>
            <w:pPr>
              <w:spacing w:after="0"/>
              <w:rPr>
                <w:sz w:val="17"/>
                <w:szCs w:val="17"/>
                <w:color w:val="auto"/>
              </w:rPr>
            </w:pPr>
          </w:p>
        </w:tc>
        <w:tc>
          <w:tcPr>
            <w:tcW w:w="74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(8,880)</w:t>
            </w:r>
          </w:p>
        </w:tc>
        <w:tc>
          <w:tcPr>
            <w:tcW w:w="260" w:type="dxa"/>
            <w:vAlign w:val="bottom"/>
            <w:tcBorders>
              <w:bottom w:val="single" w:sz="8" w:color="888B8D"/>
            </w:tcBorders>
          </w:tcPr>
          <w:p>
            <w:pPr>
              <w:spacing w:after="0"/>
              <w:rPr>
                <w:sz w:val="17"/>
                <w:szCs w:val="17"/>
                <w:color w:val="auto"/>
              </w:rPr>
            </w:pPr>
          </w:p>
        </w:tc>
        <w:tc>
          <w:tcPr>
            <w:tcW w:w="74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(718)</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(178)</w:t>
            </w:r>
          </w:p>
        </w:tc>
      </w:tr>
      <w:tr>
        <w:trPr>
          <w:trHeight w:val="196"/>
        </w:trPr>
        <w:tc>
          <w:tcPr>
            <w:tcW w:w="848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Proceeds from sales of businesses, net of fees paid</w:t>
            </w:r>
          </w:p>
        </w:tc>
        <w:tc>
          <w:tcPr>
            <w:tcW w:w="14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4</w:t>
            </w:r>
          </w:p>
        </w:tc>
        <w:tc>
          <w:tcPr>
            <w:tcW w:w="28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r>
      <w:tr>
        <w:trPr>
          <w:trHeight w:val="199"/>
        </w:trPr>
        <w:tc>
          <w:tcPr>
            <w:tcW w:w="8480" w:type="dxa"/>
            <w:vAlign w:val="bottom"/>
            <w:tcBorders>
              <w:bottom w:val="single" w:sz="8" w:color="D7282F"/>
            </w:tcBorders>
          </w:tcPr>
          <w:p>
            <w:pPr>
              <w:ind w:left="460"/>
              <w:spacing w:after="0"/>
              <w:rPr>
                <w:sz w:val="20"/>
                <w:szCs w:val="20"/>
                <w:color w:val="auto"/>
              </w:rPr>
            </w:pPr>
            <w:r>
              <w:rPr>
                <w:rFonts w:ascii="Arial" w:cs="Arial" w:eastAsia="Arial" w:hAnsi="Arial"/>
                <w:sz w:val="14"/>
                <w:szCs w:val="14"/>
                <w:b w:val="1"/>
                <w:bCs w:val="1"/>
                <w:color w:val="auto"/>
              </w:rPr>
              <w:t>Net cash used for investing activities</w:t>
            </w:r>
          </w:p>
        </w:tc>
        <w:tc>
          <w:tcPr>
            <w:tcW w:w="14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(10,157)</w:t>
            </w:r>
          </w:p>
        </w:tc>
        <w:tc>
          <w:tcPr>
            <w:tcW w:w="26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(1,293)</w:t>
            </w:r>
          </w:p>
        </w:tc>
        <w:tc>
          <w:tcPr>
            <w:tcW w:w="28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(93)</w:t>
            </w:r>
          </w:p>
        </w:tc>
      </w:tr>
      <w:tr>
        <w:trPr>
          <w:trHeight w:val="196"/>
        </w:trPr>
        <w:tc>
          <w:tcPr>
            <w:tcW w:w="8480" w:type="dxa"/>
            <w:vAlign w:val="bottom"/>
            <w:tcBorders>
              <w:bottom w:val="single" w:sz="8" w:color="888B8D"/>
            </w:tcBorders>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140" w:type="dxa"/>
            <w:vAlign w:val="bottom"/>
            <w:tcBorders>
              <w:bottom w:val="single" w:sz="8" w:color="888B8D"/>
            </w:tcBorders>
          </w:tcPr>
          <w:p>
            <w:pPr>
              <w:spacing w:after="0"/>
              <w:rPr>
                <w:sz w:val="17"/>
                <w:szCs w:val="17"/>
                <w:color w:val="auto"/>
              </w:rPr>
            </w:pPr>
          </w:p>
        </w:tc>
        <w:tc>
          <w:tcPr>
            <w:tcW w:w="740" w:type="dxa"/>
            <w:vAlign w:val="bottom"/>
            <w:tcBorders>
              <w:bottom w:val="single" w:sz="8" w:color="888B8D"/>
            </w:tcBorders>
          </w:tcPr>
          <w:p>
            <w:pPr>
              <w:spacing w:after="0"/>
              <w:rPr>
                <w:sz w:val="17"/>
                <w:szCs w:val="17"/>
                <w:color w:val="auto"/>
              </w:rPr>
            </w:pPr>
          </w:p>
        </w:tc>
        <w:tc>
          <w:tcPr>
            <w:tcW w:w="260" w:type="dxa"/>
            <w:vAlign w:val="bottom"/>
            <w:tcBorders>
              <w:bottom w:val="single" w:sz="8" w:color="888B8D"/>
            </w:tcBorders>
          </w:tcPr>
          <w:p>
            <w:pPr>
              <w:spacing w:after="0"/>
              <w:rPr>
                <w:sz w:val="17"/>
                <w:szCs w:val="17"/>
                <w:color w:val="auto"/>
              </w:rPr>
            </w:pPr>
          </w:p>
        </w:tc>
        <w:tc>
          <w:tcPr>
            <w:tcW w:w="740" w:type="dxa"/>
            <w:vAlign w:val="bottom"/>
            <w:tcBorders>
              <w:bottom w:val="single" w:sz="8" w:color="888B8D"/>
            </w:tcBorders>
          </w:tcPr>
          <w:p>
            <w:pPr>
              <w:spacing w:after="0"/>
              <w:rPr>
                <w:sz w:val="17"/>
                <w:szCs w:val="17"/>
                <w:color w:val="auto"/>
              </w:rPr>
            </w:pP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spacing w:after="0"/>
              <w:rPr>
                <w:sz w:val="17"/>
                <w:szCs w:val="17"/>
                <w:color w:val="auto"/>
              </w:rPr>
            </w:pPr>
          </w:p>
        </w:tc>
      </w:tr>
      <w:tr>
        <w:trPr>
          <w:trHeight w:val="193"/>
        </w:trPr>
        <w:tc>
          <w:tcPr>
            <w:tcW w:w="848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Proceeds from issuance of commercial paper and other short-term borrowings</w:t>
            </w:r>
          </w:p>
        </w:tc>
        <w:tc>
          <w:tcPr>
            <w:tcW w:w="140" w:type="dxa"/>
            <w:vAlign w:val="bottom"/>
            <w:tcBorders>
              <w:bottom w:val="single" w:sz="8" w:color="888B8D"/>
            </w:tcBorders>
          </w:tcPr>
          <w:p>
            <w:pPr>
              <w:spacing w:after="0"/>
              <w:rPr>
                <w:sz w:val="16"/>
                <w:szCs w:val="16"/>
                <w:color w:val="auto"/>
              </w:rPr>
            </w:pPr>
          </w:p>
        </w:tc>
        <w:tc>
          <w:tcPr>
            <w:tcW w:w="74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13,838</w:t>
            </w:r>
          </w:p>
        </w:tc>
        <w:tc>
          <w:tcPr>
            <w:tcW w:w="260" w:type="dxa"/>
            <w:vAlign w:val="bottom"/>
            <w:tcBorders>
              <w:bottom w:val="single" w:sz="8" w:color="888B8D"/>
            </w:tcBorders>
          </w:tcPr>
          <w:p>
            <w:pPr>
              <w:spacing w:after="0"/>
              <w:rPr>
                <w:sz w:val="16"/>
                <w:szCs w:val="16"/>
                <w:color w:val="auto"/>
              </w:rPr>
            </w:pPr>
          </w:p>
        </w:tc>
        <w:tc>
          <w:tcPr>
            <w:tcW w:w="74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12,991</w:t>
            </w:r>
          </w:p>
        </w:tc>
        <w:tc>
          <w:tcPr>
            <w:tcW w:w="280" w:type="dxa"/>
            <w:vAlign w:val="bottom"/>
            <w:tcBorders>
              <w:bottom w:val="single" w:sz="8" w:color="888B8D"/>
            </w:tcBorders>
          </w:tcPr>
          <w:p>
            <w:pPr>
              <w:spacing w:after="0"/>
              <w:rPr>
                <w:sz w:val="16"/>
                <w:szCs w:val="16"/>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7,661</w:t>
            </w:r>
          </w:p>
        </w:tc>
      </w:tr>
      <w:tr>
        <w:trPr>
          <w:trHeight w:val="196"/>
        </w:trPr>
        <w:tc>
          <w:tcPr>
            <w:tcW w:w="848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Payments of commercial paper and other short-term borrowings</w:t>
            </w:r>
          </w:p>
        </w:tc>
        <w:tc>
          <w:tcPr>
            <w:tcW w:w="140" w:type="dxa"/>
            <w:vAlign w:val="bottom"/>
            <w:tcBorders>
              <w:bottom w:val="single" w:sz="8" w:color="888B8D"/>
            </w:tcBorders>
          </w:tcPr>
          <w:p>
            <w:pPr>
              <w:spacing w:after="0"/>
              <w:rPr>
                <w:sz w:val="17"/>
                <w:szCs w:val="17"/>
                <w:color w:val="auto"/>
              </w:rPr>
            </w:pPr>
          </w:p>
        </w:tc>
        <w:tc>
          <w:tcPr>
            <w:tcW w:w="74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(11,578)</w:t>
            </w:r>
          </w:p>
        </w:tc>
        <w:tc>
          <w:tcPr>
            <w:tcW w:w="260" w:type="dxa"/>
            <w:vAlign w:val="bottom"/>
            <w:tcBorders>
              <w:bottom w:val="single" w:sz="8" w:color="888B8D"/>
            </w:tcBorders>
          </w:tcPr>
          <w:p>
            <w:pPr>
              <w:spacing w:after="0"/>
              <w:rPr>
                <w:sz w:val="17"/>
                <w:szCs w:val="17"/>
                <w:color w:val="auto"/>
              </w:rPr>
            </w:pPr>
          </w:p>
        </w:tc>
        <w:tc>
          <w:tcPr>
            <w:tcW w:w="74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(13,663)</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(8,447)</w:t>
            </w:r>
          </w:p>
        </w:tc>
      </w:tr>
      <w:tr>
        <w:trPr>
          <w:trHeight w:val="196"/>
        </w:trPr>
        <w:tc>
          <w:tcPr>
            <w:tcW w:w="848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Proceeds from issuance of common stock</w:t>
            </w:r>
          </w:p>
        </w:tc>
        <w:tc>
          <w:tcPr>
            <w:tcW w:w="140" w:type="dxa"/>
            <w:vAlign w:val="bottom"/>
            <w:tcBorders>
              <w:bottom w:val="single" w:sz="8" w:color="888B8D"/>
            </w:tcBorders>
          </w:tcPr>
          <w:p>
            <w:pPr>
              <w:spacing w:after="0"/>
              <w:rPr>
                <w:sz w:val="17"/>
                <w:szCs w:val="17"/>
                <w:color w:val="auto"/>
              </w:rPr>
            </w:pPr>
          </w:p>
        </w:tc>
        <w:tc>
          <w:tcPr>
            <w:tcW w:w="74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537</w:t>
            </w:r>
          </w:p>
        </w:tc>
        <w:tc>
          <w:tcPr>
            <w:tcW w:w="260" w:type="dxa"/>
            <w:vAlign w:val="bottom"/>
            <w:tcBorders>
              <w:bottom w:val="single" w:sz="8" w:color="888B8D"/>
            </w:tcBorders>
          </w:tcPr>
          <w:p>
            <w:pPr>
              <w:spacing w:after="0"/>
              <w:rPr>
                <w:sz w:val="17"/>
                <w:szCs w:val="17"/>
                <w:color w:val="auto"/>
              </w:rPr>
            </w:pPr>
          </w:p>
        </w:tc>
        <w:tc>
          <w:tcPr>
            <w:tcW w:w="74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196</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320</w:t>
            </w:r>
          </w:p>
        </w:tc>
      </w:tr>
      <w:tr>
        <w:trPr>
          <w:trHeight w:val="196"/>
        </w:trPr>
        <w:tc>
          <w:tcPr>
            <w:tcW w:w="848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Proceeds from issuance of long-term debt</w:t>
            </w:r>
          </w:p>
        </w:tc>
        <w:tc>
          <w:tcPr>
            <w:tcW w:w="140" w:type="dxa"/>
            <w:vAlign w:val="bottom"/>
            <w:tcBorders>
              <w:bottom w:val="single" w:sz="8" w:color="888B8D"/>
            </w:tcBorders>
          </w:tcPr>
          <w:p>
            <w:pPr>
              <w:spacing w:after="0"/>
              <w:rPr>
                <w:sz w:val="17"/>
                <w:szCs w:val="17"/>
                <w:color w:val="auto"/>
              </w:rPr>
            </w:pPr>
          </w:p>
        </w:tc>
        <w:tc>
          <w:tcPr>
            <w:tcW w:w="74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10,408</w:t>
            </w:r>
          </w:p>
        </w:tc>
        <w:tc>
          <w:tcPr>
            <w:tcW w:w="260" w:type="dxa"/>
            <w:vAlign w:val="bottom"/>
            <w:tcBorders>
              <w:bottom w:val="single" w:sz="8" w:color="888B8D"/>
            </w:tcBorders>
          </w:tcPr>
          <w:p>
            <w:pPr>
              <w:spacing w:after="0"/>
              <w:rPr>
                <w:sz w:val="17"/>
                <w:szCs w:val="17"/>
                <w:color w:val="auto"/>
              </w:rPr>
            </w:pPr>
          </w:p>
        </w:tc>
        <w:tc>
          <w:tcPr>
            <w:tcW w:w="74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2,986</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2,953</w:t>
            </w:r>
          </w:p>
        </w:tc>
      </w:tr>
      <w:tr>
        <w:trPr>
          <w:trHeight w:val="196"/>
        </w:trPr>
        <w:tc>
          <w:tcPr>
            <w:tcW w:w="848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Payments of long-term debt</w:t>
            </w:r>
          </w:p>
        </w:tc>
        <w:tc>
          <w:tcPr>
            <w:tcW w:w="140" w:type="dxa"/>
            <w:vAlign w:val="bottom"/>
            <w:tcBorders>
              <w:bottom w:val="single" w:sz="8" w:color="888B8D"/>
            </w:tcBorders>
          </w:tcPr>
          <w:p>
            <w:pPr>
              <w:spacing w:after="0"/>
              <w:rPr>
                <w:sz w:val="17"/>
                <w:szCs w:val="17"/>
                <w:color w:val="auto"/>
              </w:rPr>
            </w:pPr>
          </w:p>
        </w:tc>
        <w:tc>
          <w:tcPr>
            <w:tcW w:w="74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(1,812)</w:t>
            </w:r>
          </w:p>
        </w:tc>
        <w:tc>
          <w:tcPr>
            <w:tcW w:w="260" w:type="dxa"/>
            <w:vAlign w:val="bottom"/>
            <w:tcBorders>
              <w:bottom w:val="single" w:sz="8" w:color="888B8D"/>
            </w:tcBorders>
          </w:tcPr>
          <w:p>
            <w:pPr>
              <w:spacing w:after="0"/>
              <w:rPr>
                <w:sz w:val="17"/>
                <w:szCs w:val="17"/>
                <w:color w:val="auto"/>
              </w:rPr>
            </w:pPr>
          </w:p>
        </w:tc>
        <w:tc>
          <w:tcPr>
            <w:tcW w:w="74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(1,731)</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(1,850)</w:t>
            </w:r>
          </w:p>
        </w:tc>
      </w:tr>
      <w:tr>
        <w:trPr>
          <w:trHeight w:val="196"/>
        </w:trPr>
        <w:tc>
          <w:tcPr>
            <w:tcW w:w="848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Repurchases of common stock</w:t>
            </w:r>
          </w:p>
        </w:tc>
        <w:tc>
          <w:tcPr>
            <w:tcW w:w="140" w:type="dxa"/>
            <w:vAlign w:val="bottom"/>
            <w:tcBorders>
              <w:bottom w:val="single" w:sz="8" w:color="888B8D"/>
            </w:tcBorders>
          </w:tcPr>
          <w:p>
            <w:pPr>
              <w:spacing w:after="0"/>
              <w:rPr>
                <w:sz w:val="17"/>
                <w:szCs w:val="17"/>
                <w:color w:val="auto"/>
              </w:rPr>
            </w:pPr>
          </w:p>
        </w:tc>
        <w:tc>
          <w:tcPr>
            <w:tcW w:w="74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(1,655)</w:t>
            </w:r>
          </w:p>
        </w:tc>
        <w:tc>
          <w:tcPr>
            <w:tcW w:w="260" w:type="dxa"/>
            <w:vAlign w:val="bottom"/>
            <w:tcBorders>
              <w:bottom w:val="single" w:sz="8" w:color="888B8D"/>
            </w:tcBorders>
          </w:tcPr>
          <w:p>
            <w:pPr>
              <w:spacing w:after="0"/>
              <w:rPr>
                <w:sz w:val="17"/>
                <w:szCs w:val="17"/>
                <w:color w:val="auto"/>
              </w:rPr>
            </w:pPr>
          </w:p>
        </w:tc>
        <w:tc>
          <w:tcPr>
            <w:tcW w:w="74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(3,715)</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(4,200)</w:t>
            </w:r>
          </w:p>
        </w:tc>
      </w:tr>
      <w:tr>
        <w:trPr>
          <w:trHeight w:val="196"/>
        </w:trPr>
        <w:tc>
          <w:tcPr>
            <w:tcW w:w="84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Cash dividends paid</w:t>
            </w:r>
          </w:p>
        </w:tc>
        <w:tc>
          <w:tcPr>
            <w:tcW w:w="14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(2,902)</w:t>
            </w: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(2,855)</w:t>
            </w:r>
          </w:p>
        </w:tc>
        <w:tc>
          <w:tcPr>
            <w:tcW w:w="28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(2,719)</w:t>
            </w:r>
          </w:p>
        </w:tc>
      </w:tr>
      <w:tr>
        <w:trPr>
          <w:trHeight w:val="196"/>
        </w:trPr>
        <w:tc>
          <w:tcPr>
            <w:tcW w:w="848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Other</w:t>
            </w:r>
          </w:p>
        </w:tc>
        <w:tc>
          <w:tcPr>
            <w:tcW w:w="14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3</w:t>
            </w:r>
          </w:p>
        </w:tc>
        <w:tc>
          <w:tcPr>
            <w:tcW w:w="26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28</w:t>
            </w:r>
          </w:p>
        </w:tc>
        <w:tc>
          <w:tcPr>
            <w:tcW w:w="28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(48)</w:t>
            </w:r>
          </w:p>
        </w:tc>
      </w:tr>
      <w:tr>
        <w:trPr>
          <w:trHeight w:val="199"/>
        </w:trPr>
        <w:tc>
          <w:tcPr>
            <w:tcW w:w="8480" w:type="dxa"/>
            <w:vAlign w:val="bottom"/>
            <w:tcBorders>
              <w:bottom w:val="single" w:sz="8" w:color="D7282F"/>
            </w:tcBorders>
          </w:tcPr>
          <w:p>
            <w:pPr>
              <w:ind w:left="460"/>
              <w:spacing w:after="0"/>
              <w:rPr>
                <w:sz w:val="20"/>
                <w:szCs w:val="20"/>
                <w:color w:val="auto"/>
              </w:rPr>
            </w:pPr>
            <w:r>
              <w:rPr>
                <w:rFonts w:ascii="Arial" w:cs="Arial" w:eastAsia="Arial" w:hAnsi="Arial"/>
                <w:sz w:val="14"/>
                <w:szCs w:val="14"/>
                <w:b w:val="1"/>
                <w:bCs w:val="1"/>
                <w:color w:val="auto"/>
              </w:rPr>
              <w:t>Net cash provided by (used for) financing activities</w:t>
            </w:r>
          </w:p>
        </w:tc>
        <w:tc>
          <w:tcPr>
            <w:tcW w:w="14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6,839</w:t>
            </w:r>
          </w:p>
        </w:tc>
        <w:tc>
          <w:tcPr>
            <w:tcW w:w="26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(5,763)</w:t>
            </w:r>
          </w:p>
        </w:tc>
        <w:tc>
          <w:tcPr>
            <w:tcW w:w="28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(6,330)</w:t>
            </w:r>
          </w:p>
        </w:tc>
      </w:tr>
      <w:tr>
        <w:trPr>
          <w:trHeight w:val="193"/>
        </w:trPr>
        <w:tc>
          <w:tcPr>
            <w:tcW w:w="848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Effect of foreign exchange rate changes on cash and cash equivalents</w:t>
            </w:r>
          </w:p>
        </w:tc>
        <w:tc>
          <w:tcPr>
            <w:tcW w:w="140" w:type="dxa"/>
            <w:vAlign w:val="bottom"/>
            <w:tcBorders>
              <w:bottom w:val="single" w:sz="8" w:color="D7282F"/>
            </w:tcBorders>
          </w:tcPr>
          <w:p>
            <w:pPr>
              <w:spacing w:after="0"/>
              <w:rPr>
                <w:sz w:val="16"/>
                <w:szCs w:val="16"/>
                <w:color w:val="auto"/>
              </w:rPr>
            </w:pPr>
          </w:p>
        </w:tc>
        <w:tc>
          <w:tcPr>
            <w:tcW w:w="74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(137)</w:t>
            </w:r>
          </w:p>
        </w:tc>
        <w:tc>
          <w:tcPr>
            <w:tcW w:w="260" w:type="dxa"/>
            <w:vAlign w:val="bottom"/>
            <w:tcBorders>
              <w:bottom w:val="single" w:sz="8" w:color="D7282F"/>
            </w:tcBorders>
          </w:tcPr>
          <w:p>
            <w:pPr>
              <w:spacing w:after="0"/>
              <w:rPr>
                <w:sz w:val="16"/>
                <w:szCs w:val="16"/>
                <w:color w:val="auto"/>
              </w:rPr>
            </w:pPr>
          </w:p>
        </w:tc>
        <w:tc>
          <w:tcPr>
            <w:tcW w:w="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14</w:t>
            </w:r>
          </w:p>
        </w:tc>
        <w:tc>
          <w:tcPr>
            <w:tcW w:w="280" w:type="dxa"/>
            <w:vAlign w:val="bottom"/>
            <w:tcBorders>
              <w:bottom w:val="single" w:sz="8" w:color="D7282F"/>
            </w:tcBorders>
          </w:tcPr>
          <w:p>
            <w:pPr>
              <w:spacing w:after="0"/>
              <w:rPr>
                <w:sz w:val="16"/>
                <w:szCs w:val="16"/>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(183)</w:t>
            </w:r>
          </w:p>
        </w:tc>
      </w:tr>
      <w:tr>
        <w:trPr>
          <w:trHeight w:val="199"/>
        </w:trPr>
        <w:tc>
          <w:tcPr>
            <w:tcW w:w="84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Net increase (decrease) in cash and cash equivalents</w:t>
            </w:r>
          </w:p>
        </w:tc>
        <w:tc>
          <w:tcPr>
            <w:tcW w:w="14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2,642</w:t>
            </w:r>
          </w:p>
        </w:tc>
        <w:tc>
          <w:tcPr>
            <w:tcW w:w="26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(1,702)</w:t>
            </w:r>
          </w:p>
        </w:tc>
        <w:tc>
          <w:tcPr>
            <w:tcW w:w="28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(1,332)</w:t>
            </w:r>
          </w:p>
        </w:tc>
      </w:tr>
      <w:tr>
        <w:trPr>
          <w:trHeight w:val="196"/>
        </w:trPr>
        <w:tc>
          <w:tcPr>
            <w:tcW w:w="84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Cash and cash equivalents at beginning of period</w:t>
            </w:r>
          </w:p>
        </w:tc>
        <w:tc>
          <w:tcPr>
            <w:tcW w:w="14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7,925</w:t>
            </w:r>
          </w:p>
        </w:tc>
        <w:tc>
          <w:tcPr>
            <w:tcW w:w="26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9,627</w:t>
            </w:r>
          </w:p>
        </w:tc>
        <w:tc>
          <w:tcPr>
            <w:tcW w:w="28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10,959</w:t>
            </w:r>
          </w:p>
        </w:tc>
      </w:tr>
      <w:tr>
        <w:trPr>
          <w:trHeight w:val="196"/>
        </w:trPr>
        <w:tc>
          <w:tcPr>
            <w:tcW w:w="84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Cash and cash equivalents at end of period</w:t>
            </w:r>
          </w:p>
        </w:tc>
        <w:tc>
          <w:tcPr>
            <w:tcW w:w="1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10,567</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7,925</w:t>
            </w:r>
          </w:p>
        </w:tc>
        <w:tc>
          <w:tcPr>
            <w:tcW w:w="2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9,627</w:t>
            </w: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Notes to Consolidated Financial Statements are an integral part of this statement.</w:t>
      </w:r>
    </w:p>
    <w:p>
      <w:pPr>
        <w:spacing w:after="0" w:line="200" w:lineRule="exact"/>
        <w:rPr>
          <w:sz w:val="20"/>
          <w:szCs w:val="20"/>
          <w:color w:val="auto"/>
        </w:rPr>
      </w:pPr>
    </w:p>
    <w:p>
      <w:pPr>
        <w:spacing w:after="0" w:line="279" w:lineRule="exact"/>
        <w:rPr>
          <w:sz w:val="20"/>
          <w:szCs w:val="20"/>
          <w:color w:val="auto"/>
        </w:rPr>
      </w:pPr>
    </w:p>
    <w:p>
      <w:pPr>
        <w:ind w:left="400" w:hanging="392"/>
        <w:spacing w:after="0"/>
        <w:tabs>
          <w:tab w:leader="none" w:pos="400" w:val="left"/>
        </w:tabs>
        <w:numPr>
          <w:ilvl w:val="0"/>
          <w:numId w:val="107"/>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57" w:name="page58"/>
    <w:bookmarkEnd w:id="57"/>
    <w:p>
      <w:pPr>
        <w:ind w:left="20"/>
        <w:spacing w:after="0"/>
        <w:tabs>
          <w:tab w:leader="none" w:pos="784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FINANCIAL STATEMENTS AND SUPPLEMENTARY DATA</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 OF SHAREOWNERS’ EQUITY</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480" w:type="dxa"/>
            <w:vAlign w:val="bottom"/>
          </w:tcPr>
          <w:p>
            <w:pPr>
              <w:spacing w:after="0"/>
              <w:rPr>
                <w:sz w:val="17"/>
                <w:szCs w:val="17"/>
                <w:color w:val="auto"/>
              </w:rPr>
            </w:pPr>
          </w:p>
        </w:tc>
        <w:tc>
          <w:tcPr>
            <w:tcW w:w="114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spacing w:after="0"/>
              <w:rPr>
                <w:sz w:val="17"/>
                <w:szCs w:val="17"/>
                <w:color w:val="auto"/>
              </w:rPr>
            </w:pPr>
          </w:p>
        </w:tc>
        <w:tc>
          <w:tcPr>
            <w:tcW w:w="2120" w:type="dxa"/>
            <w:vAlign w:val="bottom"/>
            <w:tcBorders>
              <w:bottom w:val="single" w:sz="8" w:color="D7282F"/>
            </w:tcBorders>
            <w:gridSpan w:val="2"/>
          </w:tcPr>
          <w:p>
            <w:pPr>
              <w:jc w:val="center"/>
              <w:spacing w:after="0"/>
              <w:rPr>
                <w:sz w:val="20"/>
                <w:szCs w:val="20"/>
                <w:color w:val="auto"/>
              </w:rPr>
            </w:pPr>
            <w:r>
              <w:rPr>
                <w:rFonts w:ascii="Arial" w:cs="Arial" w:eastAsia="Arial" w:hAnsi="Arial"/>
                <w:sz w:val="14"/>
                <w:szCs w:val="14"/>
                <w:b w:val="1"/>
                <w:bCs w:val="1"/>
                <w:color w:val="auto"/>
              </w:rPr>
              <w:t>Years Ended December 31,</w:t>
            </w:r>
          </w:p>
        </w:tc>
        <w:tc>
          <w:tcPr>
            <w:tcW w:w="118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spacing w:after="0"/>
              <w:rPr>
                <w:sz w:val="17"/>
                <w:szCs w:val="17"/>
                <w:color w:val="auto"/>
              </w:rPr>
            </w:pPr>
          </w:p>
        </w:tc>
      </w:tr>
      <w:tr>
        <w:trPr>
          <w:trHeight w:val="237"/>
        </w:trPr>
        <w:tc>
          <w:tcPr>
            <w:tcW w:w="5480" w:type="dxa"/>
            <w:vAlign w:val="bottom"/>
          </w:tcPr>
          <w:p>
            <w:pPr>
              <w:spacing w:after="0"/>
              <w:rPr>
                <w:sz w:val="20"/>
                <w:szCs w:val="20"/>
                <w:color w:val="auto"/>
              </w:rPr>
            </w:pPr>
          </w:p>
        </w:tc>
        <w:tc>
          <w:tcPr>
            <w:tcW w:w="114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2024</w:t>
            </w:r>
          </w:p>
        </w:tc>
        <w:tc>
          <w:tcPr>
            <w:tcW w:w="700" w:type="dxa"/>
            <w:vAlign w:val="bottom"/>
            <w:tcBorders>
              <w:bottom w:val="single" w:sz="8" w:color="D7282F"/>
            </w:tcBorders>
          </w:tcPr>
          <w:p>
            <w:pPr>
              <w:spacing w:after="0"/>
              <w:rPr>
                <w:sz w:val="20"/>
                <w:szCs w:val="20"/>
                <w:color w:val="auto"/>
              </w:rPr>
            </w:pPr>
          </w:p>
        </w:tc>
        <w:tc>
          <w:tcPr>
            <w:tcW w:w="1300" w:type="dxa"/>
            <w:vAlign w:val="bottom"/>
            <w:tcBorders>
              <w:bottom w:val="single" w:sz="8" w:color="D7282F"/>
            </w:tcBorders>
          </w:tcPr>
          <w:p>
            <w:pPr>
              <w:jc w:val="center"/>
              <w:ind w:left="708"/>
              <w:spacing w:after="0"/>
              <w:rPr>
                <w:sz w:val="20"/>
                <w:szCs w:val="20"/>
                <w:color w:val="auto"/>
              </w:rPr>
            </w:pPr>
            <w:r>
              <w:rPr>
                <w:rFonts w:ascii="Arial" w:cs="Arial" w:eastAsia="Arial" w:hAnsi="Arial"/>
                <w:sz w:val="14"/>
                <w:szCs w:val="14"/>
                <w:b w:val="1"/>
                <w:bCs w:val="1"/>
                <w:color w:val="auto"/>
              </w:rPr>
              <w:t>2023</w:t>
            </w:r>
          </w:p>
        </w:tc>
        <w:tc>
          <w:tcPr>
            <w:tcW w:w="820" w:type="dxa"/>
            <w:vAlign w:val="bottom"/>
            <w:tcBorders>
              <w:bottom w:val="single" w:sz="8" w:color="D7282F"/>
            </w:tcBorders>
          </w:tcPr>
          <w:p>
            <w:pPr>
              <w:spacing w:after="0"/>
              <w:rPr>
                <w:sz w:val="20"/>
                <w:szCs w:val="20"/>
                <w:color w:val="auto"/>
              </w:rPr>
            </w:pPr>
          </w:p>
        </w:tc>
        <w:tc>
          <w:tcPr>
            <w:tcW w:w="118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2022</w:t>
            </w:r>
          </w:p>
        </w:tc>
        <w:tc>
          <w:tcPr>
            <w:tcW w:w="620" w:type="dxa"/>
            <w:vAlign w:val="bottom"/>
            <w:tcBorders>
              <w:bottom w:val="single" w:sz="8" w:color="D7282F"/>
            </w:tcBorders>
          </w:tcPr>
          <w:p>
            <w:pPr>
              <w:spacing w:after="0"/>
              <w:rPr>
                <w:sz w:val="20"/>
                <w:szCs w:val="20"/>
                <w:color w:val="auto"/>
              </w:rPr>
            </w:pPr>
          </w:p>
        </w:tc>
      </w:tr>
      <w:tr>
        <w:trPr>
          <w:trHeight w:val="236"/>
        </w:trPr>
        <w:tc>
          <w:tcPr>
            <w:tcW w:w="5480" w:type="dxa"/>
            <w:vAlign w:val="bottom"/>
          </w:tcPr>
          <w:p>
            <w:pPr>
              <w:spacing w:after="0"/>
              <w:rPr>
                <w:sz w:val="20"/>
                <w:szCs w:val="20"/>
                <w:color w:val="auto"/>
              </w:rPr>
            </w:pPr>
          </w:p>
        </w:tc>
        <w:tc>
          <w:tcPr>
            <w:tcW w:w="1140" w:type="dxa"/>
            <w:vAlign w:val="bottom"/>
            <w:tcBorders>
              <w:bottom w:val="single" w:sz="8" w:color="D7282F"/>
            </w:tcBorders>
          </w:tcPr>
          <w:p>
            <w:pPr>
              <w:jc w:val="right"/>
              <w:ind w:right="448"/>
              <w:spacing w:after="0"/>
              <w:rPr>
                <w:sz w:val="20"/>
                <w:szCs w:val="20"/>
                <w:color w:val="auto"/>
              </w:rPr>
            </w:pPr>
            <w:r>
              <w:rPr>
                <w:rFonts w:ascii="Arial" w:cs="Arial" w:eastAsia="Arial" w:hAnsi="Arial"/>
                <w:sz w:val="14"/>
                <w:szCs w:val="14"/>
                <w:b w:val="1"/>
                <w:bCs w:val="1"/>
                <w:color w:val="auto"/>
              </w:rPr>
              <w:t>Shares</w:t>
            </w:r>
          </w:p>
        </w:tc>
        <w:tc>
          <w:tcPr>
            <w:tcW w:w="700" w:type="dxa"/>
            <w:vAlign w:val="bottom"/>
            <w:tcBorders>
              <w:bottom w:val="single" w:sz="8" w:color="D7282F"/>
            </w:tcBorders>
          </w:tcPr>
          <w:p>
            <w:pPr>
              <w:jc w:val="right"/>
              <w:ind w:right="348"/>
              <w:spacing w:after="0"/>
              <w:rPr>
                <w:sz w:val="20"/>
                <w:szCs w:val="20"/>
                <w:color w:val="auto"/>
              </w:rPr>
            </w:pPr>
            <w:r>
              <w:rPr>
                <w:rFonts w:ascii="Arial" w:cs="Arial" w:eastAsia="Arial" w:hAnsi="Arial"/>
                <w:sz w:val="14"/>
                <w:szCs w:val="14"/>
                <w:b w:val="1"/>
                <w:bCs w:val="1"/>
                <w:color w:val="auto"/>
              </w:rPr>
              <w:t>$</w:t>
            </w:r>
          </w:p>
        </w:tc>
        <w:tc>
          <w:tcPr>
            <w:tcW w:w="1300" w:type="dxa"/>
            <w:vAlign w:val="bottom"/>
            <w:tcBorders>
              <w:bottom w:val="single" w:sz="8" w:color="D7282F"/>
            </w:tcBorders>
          </w:tcPr>
          <w:p>
            <w:pPr>
              <w:jc w:val="right"/>
              <w:ind w:right="448"/>
              <w:spacing w:after="0"/>
              <w:rPr>
                <w:sz w:val="20"/>
                <w:szCs w:val="20"/>
                <w:color w:val="auto"/>
              </w:rPr>
            </w:pPr>
            <w:r>
              <w:rPr>
                <w:rFonts w:ascii="Arial" w:cs="Arial" w:eastAsia="Arial" w:hAnsi="Arial"/>
                <w:sz w:val="14"/>
                <w:szCs w:val="14"/>
                <w:b w:val="1"/>
                <w:bCs w:val="1"/>
                <w:color w:val="auto"/>
              </w:rPr>
              <w:t>Shares</w:t>
            </w:r>
          </w:p>
        </w:tc>
        <w:tc>
          <w:tcPr>
            <w:tcW w:w="820" w:type="dxa"/>
            <w:vAlign w:val="bottom"/>
            <w:tcBorders>
              <w:bottom w:val="single" w:sz="8" w:color="D7282F"/>
            </w:tcBorders>
          </w:tcPr>
          <w:p>
            <w:pPr>
              <w:jc w:val="right"/>
              <w:ind w:right="468"/>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D7282F"/>
            </w:tcBorders>
          </w:tcPr>
          <w:p>
            <w:pPr>
              <w:jc w:val="right"/>
              <w:ind w:right="448"/>
              <w:spacing w:after="0"/>
              <w:rPr>
                <w:sz w:val="20"/>
                <w:szCs w:val="20"/>
                <w:color w:val="auto"/>
              </w:rPr>
            </w:pPr>
            <w:r>
              <w:rPr>
                <w:rFonts w:ascii="Arial" w:cs="Arial" w:eastAsia="Arial" w:hAnsi="Arial"/>
                <w:sz w:val="14"/>
                <w:szCs w:val="14"/>
                <w:b w:val="1"/>
                <w:bCs w:val="1"/>
                <w:color w:val="auto"/>
              </w:rPr>
              <w:t>Shares</w:t>
            </w:r>
          </w:p>
        </w:tc>
        <w:tc>
          <w:tcPr>
            <w:tcW w:w="62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w:t>
            </w:r>
          </w:p>
        </w:tc>
      </w:tr>
      <w:tr>
        <w:trPr>
          <w:trHeight w:val="196"/>
        </w:trPr>
        <w:tc>
          <w:tcPr>
            <w:tcW w:w="5480" w:type="dxa"/>
            <w:vAlign w:val="bottom"/>
            <w:tcBorders>
              <w:bottom w:val="single" w:sz="8" w:color="D7282F"/>
            </w:tcBorders>
          </w:tcPr>
          <w:p>
            <w:pPr>
              <w:spacing w:after="0"/>
              <w:rPr>
                <w:sz w:val="17"/>
                <w:szCs w:val="17"/>
                <w:color w:val="auto"/>
              </w:rPr>
            </w:pPr>
          </w:p>
        </w:tc>
        <w:tc>
          <w:tcPr>
            <w:tcW w:w="1140" w:type="dxa"/>
            <w:vAlign w:val="bottom"/>
            <w:tcBorders>
              <w:bottom w:val="single" w:sz="8" w:color="D7282F"/>
            </w:tcBorders>
          </w:tcPr>
          <w:p>
            <w:pPr>
              <w:spacing w:after="0"/>
              <w:rPr>
                <w:sz w:val="17"/>
                <w:szCs w:val="17"/>
                <w:color w:val="auto"/>
              </w:rPr>
            </w:pPr>
          </w:p>
        </w:tc>
        <w:tc>
          <w:tcPr>
            <w:tcW w:w="4000" w:type="dxa"/>
            <w:vAlign w:val="bottom"/>
            <w:tcBorders>
              <w:bottom w:val="single" w:sz="8" w:color="D7282F"/>
            </w:tcBorders>
            <w:gridSpan w:val="4"/>
          </w:tcPr>
          <w:p>
            <w:pPr>
              <w:jc w:val="center"/>
              <w:ind w:right="448"/>
              <w:spacing w:after="0"/>
              <w:rPr>
                <w:sz w:val="20"/>
                <w:szCs w:val="20"/>
                <w:color w:val="auto"/>
              </w:rPr>
            </w:pPr>
            <w:r>
              <w:rPr>
                <w:rFonts w:ascii="Arial" w:cs="Arial" w:eastAsia="Arial" w:hAnsi="Arial"/>
                <w:sz w:val="14"/>
                <w:szCs w:val="14"/>
                <w:b w:val="1"/>
                <w:bCs w:val="1"/>
                <w:color w:val="auto"/>
              </w:rPr>
              <w:t>(In millions, except per share amounts)</w:t>
            </w:r>
          </w:p>
        </w:tc>
        <w:tc>
          <w:tcPr>
            <w:tcW w:w="620" w:type="dxa"/>
            <w:vAlign w:val="bottom"/>
            <w:tcBorders>
              <w:bottom w:val="single" w:sz="8" w:color="D7282F"/>
            </w:tcBorders>
          </w:tcPr>
          <w:p>
            <w:pPr>
              <w:spacing w:after="0"/>
              <w:rPr>
                <w:sz w:val="17"/>
                <w:szCs w:val="17"/>
                <w:color w:val="auto"/>
              </w:rPr>
            </w:pPr>
          </w:p>
        </w:tc>
      </w:tr>
      <w:tr>
        <w:trPr>
          <w:trHeight w:val="196"/>
        </w:trPr>
        <w:tc>
          <w:tcPr>
            <w:tcW w:w="5480" w:type="dxa"/>
            <w:vAlign w:val="bottom"/>
            <w:tcBorders>
              <w:bottom w:val="single" w:sz="8" w:color="888B8D"/>
            </w:tcBorders>
          </w:tcPr>
          <w:p>
            <w:pPr>
              <w:ind w:left="20"/>
              <w:spacing w:after="0"/>
              <w:rPr>
                <w:sz w:val="20"/>
                <w:szCs w:val="20"/>
                <w:color w:val="auto"/>
              </w:rPr>
            </w:pPr>
            <w:r>
              <w:rPr>
                <w:rFonts w:ascii="Arial" w:cs="Arial" w:eastAsia="Arial" w:hAnsi="Arial"/>
                <w:sz w:val="14"/>
                <w:szCs w:val="14"/>
                <w:b w:val="1"/>
                <w:bCs w:val="1"/>
                <w:color w:val="auto"/>
              </w:rPr>
              <w:t>Common stock, par value</w:t>
            </w:r>
          </w:p>
        </w:tc>
        <w:tc>
          <w:tcPr>
            <w:tcW w:w="1140" w:type="dxa"/>
            <w:vAlign w:val="bottom"/>
            <w:tcBorders>
              <w:bottom w:val="single" w:sz="8" w:color="888B8D"/>
            </w:tcBorders>
          </w:tcPr>
          <w:p>
            <w:pPr>
              <w:jc w:val="right"/>
              <w:ind w:right="368"/>
              <w:spacing w:after="0"/>
              <w:rPr>
                <w:sz w:val="20"/>
                <w:szCs w:val="20"/>
                <w:color w:val="auto"/>
              </w:rPr>
            </w:pPr>
            <w:r>
              <w:rPr>
                <w:rFonts w:ascii="Arial" w:cs="Arial" w:eastAsia="Arial" w:hAnsi="Arial"/>
                <w:sz w:val="14"/>
                <w:szCs w:val="14"/>
                <w:color w:val="auto"/>
              </w:rPr>
              <w:t>957.6</w:t>
            </w:r>
          </w:p>
        </w:tc>
        <w:tc>
          <w:tcPr>
            <w:tcW w:w="70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958</w:t>
            </w:r>
          </w:p>
        </w:tc>
        <w:tc>
          <w:tcPr>
            <w:tcW w:w="1300" w:type="dxa"/>
            <w:vAlign w:val="bottom"/>
            <w:tcBorders>
              <w:bottom w:val="single" w:sz="8" w:color="888B8D"/>
            </w:tcBorders>
          </w:tcPr>
          <w:p>
            <w:pPr>
              <w:jc w:val="right"/>
              <w:ind w:right="368"/>
              <w:spacing w:after="0"/>
              <w:rPr>
                <w:sz w:val="20"/>
                <w:szCs w:val="20"/>
                <w:color w:val="auto"/>
              </w:rPr>
            </w:pPr>
            <w:r>
              <w:rPr>
                <w:rFonts w:ascii="Arial" w:cs="Arial" w:eastAsia="Arial" w:hAnsi="Arial"/>
                <w:sz w:val="14"/>
                <w:szCs w:val="14"/>
                <w:color w:val="auto"/>
              </w:rPr>
              <w:t>957.6</w:t>
            </w:r>
          </w:p>
        </w:tc>
        <w:tc>
          <w:tcPr>
            <w:tcW w:w="820" w:type="dxa"/>
            <w:vAlign w:val="bottom"/>
            <w:tcBorders>
              <w:bottom w:val="single" w:sz="8" w:color="888B8D"/>
            </w:tcBorders>
          </w:tcPr>
          <w:p>
            <w:pPr>
              <w:jc w:val="right"/>
              <w:ind w:right="188"/>
              <w:spacing w:after="0"/>
              <w:rPr>
                <w:sz w:val="20"/>
                <w:szCs w:val="20"/>
                <w:color w:val="auto"/>
              </w:rPr>
            </w:pPr>
            <w:r>
              <w:rPr>
                <w:rFonts w:ascii="Arial" w:cs="Arial" w:eastAsia="Arial" w:hAnsi="Arial"/>
                <w:sz w:val="14"/>
                <w:szCs w:val="14"/>
                <w:color w:val="auto"/>
              </w:rPr>
              <w:t>958</w:t>
            </w:r>
          </w:p>
        </w:tc>
        <w:tc>
          <w:tcPr>
            <w:tcW w:w="1180" w:type="dxa"/>
            <w:vAlign w:val="bottom"/>
            <w:tcBorders>
              <w:bottom w:val="single" w:sz="8" w:color="888B8D"/>
            </w:tcBorders>
          </w:tcPr>
          <w:p>
            <w:pPr>
              <w:jc w:val="right"/>
              <w:ind w:right="368"/>
              <w:spacing w:after="0"/>
              <w:rPr>
                <w:sz w:val="20"/>
                <w:szCs w:val="20"/>
                <w:color w:val="auto"/>
              </w:rPr>
            </w:pPr>
            <w:r>
              <w:rPr>
                <w:rFonts w:ascii="Arial" w:cs="Arial" w:eastAsia="Arial" w:hAnsi="Arial"/>
                <w:sz w:val="14"/>
                <w:szCs w:val="14"/>
                <w:color w:val="auto"/>
              </w:rPr>
              <w:t>957.6</w:t>
            </w:r>
          </w:p>
        </w:tc>
        <w:tc>
          <w:tcPr>
            <w:tcW w:w="62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958</w:t>
            </w:r>
          </w:p>
        </w:tc>
      </w:tr>
      <w:tr>
        <w:trPr>
          <w:trHeight w:val="196"/>
        </w:trPr>
        <w:tc>
          <w:tcPr>
            <w:tcW w:w="5480" w:type="dxa"/>
            <w:vAlign w:val="bottom"/>
            <w:tcBorders>
              <w:bottom w:val="single" w:sz="8" w:color="888B8D"/>
            </w:tcBorders>
          </w:tcPr>
          <w:p>
            <w:pPr>
              <w:ind w:left="20"/>
              <w:spacing w:after="0"/>
              <w:rPr>
                <w:sz w:val="20"/>
                <w:szCs w:val="20"/>
                <w:color w:val="auto"/>
              </w:rPr>
            </w:pPr>
            <w:r>
              <w:rPr>
                <w:rFonts w:ascii="Arial" w:cs="Arial" w:eastAsia="Arial" w:hAnsi="Arial"/>
                <w:sz w:val="14"/>
                <w:szCs w:val="14"/>
                <w:b w:val="1"/>
                <w:bCs w:val="1"/>
                <w:color w:val="auto"/>
              </w:rPr>
              <w:t>Additional paid-in capital</w:t>
            </w:r>
          </w:p>
        </w:tc>
        <w:tc>
          <w:tcPr>
            <w:tcW w:w="1140" w:type="dxa"/>
            <w:vAlign w:val="bottom"/>
            <w:tcBorders>
              <w:bottom w:val="single" w:sz="8" w:color="888B8D"/>
            </w:tcBorders>
          </w:tcPr>
          <w:p>
            <w:pPr>
              <w:spacing w:after="0"/>
              <w:rPr>
                <w:sz w:val="17"/>
                <w:szCs w:val="17"/>
                <w:color w:val="auto"/>
              </w:rPr>
            </w:pPr>
          </w:p>
        </w:tc>
        <w:tc>
          <w:tcPr>
            <w:tcW w:w="700" w:type="dxa"/>
            <w:vAlign w:val="bottom"/>
            <w:tcBorders>
              <w:bottom w:val="single" w:sz="8" w:color="888B8D"/>
            </w:tcBorders>
          </w:tcPr>
          <w:p>
            <w:pPr>
              <w:spacing w:after="0"/>
              <w:rPr>
                <w:sz w:val="17"/>
                <w:szCs w:val="17"/>
                <w:color w:val="auto"/>
              </w:rPr>
            </w:pPr>
          </w:p>
        </w:tc>
        <w:tc>
          <w:tcPr>
            <w:tcW w:w="1300" w:type="dxa"/>
            <w:vAlign w:val="bottom"/>
            <w:tcBorders>
              <w:bottom w:val="single" w:sz="8" w:color="888B8D"/>
            </w:tcBorders>
          </w:tcPr>
          <w:p>
            <w:pPr>
              <w:spacing w:after="0"/>
              <w:rPr>
                <w:sz w:val="17"/>
                <w:szCs w:val="17"/>
                <w:color w:val="auto"/>
              </w:rPr>
            </w:pPr>
          </w:p>
        </w:tc>
        <w:tc>
          <w:tcPr>
            <w:tcW w:w="820" w:type="dxa"/>
            <w:vAlign w:val="bottom"/>
            <w:tcBorders>
              <w:bottom w:val="single" w:sz="8" w:color="888B8D"/>
            </w:tcBorders>
          </w:tcPr>
          <w:p>
            <w:pPr>
              <w:spacing w:after="0"/>
              <w:rPr>
                <w:sz w:val="17"/>
                <w:szCs w:val="17"/>
                <w:color w:val="auto"/>
              </w:rPr>
            </w:pPr>
          </w:p>
        </w:tc>
        <w:tc>
          <w:tcPr>
            <w:tcW w:w="1180" w:type="dxa"/>
            <w:vAlign w:val="bottom"/>
            <w:tcBorders>
              <w:bottom w:val="single" w:sz="8" w:color="888B8D"/>
            </w:tcBorders>
          </w:tcPr>
          <w:p>
            <w:pPr>
              <w:spacing w:after="0"/>
              <w:rPr>
                <w:sz w:val="17"/>
                <w:szCs w:val="17"/>
                <w:color w:val="auto"/>
              </w:rPr>
            </w:pPr>
          </w:p>
        </w:tc>
        <w:tc>
          <w:tcPr>
            <w:tcW w:w="620" w:type="dxa"/>
            <w:vAlign w:val="bottom"/>
            <w:tcBorders>
              <w:bottom w:val="single" w:sz="8" w:color="888B8D"/>
            </w:tcBorders>
          </w:tcPr>
          <w:p>
            <w:pPr>
              <w:spacing w:after="0"/>
              <w:rPr>
                <w:sz w:val="17"/>
                <w:szCs w:val="17"/>
                <w:color w:val="auto"/>
              </w:rPr>
            </w:pPr>
          </w:p>
        </w:tc>
      </w:tr>
      <w:tr>
        <w:trPr>
          <w:trHeight w:val="193"/>
        </w:trPr>
        <w:tc>
          <w:tcPr>
            <w:tcW w:w="5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Beginning balance</w:t>
            </w:r>
          </w:p>
        </w:tc>
        <w:tc>
          <w:tcPr>
            <w:tcW w:w="1140" w:type="dxa"/>
            <w:vAlign w:val="bottom"/>
            <w:tcBorders>
              <w:bottom w:val="single" w:sz="8" w:color="888B8D"/>
            </w:tcBorders>
          </w:tcPr>
          <w:p>
            <w:pPr>
              <w:spacing w:after="0"/>
              <w:rPr>
                <w:sz w:val="16"/>
                <w:szCs w:val="16"/>
                <w:color w:val="auto"/>
              </w:rPr>
            </w:pPr>
          </w:p>
        </w:tc>
        <w:tc>
          <w:tcPr>
            <w:tcW w:w="70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9,062</w:t>
            </w:r>
          </w:p>
        </w:tc>
        <w:tc>
          <w:tcPr>
            <w:tcW w:w="1300" w:type="dxa"/>
            <w:vAlign w:val="bottom"/>
            <w:tcBorders>
              <w:bottom w:val="single" w:sz="8" w:color="888B8D"/>
            </w:tcBorders>
          </w:tcPr>
          <w:p>
            <w:pPr>
              <w:spacing w:after="0"/>
              <w:rPr>
                <w:sz w:val="16"/>
                <w:szCs w:val="16"/>
                <w:color w:val="auto"/>
              </w:rPr>
            </w:pPr>
          </w:p>
        </w:tc>
        <w:tc>
          <w:tcPr>
            <w:tcW w:w="820" w:type="dxa"/>
            <w:vAlign w:val="bottom"/>
            <w:tcBorders>
              <w:bottom w:val="single" w:sz="8" w:color="888B8D"/>
            </w:tcBorders>
          </w:tcPr>
          <w:p>
            <w:pPr>
              <w:jc w:val="right"/>
              <w:ind w:right="188"/>
              <w:spacing w:after="0"/>
              <w:rPr>
                <w:sz w:val="20"/>
                <w:szCs w:val="20"/>
                <w:color w:val="auto"/>
              </w:rPr>
            </w:pPr>
            <w:r>
              <w:rPr>
                <w:rFonts w:ascii="Arial" w:cs="Arial" w:eastAsia="Arial" w:hAnsi="Arial"/>
                <w:sz w:val="14"/>
                <w:szCs w:val="14"/>
                <w:color w:val="auto"/>
              </w:rPr>
              <w:t>8,564</w:t>
            </w:r>
          </w:p>
        </w:tc>
        <w:tc>
          <w:tcPr>
            <w:tcW w:w="1180" w:type="dxa"/>
            <w:vAlign w:val="bottom"/>
            <w:tcBorders>
              <w:bottom w:val="single" w:sz="8" w:color="888B8D"/>
            </w:tcBorders>
          </w:tcPr>
          <w:p>
            <w:pPr>
              <w:spacing w:after="0"/>
              <w:rPr>
                <w:sz w:val="16"/>
                <w:szCs w:val="16"/>
                <w:color w:val="auto"/>
              </w:rPr>
            </w:pPr>
          </w:p>
        </w:tc>
        <w:tc>
          <w:tcPr>
            <w:tcW w:w="62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8,141</w:t>
            </w:r>
          </w:p>
        </w:tc>
      </w:tr>
      <w:tr>
        <w:trPr>
          <w:trHeight w:val="196"/>
        </w:trPr>
        <w:tc>
          <w:tcPr>
            <w:tcW w:w="548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Issued for employee savings and option plans</w:t>
            </w:r>
          </w:p>
        </w:tc>
        <w:tc>
          <w:tcPr>
            <w:tcW w:w="1140" w:type="dxa"/>
            <w:vAlign w:val="bottom"/>
            <w:tcBorders>
              <w:bottom w:val="single" w:sz="8" w:color="888B8D"/>
            </w:tcBorders>
          </w:tcPr>
          <w:p>
            <w:pPr>
              <w:spacing w:after="0"/>
              <w:rPr>
                <w:sz w:val="17"/>
                <w:szCs w:val="17"/>
                <w:color w:val="auto"/>
              </w:rPr>
            </w:pPr>
          </w:p>
        </w:tc>
        <w:tc>
          <w:tcPr>
            <w:tcW w:w="70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403</w:t>
            </w:r>
          </w:p>
        </w:tc>
        <w:tc>
          <w:tcPr>
            <w:tcW w:w="1300" w:type="dxa"/>
            <w:vAlign w:val="bottom"/>
            <w:tcBorders>
              <w:bottom w:val="single" w:sz="8" w:color="888B8D"/>
            </w:tcBorders>
          </w:tcPr>
          <w:p>
            <w:pPr>
              <w:spacing w:after="0"/>
              <w:rPr>
                <w:sz w:val="17"/>
                <w:szCs w:val="17"/>
                <w:color w:val="auto"/>
              </w:rPr>
            </w:pPr>
          </w:p>
        </w:tc>
        <w:tc>
          <w:tcPr>
            <w:tcW w:w="820" w:type="dxa"/>
            <w:vAlign w:val="bottom"/>
            <w:tcBorders>
              <w:bottom w:val="single" w:sz="8" w:color="888B8D"/>
            </w:tcBorders>
          </w:tcPr>
          <w:p>
            <w:pPr>
              <w:jc w:val="right"/>
              <w:ind w:right="188"/>
              <w:spacing w:after="0"/>
              <w:rPr>
                <w:sz w:val="20"/>
                <w:szCs w:val="20"/>
                <w:color w:val="auto"/>
              </w:rPr>
            </w:pPr>
            <w:r>
              <w:rPr>
                <w:rFonts w:ascii="Arial" w:cs="Arial" w:eastAsia="Arial" w:hAnsi="Arial"/>
                <w:sz w:val="14"/>
                <w:szCs w:val="14"/>
                <w:color w:val="auto"/>
              </w:rPr>
              <w:t>214</w:t>
            </w:r>
          </w:p>
        </w:tc>
        <w:tc>
          <w:tcPr>
            <w:tcW w:w="1180" w:type="dxa"/>
            <w:vAlign w:val="bottom"/>
            <w:tcBorders>
              <w:bottom w:val="single" w:sz="8" w:color="888B8D"/>
            </w:tcBorders>
          </w:tcPr>
          <w:p>
            <w:pPr>
              <w:spacing w:after="0"/>
              <w:rPr>
                <w:sz w:val="17"/>
                <w:szCs w:val="17"/>
                <w:color w:val="auto"/>
              </w:rPr>
            </w:pPr>
          </w:p>
        </w:tc>
        <w:tc>
          <w:tcPr>
            <w:tcW w:w="62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235</w:t>
            </w:r>
          </w:p>
        </w:tc>
      </w:tr>
      <w:tr>
        <w:trPr>
          <w:trHeight w:val="196"/>
        </w:trPr>
        <w:tc>
          <w:tcPr>
            <w:tcW w:w="548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Stock compensation expense</w:t>
            </w:r>
          </w:p>
        </w:tc>
        <w:tc>
          <w:tcPr>
            <w:tcW w:w="1140" w:type="dxa"/>
            <w:vAlign w:val="bottom"/>
            <w:tcBorders>
              <w:bottom w:val="single" w:sz="8" w:color="888B8D"/>
            </w:tcBorders>
          </w:tcPr>
          <w:p>
            <w:pPr>
              <w:spacing w:after="0"/>
              <w:rPr>
                <w:sz w:val="17"/>
                <w:szCs w:val="17"/>
                <w:color w:val="auto"/>
              </w:rPr>
            </w:pPr>
          </w:p>
        </w:tc>
        <w:tc>
          <w:tcPr>
            <w:tcW w:w="70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194</w:t>
            </w:r>
          </w:p>
        </w:tc>
        <w:tc>
          <w:tcPr>
            <w:tcW w:w="1300" w:type="dxa"/>
            <w:vAlign w:val="bottom"/>
            <w:tcBorders>
              <w:bottom w:val="single" w:sz="8" w:color="888B8D"/>
            </w:tcBorders>
          </w:tcPr>
          <w:p>
            <w:pPr>
              <w:spacing w:after="0"/>
              <w:rPr>
                <w:sz w:val="17"/>
                <w:szCs w:val="17"/>
                <w:color w:val="auto"/>
              </w:rPr>
            </w:pPr>
          </w:p>
        </w:tc>
        <w:tc>
          <w:tcPr>
            <w:tcW w:w="820" w:type="dxa"/>
            <w:vAlign w:val="bottom"/>
            <w:tcBorders>
              <w:bottom w:val="single" w:sz="8" w:color="888B8D"/>
            </w:tcBorders>
          </w:tcPr>
          <w:p>
            <w:pPr>
              <w:jc w:val="right"/>
              <w:ind w:right="188"/>
              <w:spacing w:after="0"/>
              <w:rPr>
                <w:sz w:val="20"/>
                <w:szCs w:val="20"/>
                <w:color w:val="auto"/>
              </w:rPr>
            </w:pPr>
            <w:r>
              <w:rPr>
                <w:rFonts w:ascii="Arial" w:cs="Arial" w:eastAsia="Arial" w:hAnsi="Arial"/>
                <w:sz w:val="14"/>
                <w:szCs w:val="14"/>
                <w:color w:val="auto"/>
              </w:rPr>
              <w:t>202</w:t>
            </w:r>
          </w:p>
        </w:tc>
        <w:tc>
          <w:tcPr>
            <w:tcW w:w="1180" w:type="dxa"/>
            <w:vAlign w:val="bottom"/>
            <w:tcBorders>
              <w:bottom w:val="single" w:sz="8" w:color="888B8D"/>
            </w:tcBorders>
          </w:tcPr>
          <w:p>
            <w:pPr>
              <w:spacing w:after="0"/>
              <w:rPr>
                <w:sz w:val="17"/>
                <w:szCs w:val="17"/>
                <w:color w:val="auto"/>
              </w:rPr>
            </w:pPr>
          </w:p>
        </w:tc>
        <w:tc>
          <w:tcPr>
            <w:tcW w:w="62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188</w:t>
            </w:r>
          </w:p>
        </w:tc>
      </w:tr>
      <w:tr>
        <w:trPr>
          <w:trHeight w:val="196"/>
        </w:trPr>
        <w:tc>
          <w:tcPr>
            <w:tcW w:w="548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Impact of Quantinuum contribution</w:t>
            </w:r>
          </w:p>
        </w:tc>
        <w:tc>
          <w:tcPr>
            <w:tcW w:w="114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36</w:t>
            </w:r>
          </w:p>
        </w:tc>
        <w:tc>
          <w:tcPr>
            <w:tcW w:w="1300" w:type="dxa"/>
            <w:vAlign w:val="bottom"/>
            <w:tcBorders>
              <w:bottom w:val="single" w:sz="8" w:color="D7282F"/>
            </w:tcBorders>
          </w:tcPr>
          <w:p>
            <w:pPr>
              <w:spacing w:after="0"/>
              <w:rPr>
                <w:sz w:val="17"/>
                <w:szCs w:val="17"/>
                <w:color w:val="auto"/>
              </w:rPr>
            </w:pPr>
          </w:p>
        </w:tc>
        <w:tc>
          <w:tcPr>
            <w:tcW w:w="820" w:type="dxa"/>
            <w:vAlign w:val="bottom"/>
            <w:tcBorders>
              <w:bottom w:val="single" w:sz="8" w:color="D7282F"/>
            </w:tcBorders>
          </w:tcPr>
          <w:p>
            <w:pPr>
              <w:jc w:val="right"/>
              <w:ind w:right="188"/>
              <w:spacing w:after="0"/>
              <w:rPr>
                <w:sz w:val="20"/>
                <w:szCs w:val="20"/>
                <w:color w:val="auto"/>
              </w:rPr>
            </w:pPr>
            <w:r>
              <w:rPr>
                <w:rFonts w:ascii="Arial" w:cs="Arial" w:eastAsia="Arial" w:hAnsi="Arial"/>
                <w:sz w:val="14"/>
                <w:szCs w:val="14"/>
                <w:color w:val="auto"/>
              </w:rPr>
              <w:t>82</w:t>
            </w:r>
          </w:p>
        </w:tc>
        <w:tc>
          <w:tcPr>
            <w:tcW w:w="118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r>
      <w:tr>
        <w:trPr>
          <w:trHeight w:val="199"/>
        </w:trPr>
        <w:tc>
          <w:tcPr>
            <w:tcW w:w="54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Ending balance</w:t>
            </w:r>
          </w:p>
        </w:tc>
        <w:tc>
          <w:tcPr>
            <w:tcW w:w="114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9,695</w:t>
            </w:r>
          </w:p>
        </w:tc>
        <w:tc>
          <w:tcPr>
            <w:tcW w:w="1300" w:type="dxa"/>
            <w:vAlign w:val="bottom"/>
            <w:tcBorders>
              <w:bottom w:val="single" w:sz="8" w:color="D7282F"/>
            </w:tcBorders>
          </w:tcPr>
          <w:p>
            <w:pPr>
              <w:spacing w:after="0"/>
              <w:rPr>
                <w:sz w:val="17"/>
                <w:szCs w:val="17"/>
                <w:color w:val="auto"/>
              </w:rPr>
            </w:pPr>
          </w:p>
        </w:tc>
        <w:tc>
          <w:tcPr>
            <w:tcW w:w="820" w:type="dxa"/>
            <w:vAlign w:val="bottom"/>
            <w:tcBorders>
              <w:bottom w:val="single" w:sz="8" w:color="D7282F"/>
            </w:tcBorders>
          </w:tcPr>
          <w:p>
            <w:pPr>
              <w:jc w:val="right"/>
              <w:ind w:right="188"/>
              <w:spacing w:after="0"/>
              <w:rPr>
                <w:sz w:val="20"/>
                <w:szCs w:val="20"/>
                <w:color w:val="auto"/>
              </w:rPr>
            </w:pPr>
            <w:r>
              <w:rPr>
                <w:rFonts w:ascii="Arial" w:cs="Arial" w:eastAsia="Arial" w:hAnsi="Arial"/>
                <w:sz w:val="14"/>
                <w:szCs w:val="14"/>
                <w:b w:val="1"/>
                <w:bCs w:val="1"/>
                <w:color w:val="auto"/>
              </w:rPr>
              <w:t>9,062</w:t>
            </w:r>
          </w:p>
        </w:tc>
        <w:tc>
          <w:tcPr>
            <w:tcW w:w="118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8,564</w:t>
            </w:r>
          </w:p>
        </w:tc>
      </w:tr>
      <w:tr>
        <w:trPr>
          <w:trHeight w:val="196"/>
        </w:trPr>
        <w:tc>
          <w:tcPr>
            <w:tcW w:w="5480" w:type="dxa"/>
            <w:vAlign w:val="bottom"/>
            <w:tcBorders>
              <w:bottom w:val="single" w:sz="8" w:color="888B8D"/>
            </w:tcBorders>
          </w:tcPr>
          <w:p>
            <w:pPr>
              <w:ind w:left="20"/>
              <w:spacing w:after="0"/>
              <w:rPr>
                <w:sz w:val="20"/>
                <w:szCs w:val="20"/>
                <w:color w:val="auto"/>
              </w:rPr>
            </w:pPr>
            <w:r>
              <w:rPr>
                <w:rFonts w:ascii="Arial" w:cs="Arial" w:eastAsia="Arial" w:hAnsi="Arial"/>
                <w:sz w:val="14"/>
                <w:szCs w:val="14"/>
                <w:b w:val="1"/>
                <w:bCs w:val="1"/>
                <w:color w:val="auto"/>
              </w:rPr>
              <w:t>Treasury stock</w:t>
            </w:r>
          </w:p>
        </w:tc>
        <w:tc>
          <w:tcPr>
            <w:tcW w:w="1140" w:type="dxa"/>
            <w:vAlign w:val="bottom"/>
            <w:tcBorders>
              <w:bottom w:val="single" w:sz="8" w:color="888B8D"/>
            </w:tcBorders>
          </w:tcPr>
          <w:p>
            <w:pPr>
              <w:spacing w:after="0"/>
              <w:rPr>
                <w:sz w:val="17"/>
                <w:szCs w:val="17"/>
                <w:color w:val="auto"/>
              </w:rPr>
            </w:pPr>
          </w:p>
        </w:tc>
        <w:tc>
          <w:tcPr>
            <w:tcW w:w="700" w:type="dxa"/>
            <w:vAlign w:val="bottom"/>
            <w:tcBorders>
              <w:bottom w:val="single" w:sz="8" w:color="888B8D"/>
            </w:tcBorders>
          </w:tcPr>
          <w:p>
            <w:pPr>
              <w:spacing w:after="0"/>
              <w:rPr>
                <w:sz w:val="17"/>
                <w:szCs w:val="17"/>
                <w:color w:val="auto"/>
              </w:rPr>
            </w:pPr>
          </w:p>
        </w:tc>
        <w:tc>
          <w:tcPr>
            <w:tcW w:w="1300" w:type="dxa"/>
            <w:vAlign w:val="bottom"/>
            <w:tcBorders>
              <w:bottom w:val="single" w:sz="8" w:color="888B8D"/>
            </w:tcBorders>
          </w:tcPr>
          <w:p>
            <w:pPr>
              <w:spacing w:after="0"/>
              <w:rPr>
                <w:sz w:val="17"/>
                <w:szCs w:val="17"/>
                <w:color w:val="auto"/>
              </w:rPr>
            </w:pPr>
          </w:p>
        </w:tc>
        <w:tc>
          <w:tcPr>
            <w:tcW w:w="820" w:type="dxa"/>
            <w:vAlign w:val="bottom"/>
            <w:tcBorders>
              <w:bottom w:val="single" w:sz="8" w:color="888B8D"/>
            </w:tcBorders>
          </w:tcPr>
          <w:p>
            <w:pPr>
              <w:spacing w:after="0"/>
              <w:rPr>
                <w:sz w:val="17"/>
                <w:szCs w:val="17"/>
                <w:color w:val="auto"/>
              </w:rPr>
            </w:pPr>
          </w:p>
        </w:tc>
        <w:tc>
          <w:tcPr>
            <w:tcW w:w="1180" w:type="dxa"/>
            <w:vAlign w:val="bottom"/>
            <w:tcBorders>
              <w:bottom w:val="single" w:sz="8" w:color="888B8D"/>
            </w:tcBorders>
          </w:tcPr>
          <w:p>
            <w:pPr>
              <w:spacing w:after="0"/>
              <w:rPr>
                <w:sz w:val="17"/>
                <w:szCs w:val="17"/>
                <w:color w:val="auto"/>
              </w:rPr>
            </w:pPr>
          </w:p>
        </w:tc>
        <w:tc>
          <w:tcPr>
            <w:tcW w:w="620" w:type="dxa"/>
            <w:vAlign w:val="bottom"/>
            <w:tcBorders>
              <w:bottom w:val="single" w:sz="8" w:color="888B8D"/>
            </w:tcBorders>
          </w:tcPr>
          <w:p>
            <w:pPr>
              <w:spacing w:after="0"/>
              <w:rPr>
                <w:sz w:val="17"/>
                <w:szCs w:val="17"/>
                <w:color w:val="auto"/>
              </w:rPr>
            </w:pPr>
          </w:p>
        </w:tc>
      </w:tr>
      <w:tr>
        <w:trPr>
          <w:trHeight w:val="193"/>
        </w:trPr>
        <w:tc>
          <w:tcPr>
            <w:tcW w:w="5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Beginning balance</w:t>
            </w:r>
          </w:p>
        </w:tc>
        <w:tc>
          <w:tcPr>
            <w:tcW w:w="1140" w:type="dxa"/>
            <w:vAlign w:val="bottom"/>
            <w:tcBorders>
              <w:bottom w:val="single" w:sz="8" w:color="888B8D"/>
            </w:tcBorders>
          </w:tcPr>
          <w:p>
            <w:pPr>
              <w:jc w:val="right"/>
              <w:ind w:right="328"/>
              <w:spacing w:after="0"/>
              <w:rPr>
                <w:sz w:val="20"/>
                <w:szCs w:val="20"/>
                <w:color w:val="auto"/>
              </w:rPr>
            </w:pPr>
            <w:r>
              <w:rPr>
                <w:rFonts w:ascii="Arial" w:cs="Arial" w:eastAsia="Arial" w:hAnsi="Arial"/>
                <w:sz w:val="14"/>
                <w:szCs w:val="14"/>
                <w:color w:val="auto"/>
              </w:rPr>
              <w:t>(305.8)</w:t>
            </w:r>
          </w:p>
        </w:tc>
        <w:tc>
          <w:tcPr>
            <w:tcW w:w="700" w:type="dxa"/>
            <w:vAlign w:val="bottom"/>
            <w:tcBorders>
              <w:bottom w:val="single" w:sz="8" w:color="888B8D"/>
            </w:tcBorders>
          </w:tcPr>
          <w:p>
            <w:pPr>
              <w:jc w:val="right"/>
              <w:ind w:right="28"/>
              <w:spacing w:after="0"/>
              <w:rPr>
                <w:sz w:val="20"/>
                <w:szCs w:val="20"/>
                <w:color w:val="auto"/>
              </w:rPr>
            </w:pPr>
            <w:r>
              <w:rPr>
                <w:rFonts w:ascii="Arial" w:cs="Arial" w:eastAsia="Arial" w:hAnsi="Arial"/>
                <w:sz w:val="14"/>
                <w:szCs w:val="14"/>
                <w:color w:val="auto"/>
              </w:rPr>
              <w:t>(38,008)</w:t>
            </w:r>
          </w:p>
        </w:tc>
        <w:tc>
          <w:tcPr>
            <w:tcW w:w="1300" w:type="dxa"/>
            <w:vAlign w:val="bottom"/>
            <w:tcBorders>
              <w:bottom w:val="single" w:sz="8" w:color="888B8D"/>
            </w:tcBorders>
          </w:tcPr>
          <w:p>
            <w:pPr>
              <w:jc w:val="right"/>
              <w:ind w:right="328"/>
              <w:spacing w:after="0"/>
              <w:rPr>
                <w:sz w:val="20"/>
                <w:szCs w:val="20"/>
                <w:color w:val="auto"/>
              </w:rPr>
            </w:pPr>
            <w:r>
              <w:rPr>
                <w:rFonts w:ascii="Arial" w:cs="Arial" w:eastAsia="Arial" w:hAnsi="Arial"/>
                <w:sz w:val="14"/>
                <w:szCs w:val="14"/>
                <w:color w:val="auto"/>
              </w:rPr>
              <w:t>(290.0)</w:t>
            </w:r>
          </w:p>
        </w:tc>
        <w:tc>
          <w:tcPr>
            <w:tcW w:w="820" w:type="dxa"/>
            <w:vAlign w:val="bottom"/>
            <w:tcBorders>
              <w:bottom w:val="single" w:sz="8" w:color="888B8D"/>
            </w:tcBorders>
          </w:tcPr>
          <w:p>
            <w:pPr>
              <w:jc w:val="right"/>
              <w:ind w:right="148"/>
              <w:spacing w:after="0"/>
              <w:rPr>
                <w:sz w:val="20"/>
                <w:szCs w:val="20"/>
                <w:color w:val="auto"/>
              </w:rPr>
            </w:pPr>
            <w:r>
              <w:rPr>
                <w:rFonts w:ascii="Arial" w:cs="Arial" w:eastAsia="Arial" w:hAnsi="Arial"/>
                <w:sz w:val="14"/>
                <w:szCs w:val="14"/>
                <w:color w:val="auto"/>
              </w:rPr>
              <w:t>(34,443)</w:t>
            </w:r>
          </w:p>
        </w:tc>
        <w:tc>
          <w:tcPr>
            <w:tcW w:w="1180" w:type="dxa"/>
            <w:vAlign w:val="bottom"/>
            <w:tcBorders>
              <w:bottom w:val="single" w:sz="8" w:color="888B8D"/>
            </w:tcBorders>
          </w:tcPr>
          <w:p>
            <w:pPr>
              <w:jc w:val="right"/>
              <w:ind w:right="328"/>
              <w:spacing w:after="0"/>
              <w:rPr>
                <w:sz w:val="20"/>
                <w:szCs w:val="20"/>
                <w:color w:val="auto"/>
              </w:rPr>
            </w:pPr>
            <w:r>
              <w:rPr>
                <w:rFonts w:ascii="Arial" w:cs="Arial" w:eastAsia="Arial" w:hAnsi="Arial"/>
                <w:sz w:val="14"/>
                <w:szCs w:val="14"/>
                <w:color w:val="auto"/>
              </w:rPr>
              <w:t>(272.8)</w:t>
            </w:r>
          </w:p>
        </w:tc>
        <w:tc>
          <w:tcPr>
            <w:tcW w:w="62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(30,462)</w:t>
            </w:r>
          </w:p>
        </w:tc>
      </w:tr>
      <w:tr>
        <w:trPr>
          <w:trHeight w:val="196"/>
        </w:trPr>
        <w:tc>
          <w:tcPr>
            <w:tcW w:w="548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Reacquired stock or repurchases of common stock</w:t>
            </w:r>
          </w:p>
        </w:tc>
        <w:tc>
          <w:tcPr>
            <w:tcW w:w="1140" w:type="dxa"/>
            <w:vAlign w:val="bottom"/>
            <w:tcBorders>
              <w:bottom w:val="single" w:sz="8" w:color="888B8D"/>
            </w:tcBorders>
          </w:tcPr>
          <w:p>
            <w:pPr>
              <w:jc w:val="right"/>
              <w:ind w:right="328"/>
              <w:spacing w:after="0"/>
              <w:rPr>
                <w:sz w:val="20"/>
                <w:szCs w:val="20"/>
                <w:color w:val="auto"/>
              </w:rPr>
            </w:pPr>
            <w:r>
              <w:rPr>
                <w:rFonts w:ascii="Arial" w:cs="Arial" w:eastAsia="Arial" w:hAnsi="Arial"/>
                <w:sz w:val="14"/>
                <w:szCs w:val="14"/>
                <w:color w:val="auto"/>
              </w:rPr>
              <w:t>(8.0)</w:t>
            </w:r>
          </w:p>
        </w:tc>
        <w:tc>
          <w:tcPr>
            <w:tcW w:w="700" w:type="dxa"/>
            <w:vAlign w:val="bottom"/>
            <w:tcBorders>
              <w:bottom w:val="single" w:sz="8" w:color="888B8D"/>
            </w:tcBorders>
          </w:tcPr>
          <w:p>
            <w:pPr>
              <w:jc w:val="right"/>
              <w:ind w:right="28"/>
              <w:spacing w:after="0"/>
              <w:rPr>
                <w:sz w:val="20"/>
                <w:szCs w:val="20"/>
                <w:color w:val="auto"/>
              </w:rPr>
            </w:pPr>
            <w:r>
              <w:rPr>
                <w:rFonts w:ascii="Arial" w:cs="Arial" w:eastAsia="Arial" w:hAnsi="Arial"/>
                <w:sz w:val="14"/>
                <w:szCs w:val="14"/>
                <w:color w:val="auto"/>
              </w:rPr>
              <w:t>(1,672)</w:t>
            </w:r>
          </w:p>
        </w:tc>
        <w:tc>
          <w:tcPr>
            <w:tcW w:w="1300" w:type="dxa"/>
            <w:vAlign w:val="bottom"/>
            <w:tcBorders>
              <w:bottom w:val="single" w:sz="8" w:color="888B8D"/>
            </w:tcBorders>
          </w:tcPr>
          <w:p>
            <w:pPr>
              <w:jc w:val="right"/>
              <w:ind w:right="328"/>
              <w:spacing w:after="0"/>
              <w:rPr>
                <w:sz w:val="20"/>
                <w:szCs w:val="20"/>
                <w:color w:val="auto"/>
              </w:rPr>
            </w:pPr>
            <w:r>
              <w:rPr>
                <w:rFonts w:ascii="Arial" w:cs="Arial" w:eastAsia="Arial" w:hAnsi="Arial"/>
                <w:sz w:val="14"/>
                <w:szCs w:val="14"/>
                <w:color w:val="auto"/>
              </w:rPr>
              <w:t>(19.2)</w:t>
            </w:r>
          </w:p>
        </w:tc>
        <w:tc>
          <w:tcPr>
            <w:tcW w:w="820" w:type="dxa"/>
            <w:vAlign w:val="bottom"/>
            <w:tcBorders>
              <w:bottom w:val="single" w:sz="8" w:color="888B8D"/>
            </w:tcBorders>
          </w:tcPr>
          <w:p>
            <w:pPr>
              <w:jc w:val="right"/>
              <w:ind w:right="148"/>
              <w:spacing w:after="0"/>
              <w:rPr>
                <w:sz w:val="20"/>
                <w:szCs w:val="20"/>
                <w:color w:val="auto"/>
              </w:rPr>
            </w:pPr>
            <w:r>
              <w:rPr>
                <w:rFonts w:ascii="Arial" w:cs="Arial" w:eastAsia="Arial" w:hAnsi="Arial"/>
                <w:sz w:val="14"/>
                <w:szCs w:val="14"/>
                <w:color w:val="auto"/>
              </w:rPr>
              <w:t>(3,715)</w:t>
            </w:r>
          </w:p>
        </w:tc>
        <w:tc>
          <w:tcPr>
            <w:tcW w:w="1180" w:type="dxa"/>
            <w:vAlign w:val="bottom"/>
            <w:tcBorders>
              <w:bottom w:val="single" w:sz="8" w:color="888B8D"/>
            </w:tcBorders>
          </w:tcPr>
          <w:p>
            <w:pPr>
              <w:jc w:val="right"/>
              <w:ind w:right="328"/>
              <w:spacing w:after="0"/>
              <w:rPr>
                <w:sz w:val="20"/>
                <w:szCs w:val="20"/>
                <w:color w:val="auto"/>
              </w:rPr>
            </w:pPr>
            <w:r>
              <w:rPr>
                <w:rFonts w:ascii="Arial" w:cs="Arial" w:eastAsia="Arial" w:hAnsi="Arial"/>
                <w:sz w:val="14"/>
                <w:szCs w:val="14"/>
                <w:color w:val="auto"/>
              </w:rPr>
              <w:t>(21.9)</w:t>
            </w:r>
          </w:p>
        </w:tc>
        <w:tc>
          <w:tcPr>
            <w:tcW w:w="62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(4,200)</w:t>
            </w:r>
          </w:p>
        </w:tc>
      </w:tr>
      <w:tr>
        <w:trPr>
          <w:trHeight w:val="196"/>
        </w:trPr>
        <w:tc>
          <w:tcPr>
            <w:tcW w:w="548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Issued for employee savings and option plans</w:t>
            </w:r>
          </w:p>
        </w:tc>
        <w:tc>
          <w:tcPr>
            <w:tcW w:w="1140" w:type="dxa"/>
            <w:vAlign w:val="bottom"/>
            <w:tcBorders>
              <w:bottom w:val="single" w:sz="8" w:color="D7282F"/>
            </w:tcBorders>
          </w:tcPr>
          <w:p>
            <w:pPr>
              <w:jc w:val="right"/>
              <w:ind w:right="368"/>
              <w:spacing w:after="0"/>
              <w:rPr>
                <w:sz w:val="20"/>
                <w:szCs w:val="20"/>
                <w:color w:val="auto"/>
              </w:rPr>
            </w:pPr>
            <w:r>
              <w:rPr>
                <w:rFonts w:ascii="Arial" w:cs="Arial" w:eastAsia="Arial" w:hAnsi="Arial"/>
                <w:sz w:val="14"/>
                <w:szCs w:val="14"/>
                <w:color w:val="auto"/>
              </w:rPr>
              <w:t>6.0</w:t>
            </w:r>
          </w:p>
        </w:tc>
        <w:tc>
          <w:tcPr>
            <w:tcW w:w="7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302</w:t>
            </w:r>
          </w:p>
        </w:tc>
        <w:tc>
          <w:tcPr>
            <w:tcW w:w="1300" w:type="dxa"/>
            <w:vAlign w:val="bottom"/>
            <w:tcBorders>
              <w:bottom w:val="single" w:sz="8" w:color="D7282F"/>
            </w:tcBorders>
          </w:tcPr>
          <w:p>
            <w:pPr>
              <w:jc w:val="right"/>
              <w:ind w:right="368"/>
              <w:spacing w:after="0"/>
              <w:rPr>
                <w:sz w:val="20"/>
                <w:szCs w:val="20"/>
                <w:color w:val="auto"/>
              </w:rPr>
            </w:pPr>
            <w:r>
              <w:rPr>
                <w:rFonts w:ascii="Arial" w:cs="Arial" w:eastAsia="Arial" w:hAnsi="Arial"/>
                <w:sz w:val="14"/>
                <w:szCs w:val="14"/>
                <w:color w:val="auto"/>
              </w:rPr>
              <w:t>3.4</w:t>
            </w:r>
          </w:p>
        </w:tc>
        <w:tc>
          <w:tcPr>
            <w:tcW w:w="820" w:type="dxa"/>
            <w:vAlign w:val="bottom"/>
            <w:tcBorders>
              <w:bottom w:val="single" w:sz="8" w:color="D7282F"/>
            </w:tcBorders>
          </w:tcPr>
          <w:p>
            <w:pPr>
              <w:jc w:val="right"/>
              <w:ind w:right="188"/>
              <w:spacing w:after="0"/>
              <w:rPr>
                <w:sz w:val="20"/>
                <w:szCs w:val="20"/>
                <w:color w:val="auto"/>
              </w:rPr>
            </w:pPr>
            <w:r>
              <w:rPr>
                <w:rFonts w:ascii="Arial" w:cs="Arial" w:eastAsia="Arial" w:hAnsi="Arial"/>
                <w:sz w:val="14"/>
                <w:szCs w:val="14"/>
                <w:color w:val="auto"/>
              </w:rPr>
              <w:t>150</w:t>
            </w:r>
          </w:p>
        </w:tc>
        <w:tc>
          <w:tcPr>
            <w:tcW w:w="1180" w:type="dxa"/>
            <w:vAlign w:val="bottom"/>
            <w:tcBorders>
              <w:bottom w:val="single" w:sz="8" w:color="D7282F"/>
            </w:tcBorders>
          </w:tcPr>
          <w:p>
            <w:pPr>
              <w:jc w:val="right"/>
              <w:ind w:right="368"/>
              <w:spacing w:after="0"/>
              <w:rPr>
                <w:sz w:val="20"/>
                <w:szCs w:val="20"/>
                <w:color w:val="auto"/>
              </w:rPr>
            </w:pPr>
            <w:r>
              <w:rPr>
                <w:rFonts w:ascii="Arial" w:cs="Arial" w:eastAsia="Arial" w:hAnsi="Arial"/>
                <w:sz w:val="14"/>
                <w:szCs w:val="14"/>
                <w:color w:val="auto"/>
              </w:rPr>
              <w:t>4.7</w:t>
            </w: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219</w:t>
            </w:r>
          </w:p>
        </w:tc>
      </w:tr>
      <w:tr>
        <w:trPr>
          <w:trHeight w:val="199"/>
        </w:trPr>
        <w:tc>
          <w:tcPr>
            <w:tcW w:w="54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Ending balance</w:t>
            </w:r>
          </w:p>
        </w:tc>
        <w:tc>
          <w:tcPr>
            <w:tcW w:w="1140" w:type="dxa"/>
            <w:vAlign w:val="bottom"/>
            <w:tcBorders>
              <w:bottom w:val="single" w:sz="8" w:color="D7282F"/>
            </w:tcBorders>
          </w:tcPr>
          <w:p>
            <w:pPr>
              <w:jc w:val="right"/>
              <w:ind w:right="328"/>
              <w:spacing w:after="0"/>
              <w:rPr>
                <w:sz w:val="20"/>
                <w:szCs w:val="20"/>
                <w:color w:val="auto"/>
              </w:rPr>
            </w:pPr>
            <w:r>
              <w:rPr>
                <w:rFonts w:ascii="Arial" w:cs="Arial" w:eastAsia="Arial" w:hAnsi="Arial"/>
                <w:sz w:val="14"/>
                <w:szCs w:val="14"/>
                <w:b w:val="1"/>
                <w:bCs w:val="1"/>
                <w:color w:val="auto"/>
              </w:rPr>
              <w:t>(307.8)</w:t>
            </w:r>
          </w:p>
        </w:tc>
        <w:tc>
          <w:tcPr>
            <w:tcW w:w="70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(39,378)</w:t>
            </w:r>
          </w:p>
        </w:tc>
        <w:tc>
          <w:tcPr>
            <w:tcW w:w="1300" w:type="dxa"/>
            <w:vAlign w:val="bottom"/>
            <w:tcBorders>
              <w:bottom w:val="single" w:sz="8" w:color="D7282F"/>
            </w:tcBorders>
          </w:tcPr>
          <w:p>
            <w:pPr>
              <w:jc w:val="right"/>
              <w:ind w:right="328"/>
              <w:spacing w:after="0"/>
              <w:rPr>
                <w:sz w:val="20"/>
                <w:szCs w:val="20"/>
                <w:color w:val="auto"/>
              </w:rPr>
            </w:pPr>
            <w:r>
              <w:rPr>
                <w:rFonts w:ascii="Arial" w:cs="Arial" w:eastAsia="Arial" w:hAnsi="Arial"/>
                <w:sz w:val="14"/>
                <w:szCs w:val="14"/>
                <w:b w:val="1"/>
                <w:bCs w:val="1"/>
                <w:color w:val="auto"/>
              </w:rPr>
              <w:t>(305.8)</w:t>
            </w:r>
          </w:p>
        </w:tc>
        <w:tc>
          <w:tcPr>
            <w:tcW w:w="82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(38,008)</w:t>
            </w:r>
          </w:p>
        </w:tc>
        <w:tc>
          <w:tcPr>
            <w:tcW w:w="1180" w:type="dxa"/>
            <w:vAlign w:val="bottom"/>
            <w:tcBorders>
              <w:bottom w:val="single" w:sz="8" w:color="D7282F"/>
            </w:tcBorders>
          </w:tcPr>
          <w:p>
            <w:pPr>
              <w:jc w:val="right"/>
              <w:ind w:right="328"/>
              <w:spacing w:after="0"/>
              <w:rPr>
                <w:sz w:val="20"/>
                <w:szCs w:val="20"/>
                <w:color w:val="auto"/>
              </w:rPr>
            </w:pPr>
            <w:r>
              <w:rPr>
                <w:rFonts w:ascii="Arial" w:cs="Arial" w:eastAsia="Arial" w:hAnsi="Arial"/>
                <w:sz w:val="14"/>
                <w:szCs w:val="14"/>
                <w:b w:val="1"/>
                <w:bCs w:val="1"/>
                <w:color w:val="auto"/>
              </w:rPr>
              <w:t>(290.0)</w:t>
            </w: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(34,443)</w:t>
            </w:r>
          </w:p>
        </w:tc>
      </w:tr>
      <w:tr>
        <w:trPr>
          <w:trHeight w:val="196"/>
        </w:trPr>
        <w:tc>
          <w:tcPr>
            <w:tcW w:w="5480" w:type="dxa"/>
            <w:vAlign w:val="bottom"/>
            <w:tcBorders>
              <w:bottom w:val="single" w:sz="8" w:color="888B8D"/>
            </w:tcBorders>
          </w:tcPr>
          <w:p>
            <w:pPr>
              <w:ind w:left="20"/>
              <w:spacing w:after="0"/>
              <w:rPr>
                <w:sz w:val="20"/>
                <w:szCs w:val="20"/>
                <w:color w:val="auto"/>
              </w:rPr>
            </w:pPr>
            <w:r>
              <w:rPr>
                <w:rFonts w:ascii="Arial" w:cs="Arial" w:eastAsia="Arial" w:hAnsi="Arial"/>
                <w:sz w:val="14"/>
                <w:szCs w:val="14"/>
                <w:b w:val="1"/>
                <w:bCs w:val="1"/>
                <w:color w:val="auto"/>
              </w:rPr>
              <w:t>Retained earnings</w:t>
            </w:r>
          </w:p>
        </w:tc>
        <w:tc>
          <w:tcPr>
            <w:tcW w:w="1140" w:type="dxa"/>
            <w:vAlign w:val="bottom"/>
            <w:tcBorders>
              <w:bottom w:val="single" w:sz="8" w:color="888B8D"/>
            </w:tcBorders>
          </w:tcPr>
          <w:p>
            <w:pPr>
              <w:spacing w:after="0"/>
              <w:rPr>
                <w:sz w:val="17"/>
                <w:szCs w:val="17"/>
                <w:color w:val="auto"/>
              </w:rPr>
            </w:pPr>
          </w:p>
        </w:tc>
        <w:tc>
          <w:tcPr>
            <w:tcW w:w="700" w:type="dxa"/>
            <w:vAlign w:val="bottom"/>
            <w:tcBorders>
              <w:bottom w:val="single" w:sz="8" w:color="888B8D"/>
            </w:tcBorders>
          </w:tcPr>
          <w:p>
            <w:pPr>
              <w:spacing w:after="0"/>
              <w:rPr>
                <w:sz w:val="17"/>
                <w:szCs w:val="17"/>
                <w:color w:val="auto"/>
              </w:rPr>
            </w:pPr>
          </w:p>
        </w:tc>
        <w:tc>
          <w:tcPr>
            <w:tcW w:w="1300" w:type="dxa"/>
            <w:vAlign w:val="bottom"/>
            <w:tcBorders>
              <w:bottom w:val="single" w:sz="8" w:color="888B8D"/>
            </w:tcBorders>
          </w:tcPr>
          <w:p>
            <w:pPr>
              <w:spacing w:after="0"/>
              <w:rPr>
                <w:sz w:val="17"/>
                <w:szCs w:val="17"/>
                <w:color w:val="auto"/>
              </w:rPr>
            </w:pPr>
          </w:p>
        </w:tc>
        <w:tc>
          <w:tcPr>
            <w:tcW w:w="820" w:type="dxa"/>
            <w:vAlign w:val="bottom"/>
            <w:tcBorders>
              <w:bottom w:val="single" w:sz="8" w:color="888B8D"/>
            </w:tcBorders>
          </w:tcPr>
          <w:p>
            <w:pPr>
              <w:spacing w:after="0"/>
              <w:rPr>
                <w:sz w:val="17"/>
                <w:szCs w:val="17"/>
                <w:color w:val="auto"/>
              </w:rPr>
            </w:pPr>
          </w:p>
        </w:tc>
        <w:tc>
          <w:tcPr>
            <w:tcW w:w="1180" w:type="dxa"/>
            <w:vAlign w:val="bottom"/>
            <w:tcBorders>
              <w:bottom w:val="single" w:sz="8" w:color="888B8D"/>
            </w:tcBorders>
          </w:tcPr>
          <w:p>
            <w:pPr>
              <w:spacing w:after="0"/>
              <w:rPr>
                <w:sz w:val="17"/>
                <w:szCs w:val="17"/>
                <w:color w:val="auto"/>
              </w:rPr>
            </w:pPr>
          </w:p>
        </w:tc>
        <w:tc>
          <w:tcPr>
            <w:tcW w:w="620" w:type="dxa"/>
            <w:vAlign w:val="bottom"/>
            <w:tcBorders>
              <w:bottom w:val="single" w:sz="8" w:color="888B8D"/>
            </w:tcBorders>
          </w:tcPr>
          <w:p>
            <w:pPr>
              <w:spacing w:after="0"/>
              <w:rPr>
                <w:sz w:val="17"/>
                <w:szCs w:val="17"/>
                <w:color w:val="auto"/>
              </w:rPr>
            </w:pPr>
          </w:p>
        </w:tc>
      </w:tr>
      <w:tr>
        <w:trPr>
          <w:trHeight w:val="193"/>
        </w:trPr>
        <w:tc>
          <w:tcPr>
            <w:tcW w:w="5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Beginning balance</w:t>
            </w:r>
          </w:p>
        </w:tc>
        <w:tc>
          <w:tcPr>
            <w:tcW w:w="1140" w:type="dxa"/>
            <w:vAlign w:val="bottom"/>
            <w:tcBorders>
              <w:bottom w:val="single" w:sz="8" w:color="888B8D"/>
            </w:tcBorders>
          </w:tcPr>
          <w:p>
            <w:pPr>
              <w:spacing w:after="0"/>
              <w:rPr>
                <w:sz w:val="16"/>
                <w:szCs w:val="16"/>
                <w:color w:val="auto"/>
              </w:rPr>
            </w:pPr>
          </w:p>
        </w:tc>
        <w:tc>
          <w:tcPr>
            <w:tcW w:w="70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47,979</w:t>
            </w:r>
          </w:p>
        </w:tc>
        <w:tc>
          <w:tcPr>
            <w:tcW w:w="1300" w:type="dxa"/>
            <w:vAlign w:val="bottom"/>
            <w:tcBorders>
              <w:bottom w:val="single" w:sz="8" w:color="888B8D"/>
            </w:tcBorders>
          </w:tcPr>
          <w:p>
            <w:pPr>
              <w:spacing w:after="0"/>
              <w:rPr>
                <w:sz w:val="16"/>
                <w:szCs w:val="16"/>
                <w:color w:val="auto"/>
              </w:rPr>
            </w:pPr>
          </w:p>
        </w:tc>
        <w:tc>
          <w:tcPr>
            <w:tcW w:w="820" w:type="dxa"/>
            <w:vAlign w:val="bottom"/>
            <w:tcBorders>
              <w:bottom w:val="single" w:sz="8" w:color="888B8D"/>
            </w:tcBorders>
          </w:tcPr>
          <w:p>
            <w:pPr>
              <w:jc w:val="right"/>
              <w:ind w:right="188"/>
              <w:spacing w:after="0"/>
              <w:rPr>
                <w:sz w:val="20"/>
                <w:szCs w:val="20"/>
                <w:color w:val="auto"/>
              </w:rPr>
            </w:pPr>
            <w:r>
              <w:rPr>
                <w:rFonts w:ascii="Arial" w:cs="Arial" w:eastAsia="Arial" w:hAnsi="Arial"/>
                <w:sz w:val="14"/>
                <w:szCs w:val="14"/>
                <w:color w:val="auto"/>
              </w:rPr>
              <w:t>45,093</w:t>
            </w:r>
          </w:p>
        </w:tc>
        <w:tc>
          <w:tcPr>
            <w:tcW w:w="1180" w:type="dxa"/>
            <w:vAlign w:val="bottom"/>
            <w:tcBorders>
              <w:bottom w:val="single" w:sz="8" w:color="888B8D"/>
            </w:tcBorders>
          </w:tcPr>
          <w:p>
            <w:pPr>
              <w:spacing w:after="0"/>
              <w:rPr>
                <w:sz w:val="16"/>
                <w:szCs w:val="16"/>
                <w:color w:val="auto"/>
              </w:rPr>
            </w:pPr>
          </w:p>
        </w:tc>
        <w:tc>
          <w:tcPr>
            <w:tcW w:w="62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42,827</w:t>
            </w:r>
          </w:p>
        </w:tc>
      </w:tr>
      <w:tr>
        <w:trPr>
          <w:trHeight w:val="196"/>
        </w:trPr>
        <w:tc>
          <w:tcPr>
            <w:tcW w:w="548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Net income attributable to Honeywell</w:t>
            </w:r>
          </w:p>
        </w:tc>
        <w:tc>
          <w:tcPr>
            <w:tcW w:w="1140" w:type="dxa"/>
            <w:vAlign w:val="bottom"/>
            <w:tcBorders>
              <w:bottom w:val="single" w:sz="8" w:color="888B8D"/>
            </w:tcBorders>
          </w:tcPr>
          <w:p>
            <w:pPr>
              <w:spacing w:after="0"/>
              <w:rPr>
                <w:sz w:val="17"/>
                <w:szCs w:val="17"/>
                <w:color w:val="auto"/>
              </w:rPr>
            </w:pPr>
          </w:p>
        </w:tc>
        <w:tc>
          <w:tcPr>
            <w:tcW w:w="70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5,705</w:t>
            </w:r>
          </w:p>
        </w:tc>
        <w:tc>
          <w:tcPr>
            <w:tcW w:w="1300" w:type="dxa"/>
            <w:vAlign w:val="bottom"/>
            <w:tcBorders>
              <w:bottom w:val="single" w:sz="8" w:color="888B8D"/>
            </w:tcBorders>
          </w:tcPr>
          <w:p>
            <w:pPr>
              <w:spacing w:after="0"/>
              <w:rPr>
                <w:sz w:val="17"/>
                <w:szCs w:val="17"/>
                <w:color w:val="auto"/>
              </w:rPr>
            </w:pPr>
          </w:p>
        </w:tc>
        <w:tc>
          <w:tcPr>
            <w:tcW w:w="820" w:type="dxa"/>
            <w:vAlign w:val="bottom"/>
            <w:tcBorders>
              <w:bottom w:val="single" w:sz="8" w:color="888B8D"/>
            </w:tcBorders>
          </w:tcPr>
          <w:p>
            <w:pPr>
              <w:jc w:val="right"/>
              <w:ind w:right="188"/>
              <w:spacing w:after="0"/>
              <w:rPr>
                <w:sz w:val="20"/>
                <w:szCs w:val="20"/>
                <w:color w:val="auto"/>
              </w:rPr>
            </w:pPr>
            <w:r>
              <w:rPr>
                <w:rFonts w:ascii="Arial" w:cs="Arial" w:eastAsia="Arial" w:hAnsi="Arial"/>
                <w:sz w:val="14"/>
                <w:szCs w:val="14"/>
                <w:color w:val="auto"/>
              </w:rPr>
              <w:t>5,658</w:t>
            </w:r>
          </w:p>
        </w:tc>
        <w:tc>
          <w:tcPr>
            <w:tcW w:w="1180" w:type="dxa"/>
            <w:vAlign w:val="bottom"/>
            <w:tcBorders>
              <w:bottom w:val="single" w:sz="8" w:color="888B8D"/>
            </w:tcBorders>
          </w:tcPr>
          <w:p>
            <w:pPr>
              <w:spacing w:after="0"/>
              <w:rPr>
                <w:sz w:val="17"/>
                <w:szCs w:val="17"/>
                <w:color w:val="auto"/>
              </w:rPr>
            </w:pPr>
          </w:p>
        </w:tc>
        <w:tc>
          <w:tcPr>
            <w:tcW w:w="62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4,966</w:t>
            </w:r>
          </w:p>
        </w:tc>
      </w:tr>
      <w:tr>
        <w:trPr>
          <w:trHeight w:val="196"/>
        </w:trPr>
        <w:tc>
          <w:tcPr>
            <w:tcW w:w="548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Dividends on common stock</w:t>
            </w:r>
          </w:p>
        </w:tc>
        <w:tc>
          <w:tcPr>
            <w:tcW w:w="114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color w:val="auto"/>
              </w:rPr>
              <w:t>(2,849)</w:t>
            </w:r>
          </w:p>
        </w:tc>
        <w:tc>
          <w:tcPr>
            <w:tcW w:w="1300" w:type="dxa"/>
            <w:vAlign w:val="bottom"/>
            <w:tcBorders>
              <w:bottom w:val="single" w:sz="8" w:color="D7282F"/>
            </w:tcBorders>
          </w:tcPr>
          <w:p>
            <w:pPr>
              <w:spacing w:after="0"/>
              <w:rPr>
                <w:sz w:val="17"/>
                <w:szCs w:val="17"/>
                <w:color w:val="auto"/>
              </w:rPr>
            </w:pPr>
          </w:p>
        </w:tc>
        <w:tc>
          <w:tcPr>
            <w:tcW w:w="82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color w:val="auto"/>
              </w:rPr>
              <w:t>(2,772)</w:t>
            </w:r>
          </w:p>
        </w:tc>
        <w:tc>
          <w:tcPr>
            <w:tcW w:w="118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(2,700)</w:t>
            </w:r>
          </w:p>
        </w:tc>
      </w:tr>
      <w:tr>
        <w:trPr>
          <w:trHeight w:val="199"/>
        </w:trPr>
        <w:tc>
          <w:tcPr>
            <w:tcW w:w="54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Ending balance</w:t>
            </w:r>
          </w:p>
        </w:tc>
        <w:tc>
          <w:tcPr>
            <w:tcW w:w="114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50,835</w:t>
            </w:r>
          </w:p>
        </w:tc>
        <w:tc>
          <w:tcPr>
            <w:tcW w:w="1300" w:type="dxa"/>
            <w:vAlign w:val="bottom"/>
            <w:tcBorders>
              <w:bottom w:val="single" w:sz="8" w:color="D7282F"/>
            </w:tcBorders>
          </w:tcPr>
          <w:p>
            <w:pPr>
              <w:spacing w:after="0"/>
              <w:rPr>
                <w:sz w:val="17"/>
                <w:szCs w:val="17"/>
                <w:color w:val="auto"/>
              </w:rPr>
            </w:pPr>
          </w:p>
        </w:tc>
        <w:tc>
          <w:tcPr>
            <w:tcW w:w="820" w:type="dxa"/>
            <w:vAlign w:val="bottom"/>
            <w:tcBorders>
              <w:bottom w:val="single" w:sz="8" w:color="D7282F"/>
            </w:tcBorders>
          </w:tcPr>
          <w:p>
            <w:pPr>
              <w:jc w:val="right"/>
              <w:ind w:right="188"/>
              <w:spacing w:after="0"/>
              <w:rPr>
                <w:sz w:val="20"/>
                <w:szCs w:val="20"/>
                <w:color w:val="auto"/>
              </w:rPr>
            </w:pPr>
            <w:r>
              <w:rPr>
                <w:rFonts w:ascii="Arial" w:cs="Arial" w:eastAsia="Arial" w:hAnsi="Arial"/>
                <w:sz w:val="14"/>
                <w:szCs w:val="14"/>
                <w:b w:val="1"/>
                <w:bCs w:val="1"/>
                <w:color w:val="auto"/>
              </w:rPr>
              <w:t>47,979</w:t>
            </w:r>
          </w:p>
        </w:tc>
        <w:tc>
          <w:tcPr>
            <w:tcW w:w="118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45,093</w:t>
            </w:r>
          </w:p>
        </w:tc>
      </w:tr>
      <w:tr>
        <w:trPr>
          <w:trHeight w:val="196"/>
        </w:trPr>
        <w:tc>
          <w:tcPr>
            <w:tcW w:w="5480" w:type="dxa"/>
            <w:vAlign w:val="bottom"/>
            <w:tcBorders>
              <w:bottom w:val="single" w:sz="8" w:color="888B8D"/>
            </w:tcBorders>
          </w:tcPr>
          <w:p>
            <w:pPr>
              <w:ind w:left="20"/>
              <w:spacing w:after="0"/>
              <w:rPr>
                <w:sz w:val="20"/>
                <w:szCs w:val="20"/>
                <w:color w:val="auto"/>
              </w:rPr>
            </w:pPr>
            <w:r>
              <w:rPr>
                <w:rFonts w:ascii="Arial" w:cs="Arial" w:eastAsia="Arial" w:hAnsi="Arial"/>
                <w:sz w:val="14"/>
                <w:szCs w:val="14"/>
                <w:b w:val="1"/>
                <w:bCs w:val="1"/>
                <w:color w:val="auto"/>
              </w:rPr>
              <w:t>Accumulated other comprehensive loss</w:t>
            </w:r>
          </w:p>
        </w:tc>
        <w:tc>
          <w:tcPr>
            <w:tcW w:w="1140" w:type="dxa"/>
            <w:vAlign w:val="bottom"/>
            <w:tcBorders>
              <w:bottom w:val="single" w:sz="8" w:color="888B8D"/>
            </w:tcBorders>
          </w:tcPr>
          <w:p>
            <w:pPr>
              <w:spacing w:after="0"/>
              <w:rPr>
                <w:sz w:val="17"/>
                <w:szCs w:val="17"/>
                <w:color w:val="auto"/>
              </w:rPr>
            </w:pPr>
          </w:p>
        </w:tc>
        <w:tc>
          <w:tcPr>
            <w:tcW w:w="700" w:type="dxa"/>
            <w:vAlign w:val="bottom"/>
            <w:tcBorders>
              <w:bottom w:val="single" w:sz="8" w:color="888B8D"/>
            </w:tcBorders>
          </w:tcPr>
          <w:p>
            <w:pPr>
              <w:spacing w:after="0"/>
              <w:rPr>
                <w:sz w:val="17"/>
                <w:szCs w:val="17"/>
                <w:color w:val="auto"/>
              </w:rPr>
            </w:pPr>
          </w:p>
        </w:tc>
        <w:tc>
          <w:tcPr>
            <w:tcW w:w="1300" w:type="dxa"/>
            <w:vAlign w:val="bottom"/>
            <w:tcBorders>
              <w:bottom w:val="single" w:sz="8" w:color="888B8D"/>
            </w:tcBorders>
          </w:tcPr>
          <w:p>
            <w:pPr>
              <w:spacing w:after="0"/>
              <w:rPr>
                <w:sz w:val="17"/>
                <w:szCs w:val="17"/>
                <w:color w:val="auto"/>
              </w:rPr>
            </w:pPr>
          </w:p>
        </w:tc>
        <w:tc>
          <w:tcPr>
            <w:tcW w:w="820" w:type="dxa"/>
            <w:vAlign w:val="bottom"/>
            <w:tcBorders>
              <w:bottom w:val="single" w:sz="8" w:color="888B8D"/>
            </w:tcBorders>
          </w:tcPr>
          <w:p>
            <w:pPr>
              <w:spacing w:after="0"/>
              <w:rPr>
                <w:sz w:val="17"/>
                <w:szCs w:val="17"/>
                <w:color w:val="auto"/>
              </w:rPr>
            </w:pPr>
          </w:p>
        </w:tc>
        <w:tc>
          <w:tcPr>
            <w:tcW w:w="1180" w:type="dxa"/>
            <w:vAlign w:val="bottom"/>
            <w:tcBorders>
              <w:bottom w:val="single" w:sz="8" w:color="888B8D"/>
            </w:tcBorders>
          </w:tcPr>
          <w:p>
            <w:pPr>
              <w:spacing w:after="0"/>
              <w:rPr>
                <w:sz w:val="17"/>
                <w:szCs w:val="17"/>
                <w:color w:val="auto"/>
              </w:rPr>
            </w:pPr>
          </w:p>
        </w:tc>
        <w:tc>
          <w:tcPr>
            <w:tcW w:w="620" w:type="dxa"/>
            <w:vAlign w:val="bottom"/>
            <w:tcBorders>
              <w:bottom w:val="single" w:sz="8" w:color="888B8D"/>
            </w:tcBorders>
          </w:tcPr>
          <w:p>
            <w:pPr>
              <w:spacing w:after="0"/>
              <w:rPr>
                <w:sz w:val="17"/>
                <w:szCs w:val="17"/>
                <w:color w:val="auto"/>
              </w:rPr>
            </w:pPr>
          </w:p>
        </w:tc>
      </w:tr>
      <w:tr>
        <w:trPr>
          <w:trHeight w:val="193"/>
        </w:trPr>
        <w:tc>
          <w:tcPr>
            <w:tcW w:w="5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Beginning balance</w:t>
            </w:r>
          </w:p>
        </w:tc>
        <w:tc>
          <w:tcPr>
            <w:tcW w:w="1140" w:type="dxa"/>
            <w:vAlign w:val="bottom"/>
            <w:tcBorders>
              <w:bottom w:val="single" w:sz="8" w:color="888B8D"/>
            </w:tcBorders>
          </w:tcPr>
          <w:p>
            <w:pPr>
              <w:spacing w:after="0"/>
              <w:rPr>
                <w:sz w:val="16"/>
                <w:szCs w:val="16"/>
                <w:color w:val="auto"/>
              </w:rPr>
            </w:pPr>
          </w:p>
        </w:tc>
        <w:tc>
          <w:tcPr>
            <w:tcW w:w="700" w:type="dxa"/>
            <w:vAlign w:val="bottom"/>
            <w:tcBorders>
              <w:bottom w:val="single" w:sz="8" w:color="888B8D"/>
            </w:tcBorders>
          </w:tcPr>
          <w:p>
            <w:pPr>
              <w:jc w:val="right"/>
              <w:ind w:right="28"/>
              <w:spacing w:after="0"/>
              <w:rPr>
                <w:sz w:val="20"/>
                <w:szCs w:val="20"/>
                <w:color w:val="auto"/>
              </w:rPr>
            </w:pPr>
            <w:r>
              <w:rPr>
                <w:rFonts w:ascii="Arial" w:cs="Arial" w:eastAsia="Arial" w:hAnsi="Arial"/>
                <w:sz w:val="14"/>
                <w:szCs w:val="14"/>
                <w:color w:val="auto"/>
              </w:rPr>
              <w:t>(4,135)</w:t>
            </w:r>
          </w:p>
        </w:tc>
        <w:tc>
          <w:tcPr>
            <w:tcW w:w="1300" w:type="dxa"/>
            <w:vAlign w:val="bottom"/>
            <w:tcBorders>
              <w:bottom w:val="single" w:sz="8" w:color="888B8D"/>
            </w:tcBorders>
          </w:tcPr>
          <w:p>
            <w:pPr>
              <w:spacing w:after="0"/>
              <w:rPr>
                <w:sz w:val="16"/>
                <w:szCs w:val="16"/>
                <w:color w:val="auto"/>
              </w:rPr>
            </w:pPr>
          </w:p>
        </w:tc>
        <w:tc>
          <w:tcPr>
            <w:tcW w:w="820" w:type="dxa"/>
            <w:vAlign w:val="bottom"/>
            <w:tcBorders>
              <w:bottom w:val="single" w:sz="8" w:color="888B8D"/>
            </w:tcBorders>
          </w:tcPr>
          <w:p>
            <w:pPr>
              <w:jc w:val="right"/>
              <w:ind w:right="148"/>
              <w:spacing w:after="0"/>
              <w:rPr>
                <w:sz w:val="20"/>
                <w:szCs w:val="20"/>
                <w:color w:val="auto"/>
              </w:rPr>
            </w:pPr>
            <w:r>
              <w:rPr>
                <w:rFonts w:ascii="Arial" w:cs="Arial" w:eastAsia="Arial" w:hAnsi="Arial"/>
                <w:sz w:val="14"/>
                <w:szCs w:val="14"/>
                <w:color w:val="auto"/>
              </w:rPr>
              <w:t>(3,475)</w:t>
            </w:r>
          </w:p>
        </w:tc>
        <w:tc>
          <w:tcPr>
            <w:tcW w:w="1180" w:type="dxa"/>
            <w:vAlign w:val="bottom"/>
            <w:tcBorders>
              <w:bottom w:val="single" w:sz="8" w:color="888B8D"/>
            </w:tcBorders>
          </w:tcPr>
          <w:p>
            <w:pPr>
              <w:spacing w:after="0"/>
              <w:rPr>
                <w:sz w:val="16"/>
                <w:szCs w:val="16"/>
                <w:color w:val="auto"/>
              </w:rPr>
            </w:pPr>
          </w:p>
        </w:tc>
        <w:tc>
          <w:tcPr>
            <w:tcW w:w="62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(2,895)</w:t>
            </w:r>
          </w:p>
        </w:tc>
      </w:tr>
      <w:tr>
        <w:trPr>
          <w:trHeight w:val="196"/>
        </w:trPr>
        <w:tc>
          <w:tcPr>
            <w:tcW w:w="548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Foreign exchange translation adjustment</w:t>
            </w:r>
          </w:p>
        </w:tc>
        <w:tc>
          <w:tcPr>
            <w:tcW w:w="1140" w:type="dxa"/>
            <w:vAlign w:val="bottom"/>
            <w:tcBorders>
              <w:bottom w:val="single" w:sz="8" w:color="888B8D"/>
            </w:tcBorders>
          </w:tcPr>
          <w:p>
            <w:pPr>
              <w:spacing w:after="0"/>
              <w:rPr>
                <w:sz w:val="17"/>
                <w:szCs w:val="17"/>
                <w:color w:val="auto"/>
              </w:rPr>
            </w:pPr>
          </w:p>
        </w:tc>
        <w:tc>
          <w:tcPr>
            <w:tcW w:w="70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229</w:t>
            </w:r>
          </w:p>
        </w:tc>
        <w:tc>
          <w:tcPr>
            <w:tcW w:w="1300" w:type="dxa"/>
            <w:vAlign w:val="bottom"/>
            <w:tcBorders>
              <w:bottom w:val="single" w:sz="8" w:color="888B8D"/>
            </w:tcBorders>
          </w:tcPr>
          <w:p>
            <w:pPr>
              <w:spacing w:after="0"/>
              <w:rPr>
                <w:sz w:val="17"/>
                <w:szCs w:val="17"/>
                <w:color w:val="auto"/>
              </w:rPr>
            </w:pPr>
          </w:p>
        </w:tc>
        <w:tc>
          <w:tcPr>
            <w:tcW w:w="820" w:type="dxa"/>
            <w:vAlign w:val="bottom"/>
            <w:tcBorders>
              <w:bottom w:val="single" w:sz="8" w:color="888B8D"/>
            </w:tcBorders>
          </w:tcPr>
          <w:p>
            <w:pPr>
              <w:jc w:val="right"/>
              <w:ind w:right="148"/>
              <w:spacing w:after="0"/>
              <w:rPr>
                <w:sz w:val="20"/>
                <w:szCs w:val="20"/>
                <w:color w:val="auto"/>
              </w:rPr>
            </w:pPr>
            <w:r>
              <w:rPr>
                <w:rFonts w:ascii="Arial" w:cs="Arial" w:eastAsia="Arial" w:hAnsi="Arial"/>
                <w:sz w:val="14"/>
                <w:szCs w:val="14"/>
                <w:color w:val="auto"/>
              </w:rPr>
              <w:t>(269)</w:t>
            </w:r>
          </w:p>
        </w:tc>
        <w:tc>
          <w:tcPr>
            <w:tcW w:w="1180" w:type="dxa"/>
            <w:vAlign w:val="bottom"/>
            <w:tcBorders>
              <w:bottom w:val="single" w:sz="8" w:color="888B8D"/>
            </w:tcBorders>
          </w:tcPr>
          <w:p>
            <w:pPr>
              <w:spacing w:after="0"/>
              <w:rPr>
                <w:sz w:val="17"/>
                <w:szCs w:val="17"/>
                <w:color w:val="auto"/>
              </w:rPr>
            </w:pPr>
          </w:p>
        </w:tc>
        <w:tc>
          <w:tcPr>
            <w:tcW w:w="62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(354)</w:t>
            </w:r>
          </w:p>
        </w:tc>
      </w:tr>
      <w:tr>
        <w:trPr>
          <w:trHeight w:val="196"/>
        </w:trPr>
        <w:tc>
          <w:tcPr>
            <w:tcW w:w="548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Pension and other postretirement benefit adjustments</w:t>
            </w:r>
          </w:p>
        </w:tc>
        <w:tc>
          <w:tcPr>
            <w:tcW w:w="1140" w:type="dxa"/>
            <w:vAlign w:val="bottom"/>
            <w:tcBorders>
              <w:bottom w:val="single" w:sz="8" w:color="888B8D"/>
            </w:tcBorders>
          </w:tcPr>
          <w:p>
            <w:pPr>
              <w:spacing w:after="0"/>
              <w:rPr>
                <w:sz w:val="17"/>
                <w:szCs w:val="17"/>
                <w:color w:val="auto"/>
              </w:rPr>
            </w:pPr>
          </w:p>
        </w:tc>
        <w:tc>
          <w:tcPr>
            <w:tcW w:w="70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413</w:t>
            </w:r>
          </w:p>
        </w:tc>
        <w:tc>
          <w:tcPr>
            <w:tcW w:w="1300" w:type="dxa"/>
            <w:vAlign w:val="bottom"/>
            <w:tcBorders>
              <w:bottom w:val="single" w:sz="8" w:color="888B8D"/>
            </w:tcBorders>
          </w:tcPr>
          <w:p>
            <w:pPr>
              <w:spacing w:after="0"/>
              <w:rPr>
                <w:sz w:val="17"/>
                <w:szCs w:val="17"/>
                <w:color w:val="auto"/>
              </w:rPr>
            </w:pPr>
          </w:p>
        </w:tc>
        <w:tc>
          <w:tcPr>
            <w:tcW w:w="820" w:type="dxa"/>
            <w:vAlign w:val="bottom"/>
            <w:tcBorders>
              <w:bottom w:val="single" w:sz="8" w:color="888B8D"/>
            </w:tcBorders>
          </w:tcPr>
          <w:p>
            <w:pPr>
              <w:jc w:val="right"/>
              <w:ind w:right="148"/>
              <w:spacing w:after="0"/>
              <w:rPr>
                <w:sz w:val="20"/>
                <w:szCs w:val="20"/>
                <w:color w:val="auto"/>
              </w:rPr>
            </w:pPr>
            <w:r>
              <w:rPr>
                <w:rFonts w:ascii="Arial" w:cs="Arial" w:eastAsia="Arial" w:hAnsi="Arial"/>
                <w:sz w:val="14"/>
                <w:szCs w:val="14"/>
                <w:color w:val="auto"/>
              </w:rPr>
              <w:t>(407)</w:t>
            </w:r>
          </w:p>
        </w:tc>
        <w:tc>
          <w:tcPr>
            <w:tcW w:w="1180" w:type="dxa"/>
            <w:vAlign w:val="bottom"/>
            <w:tcBorders>
              <w:bottom w:val="single" w:sz="8" w:color="888B8D"/>
            </w:tcBorders>
          </w:tcPr>
          <w:p>
            <w:pPr>
              <w:spacing w:after="0"/>
              <w:rPr>
                <w:sz w:val="17"/>
                <w:szCs w:val="17"/>
                <w:color w:val="auto"/>
              </w:rPr>
            </w:pPr>
          </w:p>
        </w:tc>
        <w:tc>
          <w:tcPr>
            <w:tcW w:w="62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(233)</w:t>
            </w:r>
          </w:p>
        </w:tc>
      </w:tr>
      <w:tr>
        <w:trPr>
          <w:trHeight w:val="196"/>
        </w:trPr>
        <w:tc>
          <w:tcPr>
            <w:tcW w:w="548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Changes in fair value of available for sale investments</w:t>
            </w:r>
          </w:p>
        </w:tc>
        <w:tc>
          <w:tcPr>
            <w:tcW w:w="1140" w:type="dxa"/>
            <w:vAlign w:val="bottom"/>
            <w:tcBorders>
              <w:bottom w:val="single" w:sz="8" w:color="888B8D"/>
            </w:tcBorders>
          </w:tcPr>
          <w:p>
            <w:pPr>
              <w:spacing w:after="0"/>
              <w:rPr>
                <w:sz w:val="17"/>
                <w:szCs w:val="17"/>
                <w:color w:val="auto"/>
              </w:rPr>
            </w:pPr>
          </w:p>
        </w:tc>
        <w:tc>
          <w:tcPr>
            <w:tcW w:w="70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1</w:t>
            </w:r>
          </w:p>
        </w:tc>
        <w:tc>
          <w:tcPr>
            <w:tcW w:w="1300" w:type="dxa"/>
            <w:vAlign w:val="bottom"/>
            <w:tcBorders>
              <w:bottom w:val="single" w:sz="8" w:color="888B8D"/>
            </w:tcBorders>
          </w:tcPr>
          <w:p>
            <w:pPr>
              <w:spacing w:after="0"/>
              <w:rPr>
                <w:sz w:val="17"/>
                <w:szCs w:val="17"/>
                <w:color w:val="auto"/>
              </w:rPr>
            </w:pPr>
          </w:p>
        </w:tc>
        <w:tc>
          <w:tcPr>
            <w:tcW w:w="820" w:type="dxa"/>
            <w:vAlign w:val="bottom"/>
            <w:tcBorders>
              <w:bottom w:val="single" w:sz="8" w:color="888B8D"/>
            </w:tcBorders>
          </w:tcPr>
          <w:p>
            <w:pPr>
              <w:jc w:val="right"/>
              <w:ind w:right="188"/>
              <w:spacing w:after="0"/>
              <w:rPr>
                <w:sz w:val="20"/>
                <w:szCs w:val="20"/>
                <w:color w:val="auto"/>
              </w:rPr>
            </w:pPr>
            <w:r>
              <w:rPr>
                <w:rFonts w:ascii="Arial" w:cs="Arial" w:eastAsia="Arial" w:hAnsi="Arial"/>
                <w:sz w:val="14"/>
                <w:szCs w:val="14"/>
                <w:color w:val="auto"/>
              </w:rPr>
              <w:t>5</w:t>
            </w:r>
          </w:p>
        </w:tc>
        <w:tc>
          <w:tcPr>
            <w:tcW w:w="1180" w:type="dxa"/>
            <w:vAlign w:val="bottom"/>
            <w:tcBorders>
              <w:bottom w:val="single" w:sz="8" w:color="888B8D"/>
            </w:tcBorders>
          </w:tcPr>
          <w:p>
            <w:pPr>
              <w:spacing w:after="0"/>
              <w:rPr>
                <w:sz w:val="17"/>
                <w:szCs w:val="17"/>
                <w:color w:val="auto"/>
              </w:rPr>
            </w:pPr>
          </w:p>
        </w:tc>
        <w:tc>
          <w:tcPr>
            <w:tcW w:w="62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(8)</w:t>
            </w:r>
          </w:p>
        </w:tc>
      </w:tr>
      <w:tr>
        <w:trPr>
          <w:trHeight w:val="196"/>
        </w:trPr>
        <w:tc>
          <w:tcPr>
            <w:tcW w:w="548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Changes in fair value of cash flow hedges</w:t>
            </w:r>
          </w:p>
        </w:tc>
        <w:tc>
          <w:tcPr>
            <w:tcW w:w="114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1</w:t>
            </w:r>
          </w:p>
        </w:tc>
        <w:tc>
          <w:tcPr>
            <w:tcW w:w="1300" w:type="dxa"/>
            <w:vAlign w:val="bottom"/>
            <w:tcBorders>
              <w:bottom w:val="single" w:sz="8" w:color="D7282F"/>
            </w:tcBorders>
          </w:tcPr>
          <w:p>
            <w:pPr>
              <w:spacing w:after="0"/>
              <w:rPr>
                <w:sz w:val="17"/>
                <w:szCs w:val="17"/>
                <w:color w:val="auto"/>
              </w:rPr>
            </w:pPr>
          </w:p>
        </w:tc>
        <w:tc>
          <w:tcPr>
            <w:tcW w:w="820" w:type="dxa"/>
            <w:vAlign w:val="bottom"/>
            <w:tcBorders>
              <w:bottom w:val="single" w:sz="8" w:color="D7282F"/>
            </w:tcBorders>
          </w:tcPr>
          <w:p>
            <w:pPr>
              <w:jc w:val="right"/>
              <w:ind w:right="188"/>
              <w:spacing w:after="0"/>
              <w:rPr>
                <w:sz w:val="20"/>
                <w:szCs w:val="20"/>
                <w:color w:val="auto"/>
              </w:rPr>
            </w:pPr>
            <w:r>
              <w:rPr>
                <w:rFonts w:ascii="Arial" w:cs="Arial" w:eastAsia="Arial" w:hAnsi="Arial"/>
                <w:sz w:val="14"/>
                <w:szCs w:val="14"/>
                <w:color w:val="auto"/>
              </w:rPr>
              <w:t>11</w:t>
            </w:r>
          </w:p>
        </w:tc>
        <w:tc>
          <w:tcPr>
            <w:tcW w:w="118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15</w:t>
            </w:r>
          </w:p>
        </w:tc>
      </w:tr>
      <w:tr>
        <w:trPr>
          <w:trHeight w:val="199"/>
        </w:trPr>
        <w:tc>
          <w:tcPr>
            <w:tcW w:w="54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Ending balance</w:t>
            </w:r>
          </w:p>
        </w:tc>
        <w:tc>
          <w:tcPr>
            <w:tcW w:w="114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(3,491)</w:t>
            </w:r>
          </w:p>
        </w:tc>
        <w:tc>
          <w:tcPr>
            <w:tcW w:w="1300" w:type="dxa"/>
            <w:vAlign w:val="bottom"/>
            <w:tcBorders>
              <w:bottom w:val="single" w:sz="8" w:color="D7282F"/>
            </w:tcBorders>
          </w:tcPr>
          <w:p>
            <w:pPr>
              <w:spacing w:after="0"/>
              <w:rPr>
                <w:sz w:val="17"/>
                <w:szCs w:val="17"/>
                <w:color w:val="auto"/>
              </w:rPr>
            </w:pPr>
          </w:p>
        </w:tc>
        <w:tc>
          <w:tcPr>
            <w:tcW w:w="82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(4,135)</w:t>
            </w:r>
          </w:p>
        </w:tc>
        <w:tc>
          <w:tcPr>
            <w:tcW w:w="118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(3,475)</w:t>
            </w:r>
          </w:p>
        </w:tc>
      </w:tr>
      <w:tr>
        <w:trPr>
          <w:trHeight w:val="196"/>
        </w:trPr>
        <w:tc>
          <w:tcPr>
            <w:tcW w:w="5480" w:type="dxa"/>
            <w:vAlign w:val="bottom"/>
            <w:tcBorders>
              <w:bottom w:val="single" w:sz="8" w:color="888B8D"/>
            </w:tcBorders>
          </w:tcPr>
          <w:p>
            <w:pPr>
              <w:ind w:left="20"/>
              <w:spacing w:after="0"/>
              <w:rPr>
                <w:sz w:val="20"/>
                <w:szCs w:val="20"/>
                <w:color w:val="auto"/>
              </w:rPr>
            </w:pPr>
            <w:r>
              <w:rPr>
                <w:rFonts w:ascii="Arial" w:cs="Arial" w:eastAsia="Arial" w:hAnsi="Arial"/>
                <w:sz w:val="14"/>
                <w:szCs w:val="14"/>
                <w:b w:val="1"/>
                <w:bCs w:val="1"/>
                <w:color w:val="auto"/>
              </w:rPr>
              <w:t>Noncontrolling interest</w:t>
            </w:r>
          </w:p>
        </w:tc>
        <w:tc>
          <w:tcPr>
            <w:tcW w:w="1140" w:type="dxa"/>
            <w:vAlign w:val="bottom"/>
            <w:tcBorders>
              <w:bottom w:val="single" w:sz="8" w:color="888B8D"/>
            </w:tcBorders>
          </w:tcPr>
          <w:p>
            <w:pPr>
              <w:spacing w:after="0"/>
              <w:rPr>
                <w:sz w:val="17"/>
                <w:szCs w:val="17"/>
                <w:color w:val="auto"/>
              </w:rPr>
            </w:pPr>
          </w:p>
        </w:tc>
        <w:tc>
          <w:tcPr>
            <w:tcW w:w="700" w:type="dxa"/>
            <w:vAlign w:val="bottom"/>
            <w:tcBorders>
              <w:bottom w:val="single" w:sz="8" w:color="888B8D"/>
            </w:tcBorders>
          </w:tcPr>
          <w:p>
            <w:pPr>
              <w:spacing w:after="0"/>
              <w:rPr>
                <w:sz w:val="17"/>
                <w:szCs w:val="17"/>
                <w:color w:val="auto"/>
              </w:rPr>
            </w:pPr>
          </w:p>
        </w:tc>
        <w:tc>
          <w:tcPr>
            <w:tcW w:w="1300" w:type="dxa"/>
            <w:vAlign w:val="bottom"/>
            <w:tcBorders>
              <w:bottom w:val="single" w:sz="8" w:color="888B8D"/>
            </w:tcBorders>
          </w:tcPr>
          <w:p>
            <w:pPr>
              <w:spacing w:after="0"/>
              <w:rPr>
                <w:sz w:val="17"/>
                <w:szCs w:val="17"/>
                <w:color w:val="auto"/>
              </w:rPr>
            </w:pPr>
          </w:p>
        </w:tc>
        <w:tc>
          <w:tcPr>
            <w:tcW w:w="820" w:type="dxa"/>
            <w:vAlign w:val="bottom"/>
            <w:tcBorders>
              <w:bottom w:val="single" w:sz="8" w:color="888B8D"/>
            </w:tcBorders>
          </w:tcPr>
          <w:p>
            <w:pPr>
              <w:spacing w:after="0"/>
              <w:rPr>
                <w:sz w:val="17"/>
                <w:szCs w:val="17"/>
                <w:color w:val="auto"/>
              </w:rPr>
            </w:pPr>
          </w:p>
        </w:tc>
        <w:tc>
          <w:tcPr>
            <w:tcW w:w="1180" w:type="dxa"/>
            <w:vAlign w:val="bottom"/>
            <w:tcBorders>
              <w:bottom w:val="single" w:sz="8" w:color="888B8D"/>
            </w:tcBorders>
          </w:tcPr>
          <w:p>
            <w:pPr>
              <w:spacing w:after="0"/>
              <w:rPr>
                <w:sz w:val="17"/>
                <w:szCs w:val="17"/>
                <w:color w:val="auto"/>
              </w:rPr>
            </w:pPr>
          </w:p>
        </w:tc>
        <w:tc>
          <w:tcPr>
            <w:tcW w:w="620" w:type="dxa"/>
            <w:vAlign w:val="bottom"/>
            <w:tcBorders>
              <w:bottom w:val="single" w:sz="8" w:color="888B8D"/>
            </w:tcBorders>
          </w:tcPr>
          <w:p>
            <w:pPr>
              <w:spacing w:after="0"/>
              <w:rPr>
                <w:sz w:val="17"/>
                <w:szCs w:val="17"/>
                <w:color w:val="auto"/>
              </w:rPr>
            </w:pPr>
          </w:p>
        </w:tc>
      </w:tr>
      <w:tr>
        <w:trPr>
          <w:trHeight w:val="193"/>
        </w:trPr>
        <w:tc>
          <w:tcPr>
            <w:tcW w:w="5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Beginning balance</w:t>
            </w:r>
          </w:p>
        </w:tc>
        <w:tc>
          <w:tcPr>
            <w:tcW w:w="1140" w:type="dxa"/>
            <w:vAlign w:val="bottom"/>
            <w:tcBorders>
              <w:bottom w:val="single" w:sz="8" w:color="888B8D"/>
            </w:tcBorders>
          </w:tcPr>
          <w:p>
            <w:pPr>
              <w:spacing w:after="0"/>
              <w:rPr>
                <w:sz w:val="16"/>
                <w:szCs w:val="16"/>
                <w:color w:val="auto"/>
              </w:rPr>
            </w:pPr>
          </w:p>
        </w:tc>
        <w:tc>
          <w:tcPr>
            <w:tcW w:w="70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578</w:t>
            </w:r>
          </w:p>
        </w:tc>
        <w:tc>
          <w:tcPr>
            <w:tcW w:w="1300" w:type="dxa"/>
            <w:vAlign w:val="bottom"/>
            <w:tcBorders>
              <w:bottom w:val="single" w:sz="8" w:color="888B8D"/>
            </w:tcBorders>
          </w:tcPr>
          <w:p>
            <w:pPr>
              <w:spacing w:after="0"/>
              <w:rPr>
                <w:sz w:val="16"/>
                <w:szCs w:val="16"/>
                <w:color w:val="auto"/>
              </w:rPr>
            </w:pPr>
          </w:p>
        </w:tc>
        <w:tc>
          <w:tcPr>
            <w:tcW w:w="820" w:type="dxa"/>
            <w:vAlign w:val="bottom"/>
            <w:tcBorders>
              <w:bottom w:val="single" w:sz="8" w:color="888B8D"/>
            </w:tcBorders>
          </w:tcPr>
          <w:p>
            <w:pPr>
              <w:jc w:val="right"/>
              <w:ind w:right="188"/>
              <w:spacing w:after="0"/>
              <w:rPr>
                <w:sz w:val="20"/>
                <w:szCs w:val="20"/>
                <w:color w:val="auto"/>
              </w:rPr>
            </w:pPr>
            <w:r>
              <w:rPr>
                <w:rFonts w:ascii="Arial" w:cs="Arial" w:eastAsia="Arial" w:hAnsi="Arial"/>
                <w:sz w:val="14"/>
                <w:szCs w:val="14"/>
                <w:color w:val="auto"/>
              </w:rPr>
              <w:t>622</w:t>
            </w:r>
          </w:p>
        </w:tc>
        <w:tc>
          <w:tcPr>
            <w:tcW w:w="1180" w:type="dxa"/>
            <w:vAlign w:val="bottom"/>
            <w:tcBorders>
              <w:bottom w:val="single" w:sz="8" w:color="888B8D"/>
            </w:tcBorders>
          </w:tcPr>
          <w:p>
            <w:pPr>
              <w:spacing w:after="0"/>
              <w:rPr>
                <w:sz w:val="16"/>
                <w:szCs w:val="16"/>
                <w:color w:val="auto"/>
              </w:rPr>
            </w:pPr>
          </w:p>
        </w:tc>
        <w:tc>
          <w:tcPr>
            <w:tcW w:w="62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673</w:t>
            </w:r>
          </w:p>
        </w:tc>
      </w:tr>
      <w:tr>
        <w:trPr>
          <w:trHeight w:val="196"/>
        </w:trPr>
        <w:tc>
          <w:tcPr>
            <w:tcW w:w="548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Acquisitions, divestitures, and other</w:t>
            </w:r>
          </w:p>
        </w:tc>
        <w:tc>
          <w:tcPr>
            <w:tcW w:w="1140" w:type="dxa"/>
            <w:vAlign w:val="bottom"/>
            <w:tcBorders>
              <w:bottom w:val="single" w:sz="8" w:color="888B8D"/>
            </w:tcBorders>
          </w:tcPr>
          <w:p>
            <w:pPr>
              <w:spacing w:after="0"/>
              <w:rPr>
                <w:sz w:val="17"/>
                <w:szCs w:val="17"/>
                <w:color w:val="auto"/>
              </w:rPr>
            </w:pPr>
          </w:p>
        </w:tc>
        <w:tc>
          <w:tcPr>
            <w:tcW w:w="70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888B8D"/>
            </w:tcBorders>
          </w:tcPr>
          <w:p>
            <w:pPr>
              <w:spacing w:after="0"/>
              <w:rPr>
                <w:sz w:val="17"/>
                <w:szCs w:val="17"/>
                <w:color w:val="auto"/>
              </w:rPr>
            </w:pPr>
          </w:p>
        </w:tc>
        <w:tc>
          <w:tcPr>
            <w:tcW w:w="820" w:type="dxa"/>
            <w:vAlign w:val="bottom"/>
            <w:tcBorders>
              <w:bottom w:val="single" w:sz="8" w:color="888B8D"/>
            </w:tcBorders>
          </w:tcPr>
          <w:p>
            <w:pPr>
              <w:jc w:val="right"/>
              <w:ind w:right="148"/>
              <w:spacing w:after="0"/>
              <w:rPr>
                <w:sz w:val="20"/>
                <w:szCs w:val="20"/>
                <w:color w:val="auto"/>
              </w:rPr>
            </w:pPr>
            <w:r>
              <w:rPr>
                <w:rFonts w:ascii="Arial" w:cs="Arial" w:eastAsia="Arial" w:hAnsi="Arial"/>
                <w:sz w:val="14"/>
                <w:szCs w:val="14"/>
                <w:color w:val="auto"/>
              </w:rPr>
              <w:t>(5)</w:t>
            </w:r>
          </w:p>
        </w:tc>
        <w:tc>
          <w:tcPr>
            <w:tcW w:w="1180" w:type="dxa"/>
            <w:vAlign w:val="bottom"/>
            <w:tcBorders>
              <w:bottom w:val="single" w:sz="8" w:color="888B8D"/>
            </w:tcBorders>
          </w:tcPr>
          <w:p>
            <w:pPr>
              <w:spacing w:after="0"/>
              <w:rPr>
                <w:sz w:val="17"/>
                <w:szCs w:val="17"/>
                <w:color w:val="auto"/>
              </w:rPr>
            </w:pPr>
          </w:p>
        </w:tc>
        <w:tc>
          <w:tcPr>
            <w:tcW w:w="62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548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Net income attributable to noncontrolling interest</w:t>
            </w:r>
          </w:p>
        </w:tc>
        <w:tc>
          <w:tcPr>
            <w:tcW w:w="1140" w:type="dxa"/>
            <w:vAlign w:val="bottom"/>
            <w:tcBorders>
              <w:bottom w:val="single" w:sz="8" w:color="888B8D"/>
            </w:tcBorders>
          </w:tcPr>
          <w:p>
            <w:pPr>
              <w:spacing w:after="0"/>
              <w:rPr>
                <w:sz w:val="17"/>
                <w:szCs w:val="17"/>
                <w:color w:val="auto"/>
              </w:rPr>
            </w:pPr>
          </w:p>
        </w:tc>
        <w:tc>
          <w:tcPr>
            <w:tcW w:w="70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35</w:t>
            </w:r>
          </w:p>
        </w:tc>
        <w:tc>
          <w:tcPr>
            <w:tcW w:w="1300" w:type="dxa"/>
            <w:vAlign w:val="bottom"/>
            <w:tcBorders>
              <w:bottom w:val="single" w:sz="8" w:color="888B8D"/>
            </w:tcBorders>
          </w:tcPr>
          <w:p>
            <w:pPr>
              <w:spacing w:after="0"/>
              <w:rPr>
                <w:sz w:val="17"/>
                <w:szCs w:val="17"/>
                <w:color w:val="auto"/>
              </w:rPr>
            </w:pPr>
          </w:p>
        </w:tc>
        <w:tc>
          <w:tcPr>
            <w:tcW w:w="820" w:type="dxa"/>
            <w:vAlign w:val="bottom"/>
            <w:tcBorders>
              <w:bottom w:val="single" w:sz="8" w:color="888B8D"/>
            </w:tcBorders>
          </w:tcPr>
          <w:p>
            <w:pPr>
              <w:jc w:val="right"/>
              <w:ind w:right="188"/>
              <w:spacing w:after="0"/>
              <w:rPr>
                <w:sz w:val="20"/>
                <w:szCs w:val="20"/>
                <w:color w:val="auto"/>
              </w:rPr>
            </w:pPr>
            <w:r>
              <w:rPr>
                <w:rFonts w:ascii="Arial" w:cs="Arial" w:eastAsia="Arial" w:hAnsi="Arial"/>
                <w:sz w:val="14"/>
                <w:szCs w:val="14"/>
                <w:color w:val="auto"/>
              </w:rPr>
              <w:t>14</w:t>
            </w:r>
          </w:p>
        </w:tc>
        <w:tc>
          <w:tcPr>
            <w:tcW w:w="1180" w:type="dxa"/>
            <w:vAlign w:val="bottom"/>
            <w:tcBorders>
              <w:bottom w:val="single" w:sz="8" w:color="888B8D"/>
            </w:tcBorders>
          </w:tcPr>
          <w:p>
            <w:pPr>
              <w:spacing w:after="0"/>
              <w:rPr>
                <w:sz w:val="17"/>
                <w:szCs w:val="17"/>
                <w:color w:val="auto"/>
              </w:rPr>
            </w:pPr>
          </w:p>
        </w:tc>
        <w:tc>
          <w:tcPr>
            <w:tcW w:w="62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w:t>
            </w:r>
          </w:p>
        </w:tc>
      </w:tr>
      <w:tr>
        <w:trPr>
          <w:trHeight w:val="196"/>
        </w:trPr>
        <w:tc>
          <w:tcPr>
            <w:tcW w:w="548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Foreign exchange translation adjustment</w:t>
            </w:r>
          </w:p>
        </w:tc>
        <w:tc>
          <w:tcPr>
            <w:tcW w:w="1140" w:type="dxa"/>
            <w:vAlign w:val="bottom"/>
            <w:tcBorders>
              <w:bottom w:val="single" w:sz="8" w:color="888B8D"/>
            </w:tcBorders>
          </w:tcPr>
          <w:p>
            <w:pPr>
              <w:spacing w:after="0"/>
              <w:rPr>
                <w:sz w:val="17"/>
                <w:szCs w:val="17"/>
                <w:color w:val="auto"/>
              </w:rPr>
            </w:pPr>
          </w:p>
        </w:tc>
        <w:tc>
          <w:tcPr>
            <w:tcW w:w="700" w:type="dxa"/>
            <w:vAlign w:val="bottom"/>
            <w:tcBorders>
              <w:bottom w:val="single" w:sz="8" w:color="888B8D"/>
            </w:tcBorders>
          </w:tcPr>
          <w:p>
            <w:pPr>
              <w:jc w:val="right"/>
              <w:ind w:right="28"/>
              <w:spacing w:after="0"/>
              <w:rPr>
                <w:sz w:val="20"/>
                <w:szCs w:val="20"/>
                <w:color w:val="auto"/>
              </w:rPr>
            </w:pPr>
            <w:r>
              <w:rPr>
                <w:rFonts w:ascii="Arial" w:cs="Arial" w:eastAsia="Arial" w:hAnsi="Arial"/>
                <w:sz w:val="14"/>
                <w:szCs w:val="14"/>
                <w:color w:val="auto"/>
              </w:rPr>
              <w:t>(29)</w:t>
            </w:r>
          </w:p>
        </w:tc>
        <w:tc>
          <w:tcPr>
            <w:tcW w:w="1300" w:type="dxa"/>
            <w:vAlign w:val="bottom"/>
            <w:tcBorders>
              <w:bottom w:val="single" w:sz="8" w:color="888B8D"/>
            </w:tcBorders>
          </w:tcPr>
          <w:p>
            <w:pPr>
              <w:spacing w:after="0"/>
              <w:rPr>
                <w:sz w:val="17"/>
                <w:szCs w:val="17"/>
                <w:color w:val="auto"/>
              </w:rPr>
            </w:pPr>
          </w:p>
        </w:tc>
        <w:tc>
          <w:tcPr>
            <w:tcW w:w="820" w:type="dxa"/>
            <w:vAlign w:val="bottom"/>
            <w:tcBorders>
              <w:bottom w:val="single" w:sz="8" w:color="888B8D"/>
            </w:tcBorders>
          </w:tcPr>
          <w:p>
            <w:pPr>
              <w:jc w:val="right"/>
              <w:ind w:right="148"/>
              <w:spacing w:after="0"/>
              <w:rPr>
                <w:sz w:val="20"/>
                <w:szCs w:val="20"/>
                <w:color w:val="auto"/>
              </w:rPr>
            </w:pPr>
            <w:r>
              <w:rPr>
                <w:rFonts w:ascii="Arial" w:cs="Arial" w:eastAsia="Arial" w:hAnsi="Arial"/>
                <w:sz w:val="14"/>
                <w:szCs w:val="14"/>
                <w:color w:val="auto"/>
              </w:rPr>
              <w:t>(5)</w:t>
            </w:r>
          </w:p>
        </w:tc>
        <w:tc>
          <w:tcPr>
            <w:tcW w:w="1180" w:type="dxa"/>
            <w:vAlign w:val="bottom"/>
            <w:tcBorders>
              <w:bottom w:val="single" w:sz="8" w:color="888B8D"/>
            </w:tcBorders>
          </w:tcPr>
          <w:p>
            <w:pPr>
              <w:spacing w:after="0"/>
              <w:rPr>
                <w:sz w:val="17"/>
                <w:szCs w:val="17"/>
                <w:color w:val="auto"/>
              </w:rPr>
            </w:pPr>
          </w:p>
        </w:tc>
        <w:tc>
          <w:tcPr>
            <w:tcW w:w="62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(18)</w:t>
            </w:r>
          </w:p>
        </w:tc>
      </w:tr>
      <w:tr>
        <w:trPr>
          <w:trHeight w:val="196"/>
        </w:trPr>
        <w:tc>
          <w:tcPr>
            <w:tcW w:w="548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Dividends paid</w:t>
            </w:r>
          </w:p>
        </w:tc>
        <w:tc>
          <w:tcPr>
            <w:tcW w:w="1140" w:type="dxa"/>
            <w:vAlign w:val="bottom"/>
            <w:tcBorders>
              <w:bottom w:val="single" w:sz="8" w:color="888B8D"/>
            </w:tcBorders>
          </w:tcPr>
          <w:p>
            <w:pPr>
              <w:spacing w:after="0"/>
              <w:rPr>
                <w:sz w:val="17"/>
                <w:szCs w:val="17"/>
                <w:color w:val="auto"/>
              </w:rPr>
            </w:pPr>
          </w:p>
        </w:tc>
        <w:tc>
          <w:tcPr>
            <w:tcW w:w="700" w:type="dxa"/>
            <w:vAlign w:val="bottom"/>
            <w:tcBorders>
              <w:bottom w:val="single" w:sz="8" w:color="888B8D"/>
            </w:tcBorders>
          </w:tcPr>
          <w:p>
            <w:pPr>
              <w:jc w:val="right"/>
              <w:ind w:right="28"/>
              <w:spacing w:after="0"/>
              <w:rPr>
                <w:sz w:val="20"/>
                <w:szCs w:val="20"/>
                <w:color w:val="auto"/>
              </w:rPr>
            </w:pPr>
            <w:r>
              <w:rPr>
                <w:rFonts w:ascii="Arial" w:cs="Arial" w:eastAsia="Arial" w:hAnsi="Arial"/>
                <w:sz w:val="14"/>
                <w:szCs w:val="14"/>
                <w:color w:val="auto"/>
              </w:rPr>
              <w:t>(78)</w:t>
            </w:r>
          </w:p>
        </w:tc>
        <w:tc>
          <w:tcPr>
            <w:tcW w:w="1300" w:type="dxa"/>
            <w:vAlign w:val="bottom"/>
            <w:tcBorders>
              <w:bottom w:val="single" w:sz="8" w:color="888B8D"/>
            </w:tcBorders>
          </w:tcPr>
          <w:p>
            <w:pPr>
              <w:spacing w:after="0"/>
              <w:rPr>
                <w:sz w:val="17"/>
                <w:szCs w:val="17"/>
                <w:color w:val="auto"/>
              </w:rPr>
            </w:pPr>
          </w:p>
        </w:tc>
        <w:tc>
          <w:tcPr>
            <w:tcW w:w="820" w:type="dxa"/>
            <w:vAlign w:val="bottom"/>
            <w:tcBorders>
              <w:bottom w:val="single" w:sz="8" w:color="888B8D"/>
            </w:tcBorders>
          </w:tcPr>
          <w:p>
            <w:pPr>
              <w:jc w:val="right"/>
              <w:ind w:right="148"/>
              <w:spacing w:after="0"/>
              <w:rPr>
                <w:sz w:val="20"/>
                <w:szCs w:val="20"/>
                <w:color w:val="auto"/>
              </w:rPr>
            </w:pPr>
            <w:r>
              <w:rPr>
                <w:rFonts w:ascii="Arial" w:cs="Arial" w:eastAsia="Arial" w:hAnsi="Arial"/>
                <w:sz w:val="14"/>
                <w:szCs w:val="14"/>
                <w:color w:val="auto"/>
              </w:rPr>
              <w:t>(107)</w:t>
            </w:r>
          </w:p>
        </w:tc>
        <w:tc>
          <w:tcPr>
            <w:tcW w:w="1180" w:type="dxa"/>
            <w:vAlign w:val="bottom"/>
            <w:tcBorders>
              <w:bottom w:val="single" w:sz="8" w:color="888B8D"/>
            </w:tcBorders>
          </w:tcPr>
          <w:p>
            <w:pPr>
              <w:spacing w:after="0"/>
              <w:rPr>
                <w:sz w:val="17"/>
                <w:szCs w:val="17"/>
                <w:color w:val="auto"/>
              </w:rPr>
            </w:pPr>
          </w:p>
        </w:tc>
        <w:tc>
          <w:tcPr>
            <w:tcW w:w="62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(48)</w:t>
            </w:r>
          </w:p>
        </w:tc>
      </w:tr>
      <w:tr>
        <w:trPr>
          <w:trHeight w:val="196"/>
        </w:trPr>
        <w:tc>
          <w:tcPr>
            <w:tcW w:w="548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Contributions from noncontrolling interest holders</w:t>
            </w:r>
          </w:p>
        </w:tc>
        <w:tc>
          <w:tcPr>
            <w:tcW w:w="114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29</w:t>
            </w:r>
          </w:p>
        </w:tc>
        <w:tc>
          <w:tcPr>
            <w:tcW w:w="1300" w:type="dxa"/>
            <w:vAlign w:val="bottom"/>
            <w:tcBorders>
              <w:bottom w:val="single" w:sz="8" w:color="D7282F"/>
            </w:tcBorders>
          </w:tcPr>
          <w:p>
            <w:pPr>
              <w:spacing w:after="0"/>
              <w:rPr>
                <w:sz w:val="17"/>
                <w:szCs w:val="17"/>
                <w:color w:val="auto"/>
              </w:rPr>
            </w:pPr>
          </w:p>
        </w:tc>
        <w:tc>
          <w:tcPr>
            <w:tcW w:w="820" w:type="dxa"/>
            <w:vAlign w:val="bottom"/>
            <w:tcBorders>
              <w:bottom w:val="single" w:sz="8" w:color="D7282F"/>
            </w:tcBorders>
          </w:tcPr>
          <w:p>
            <w:pPr>
              <w:jc w:val="right"/>
              <w:ind w:right="188"/>
              <w:spacing w:after="0"/>
              <w:rPr>
                <w:sz w:val="20"/>
                <w:szCs w:val="20"/>
                <w:color w:val="auto"/>
              </w:rPr>
            </w:pPr>
            <w:r>
              <w:rPr>
                <w:rFonts w:ascii="Arial" w:cs="Arial" w:eastAsia="Arial" w:hAnsi="Arial"/>
                <w:sz w:val="14"/>
                <w:szCs w:val="14"/>
                <w:color w:val="auto"/>
              </w:rPr>
              <w:t>59</w:t>
            </w:r>
          </w:p>
        </w:tc>
        <w:tc>
          <w:tcPr>
            <w:tcW w:w="118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14</w:t>
            </w:r>
          </w:p>
        </w:tc>
      </w:tr>
      <w:tr>
        <w:trPr>
          <w:trHeight w:val="199"/>
        </w:trPr>
        <w:tc>
          <w:tcPr>
            <w:tcW w:w="54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Ending balance</w:t>
            </w:r>
          </w:p>
        </w:tc>
        <w:tc>
          <w:tcPr>
            <w:tcW w:w="114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535</w:t>
            </w:r>
          </w:p>
        </w:tc>
        <w:tc>
          <w:tcPr>
            <w:tcW w:w="1300" w:type="dxa"/>
            <w:vAlign w:val="bottom"/>
            <w:tcBorders>
              <w:bottom w:val="single" w:sz="8" w:color="D7282F"/>
            </w:tcBorders>
          </w:tcPr>
          <w:p>
            <w:pPr>
              <w:spacing w:after="0"/>
              <w:rPr>
                <w:sz w:val="17"/>
                <w:szCs w:val="17"/>
                <w:color w:val="auto"/>
              </w:rPr>
            </w:pPr>
          </w:p>
        </w:tc>
        <w:tc>
          <w:tcPr>
            <w:tcW w:w="820" w:type="dxa"/>
            <w:vAlign w:val="bottom"/>
            <w:tcBorders>
              <w:bottom w:val="single" w:sz="8" w:color="D7282F"/>
            </w:tcBorders>
          </w:tcPr>
          <w:p>
            <w:pPr>
              <w:jc w:val="right"/>
              <w:ind w:right="188"/>
              <w:spacing w:after="0"/>
              <w:rPr>
                <w:sz w:val="20"/>
                <w:szCs w:val="20"/>
                <w:color w:val="auto"/>
              </w:rPr>
            </w:pPr>
            <w:r>
              <w:rPr>
                <w:rFonts w:ascii="Arial" w:cs="Arial" w:eastAsia="Arial" w:hAnsi="Arial"/>
                <w:sz w:val="14"/>
                <w:szCs w:val="14"/>
                <w:b w:val="1"/>
                <w:bCs w:val="1"/>
                <w:color w:val="auto"/>
              </w:rPr>
              <w:t>578</w:t>
            </w:r>
          </w:p>
        </w:tc>
        <w:tc>
          <w:tcPr>
            <w:tcW w:w="118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622</w:t>
            </w:r>
          </w:p>
        </w:tc>
      </w:tr>
      <w:tr>
        <w:trPr>
          <w:trHeight w:val="196"/>
        </w:trPr>
        <w:tc>
          <w:tcPr>
            <w:tcW w:w="54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Total shareowners’ equity</w:t>
            </w:r>
          </w:p>
        </w:tc>
        <w:tc>
          <w:tcPr>
            <w:tcW w:w="1140" w:type="dxa"/>
            <w:vAlign w:val="bottom"/>
            <w:tcBorders>
              <w:bottom w:val="single" w:sz="8" w:color="D7282F"/>
            </w:tcBorders>
          </w:tcPr>
          <w:p>
            <w:pPr>
              <w:jc w:val="right"/>
              <w:ind w:right="368"/>
              <w:spacing w:after="0"/>
              <w:rPr>
                <w:sz w:val="20"/>
                <w:szCs w:val="20"/>
                <w:color w:val="auto"/>
              </w:rPr>
            </w:pPr>
            <w:r>
              <w:rPr>
                <w:rFonts w:ascii="Arial" w:cs="Arial" w:eastAsia="Arial" w:hAnsi="Arial"/>
                <w:sz w:val="14"/>
                <w:szCs w:val="14"/>
                <w:b w:val="1"/>
                <w:bCs w:val="1"/>
                <w:color w:val="auto"/>
              </w:rPr>
              <w:t>649.8</w:t>
            </w:r>
          </w:p>
        </w:tc>
        <w:tc>
          <w:tcPr>
            <w:tcW w:w="7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19,154</w:t>
            </w:r>
          </w:p>
        </w:tc>
        <w:tc>
          <w:tcPr>
            <w:tcW w:w="1300" w:type="dxa"/>
            <w:vAlign w:val="bottom"/>
            <w:tcBorders>
              <w:bottom w:val="single" w:sz="8" w:color="D7282F"/>
            </w:tcBorders>
          </w:tcPr>
          <w:p>
            <w:pPr>
              <w:jc w:val="right"/>
              <w:ind w:right="368"/>
              <w:spacing w:after="0"/>
              <w:rPr>
                <w:sz w:val="20"/>
                <w:szCs w:val="20"/>
                <w:color w:val="auto"/>
              </w:rPr>
            </w:pPr>
            <w:r>
              <w:rPr>
                <w:rFonts w:ascii="Arial" w:cs="Arial" w:eastAsia="Arial" w:hAnsi="Arial"/>
                <w:sz w:val="14"/>
                <w:szCs w:val="14"/>
                <w:b w:val="1"/>
                <w:bCs w:val="1"/>
                <w:color w:val="auto"/>
              </w:rPr>
              <w:t>651.8</w:t>
            </w:r>
          </w:p>
        </w:tc>
        <w:tc>
          <w:tcPr>
            <w:tcW w:w="820" w:type="dxa"/>
            <w:vAlign w:val="bottom"/>
            <w:tcBorders>
              <w:bottom w:val="single" w:sz="8" w:color="D7282F"/>
            </w:tcBorders>
          </w:tcPr>
          <w:p>
            <w:pPr>
              <w:jc w:val="right"/>
              <w:ind w:right="188"/>
              <w:spacing w:after="0"/>
              <w:rPr>
                <w:sz w:val="20"/>
                <w:szCs w:val="20"/>
                <w:color w:val="auto"/>
              </w:rPr>
            </w:pPr>
            <w:r>
              <w:rPr>
                <w:rFonts w:ascii="Arial" w:cs="Arial" w:eastAsia="Arial" w:hAnsi="Arial"/>
                <w:sz w:val="14"/>
                <w:szCs w:val="14"/>
                <w:b w:val="1"/>
                <w:bCs w:val="1"/>
                <w:color w:val="auto"/>
              </w:rPr>
              <w:t>16,434</w:t>
            </w:r>
          </w:p>
        </w:tc>
        <w:tc>
          <w:tcPr>
            <w:tcW w:w="1180" w:type="dxa"/>
            <w:vAlign w:val="bottom"/>
            <w:tcBorders>
              <w:bottom w:val="single" w:sz="8" w:color="D7282F"/>
            </w:tcBorders>
          </w:tcPr>
          <w:p>
            <w:pPr>
              <w:jc w:val="right"/>
              <w:ind w:right="368"/>
              <w:spacing w:after="0"/>
              <w:rPr>
                <w:sz w:val="20"/>
                <w:szCs w:val="20"/>
                <w:color w:val="auto"/>
              </w:rPr>
            </w:pPr>
            <w:r>
              <w:rPr>
                <w:rFonts w:ascii="Arial" w:cs="Arial" w:eastAsia="Arial" w:hAnsi="Arial"/>
                <w:sz w:val="14"/>
                <w:szCs w:val="14"/>
                <w:b w:val="1"/>
                <w:bCs w:val="1"/>
                <w:color w:val="auto"/>
              </w:rPr>
              <w:t>667.6</w:t>
            </w: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17,319</w:t>
            </w:r>
          </w:p>
        </w:tc>
      </w:tr>
      <w:tr>
        <w:trPr>
          <w:trHeight w:val="195"/>
        </w:trPr>
        <w:tc>
          <w:tcPr>
            <w:tcW w:w="5480" w:type="dxa"/>
            <w:vAlign w:val="bottom"/>
          </w:tcPr>
          <w:p>
            <w:pPr>
              <w:ind w:left="20"/>
              <w:spacing w:after="0"/>
              <w:rPr>
                <w:sz w:val="20"/>
                <w:szCs w:val="20"/>
                <w:color w:val="auto"/>
              </w:rPr>
            </w:pPr>
            <w:r>
              <w:rPr>
                <w:rFonts w:ascii="Arial" w:cs="Arial" w:eastAsia="Arial" w:hAnsi="Arial"/>
                <w:sz w:val="14"/>
                <w:szCs w:val="14"/>
                <w:b w:val="1"/>
                <w:bCs w:val="1"/>
                <w:color w:val="auto"/>
              </w:rPr>
              <w:t>Cash dividends per share of common stock</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right"/>
              <w:ind w:right="68"/>
              <w:spacing w:after="0"/>
              <w:rPr>
                <w:sz w:val="20"/>
                <w:szCs w:val="20"/>
                <w:color w:val="auto"/>
              </w:rPr>
            </w:pPr>
            <w:r>
              <w:rPr>
                <w:rFonts w:ascii="Arial" w:cs="Arial" w:eastAsia="Arial" w:hAnsi="Arial"/>
                <w:sz w:val="14"/>
                <w:szCs w:val="14"/>
                <w:b w:val="1"/>
                <w:bCs w:val="1"/>
                <w:color w:val="auto"/>
              </w:rPr>
              <w:t>4.37</w:t>
            </w: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ind w:right="188"/>
              <w:spacing w:after="0"/>
              <w:rPr>
                <w:sz w:val="20"/>
                <w:szCs w:val="20"/>
                <w:color w:val="auto"/>
              </w:rPr>
            </w:pPr>
            <w:r>
              <w:rPr>
                <w:rFonts w:ascii="Arial" w:cs="Arial" w:eastAsia="Arial" w:hAnsi="Arial"/>
                <w:sz w:val="14"/>
                <w:szCs w:val="14"/>
                <w:b w:val="1"/>
                <w:bCs w:val="1"/>
                <w:color w:val="auto"/>
              </w:rPr>
              <w:t>4.17</w:t>
            </w: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3.97</w:t>
            </w:r>
          </w:p>
        </w:tc>
      </w:tr>
    </w:tbl>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Notes to Consolidated Financial Statements are an integral part of this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ind w:left="400" w:hanging="392"/>
        <w:spacing w:after="0"/>
        <w:tabs>
          <w:tab w:leader="none" w:pos="400" w:val="left"/>
        </w:tabs>
        <w:numPr>
          <w:ilvl w:val="0"/>
          <w:numId w:val="108"/>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58" w:name="page59"/>
    <w:bookmarkEnd w:id="58"/>
    <w:p>
      <w:pPr>
        <w:ind w:left="20"/>
        <w:spacing w:after="0"/>
        <w:tabs>
          <w:tab w:leader="none" w:pos="784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FINANCIAL STATEMENTS AND SUPPLEMENTARY DATA</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ind w:left="3480"/>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29"/>
          <w:szCs w:val="29"/>
          <w:color w:val="D7282F"/>
        </w:rPr>
        <w:t>NOTE 1. SUMMARY OF SIGNIFICANT ACCOUNTING POLICIES</w:t>
      </w:r>
    </w:p>
    <w:p>
      <w:pPr>
        <w:spacing w:after="0" w:line="28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ACCOUNTING PRINCIPLES</w:t>
      </w:r>
    </w:p>
    <w:p>
      <w:pPr>
        <w:spacing w:after="0" w:line="12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financial statements and accompanying notes are prepared in accordance with accounting principles generally accepted in the United States of America. The following is a description of Honeywell’s significant accounting policies.</w:t>
      </w:r>
    </w:p>
    <w:p>
      <w:pPr>
        <w:spacing w:after="0" w:line="18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PRINCIPLES OF CONSOLIDATION</w:t>
      </w:r>
    </w:p>
    <w:p>
      <w:pPr>
        <w:spacing w:after="0" w:line="14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Consolidated Financial Statements include the accounts of Honeywell International Inc. and all of its subsidiaries and entities in which a controlling interest is maintained. The Company's consolidation policy requires equity investments that the Company exercises significant influence over, but does not control the investee and are not the primary beneficiary of the investee’s activities, to be accounted for using the equity method. Investments through which the Company is not able to exercise significant influence over the investee and which the Company does not have readily determinable fair values are accounted for under the cost method. All intercompany transactions and balances are eliminated in consolidation.</w:t>
      </w:r>
    </w:p>
    <w:p>
      <w:pPr>
        <w:spacing w:after="0" w:line="20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USE OF ESTIMATES</w:t>
      </w:r>
    </w:p>
    <w:p>
      <w:pPr>
        <w:spacing w:after="0" w:line="14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preparation of the consolidated financial statements in accordance with generally accepted accounting principles, the Company makes certain estimates and assumptions in determining the amounts reflected in the financial statements and the related notes. Actual results could differ from those estimates.</w:t>
      </w:r>
    </w:p>
    <w:p>
      <w:pPr>
        <w:spacing w:after="0" w:line="18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RECLASSIFICATIONS</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color w:val="auto"/>
        </w:rPr>
        <w:t>Certain prior year amounts are reclassified to conform to the current year presentation.</w:t>
      </w:r>
    </w:p>
    <w:p>
      <w:pPr>
        <w:spacing w:after="0" w:line="113"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212529"/>
        </w:rPr>
        <w:t xml:space="preserve">During the first quarter of 2024, the Company realigned certain of its business units as reflected in Note </w:t>
      </w:r>
      <w:r>
        <w:rPr>
          <w:rFonts w:ascii="Arial" w:cs="Arial" w:eastAsia="Arial" w:hAnsi="Arial"/>
          <w:sz w:val="16"/>
          <w:szCs w:val="16"/>
          <w:color w:val="000000"/>
        </w:rPr>
        <w:t>22</w:t>
      </w:r>
      <w:r>
        <w:rPr>
          <w:rFonts w:ascii="Arial" w:cs="Arial" w:eastAsia="Arial" w:hAnsi="Arial"/>
          <w:sz w:val="16"/>
          <w:szCs w:val="16"/>
          <w:color w:val="212529"/>
        </w:rPr>
        <w:t xml:space="preserve"> </w:t>
      </w:r>
      <w:r>
        <w:rPr>
          <w:rFonts w:ascii="Arial" w:cs="Arial" w:eastAsia="Arial" w:hAnsi="Arial"/>
          <w:sz w:val="16"/>
          <w:szCs w:val="16"/>
          <w:u w:val="single" w:color="auto"/>
          <w:color w:val="0000FF"/>
        </w:rPr>
        <w:t>Segment Financial Data</w:t>
      </w:r>
      <w:r>
        <w:rPr>
          <w:rFonts w:ascii="Arial" w:cs="Arial" w:eastAsia="Arial" w:hAnsi="Arial"/>
          <w:sz w:val="16"/>
          <w:szCs w:val="16"/>
          <w:color w:val="212529"/>
        </w:rPr>
        <w:t>, which impacted the composition of its reportable segments. The Company recast historical periods to reflect this change in segment presentation.</w:t>
      </w:r>
    </w:p>
    <w:p>
      <w:pPr>
        <w:spacing w:after="0" w:line="18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RECENT ACCOUNTING PRONOUNCEMENTS</w:t>
      </w:r>
    </w:p>
    <w:p>
      <w:pPr>
        <w:spacing w:after="0" w:line="14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Company considers the applicability and impact of all Accounting Standards Updates (ASUs) issued by the Financial Accounting Standards Board (FASB). ASUs not listed below were assessed and determined to be either not applicable or are expected to have minimal impact on the Company's Consolidated Statement of Operations, Balance Sheet, and Cash Flows (Consolidated Financial Statements).</w:t>
      </w:r>
    </w:p>
    <w:p>
      <w:pPr>
        <w:spacing w:after="0" w:line="56"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 xml:space="preserve">In November 2024, the FASB issued ASU 2024-03, </w:t>
      </w:r>
      <w:r>
        <w:rPr>
          <w:rFonts w:ascii="Arial" w:cs="Arial" w:eastAsia="Arial" w:hAnsi="Arial"/>
          <w:sz w:val="16"/>
          <w:szCs w:val="16"/>
          <w:i w:val="1"/>
          <w:iCs w:val="1"/>
          <w:color w:val="auto"/>
        </w:rPr>
        <w:t>Income Statement—Reporting Comprehensive Income—Expense Disaggregation Disclosures (Subtopic</w:t>
      </w:r>
      <w:r>
        <w:rPr>
          <w:rFonts w:ascii="Arial" w:cs="Arial" w:eastAsia="Arial" w:hAnsi="Arial"/>
          <w:sz w:val="16"/>
          <w:szCs w:val="16"/>
          <w:color w:val="auto"/>
        </w:rPr>
        <w:t xml:space="preserve"> </w:t>
      </w:r>
      <w:r>
        <w:rPr>
          <w:rFonts w:ascii="Arial" w:cs="Arial" w:eastAsia="Arial" w:hAnsi="Arial"/>
          <w:sz w:val="16"/>
          <w:szCs w:val="16"/>
          <w:i w:val="1"/>
          <w:iCs w:val="1"/>
          <w:color w:val="auto"/>
        </w:rPr>
        <w:t>220-40): Disaggregation of Income Statement Expenses</w:t>
      </w:r>
      <w:r>
        <w:rPr>
          <w:rFonts w:ascii="Arial" w:cs="Arial" w:eastAsia="Arial" w:hAnsi="Arial"/>
          <w:sz w:val="16"/>
          <w:szCs w:val="16"/>
          <w:color w:val="auto"/>
        </w:rPr>
        <w:t>, which requires companies to disclose additional information about the types of expenses in</w:t>
      </w:r>
    </w:p>
    <w:p>
      <w:pPr>
        <w:jc w:val="both"/>
        <w:spacing w:after="0" w:line="260" w:lineRule="auto"/>
        <w:rPr>
          <w:sz w:val="20"/>
          <w:szCs w:val="20"/>
          <w:color w:val="auto"/>
        </w:rPr>
      </w:pPr>
      <w:r>
        <w:rPr>
          <w:rFonts w:ascii="Arial" w:cs="Arial" w:eastAsia="Arial" w:hAnsi="Arial"/>
          <w:sz w:val="16"/>
          <w:szCs w:val="16"/>
          <w:color w:val="auto"/>
        </w:rPr>
        <w:t>commonly presented expense captions. The new standard requires tabular disclosure of specified natural expenses in certain expense captions, a qualitative description of amounts that are not separately disaggregated, and disclosure of the Company's definition and total amount of selling expenses. The ASU should be applied prospectively for annual reporting periods beginning after December 15, 2026, with retrospective application and early adoption permitted. The Company is currently evaluating the impacts of this guidance on the Company's Consolidated Financial Statements.</w:t>
      </w:r>
    </w:p>
    <w:p>
      <w:pPr>
        <w:spacing w:after="0" w:line="68"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 xml:space="preserve">In December 2023, the FASB issued ASU 2023-09, </w:t>
      </w:r>
      <w:r>
        <w:rPr>
          <w:rFonts w:ascii="Arial" w:cs="Arial" w:eastAsia="Arial" w:hAnsi="Arial"/>
          <w:sz w:val="16"/>
          <w:szCs w:val="16"/>
          <w:i w:val="1"/>
          <w:iCs w:val="1"/>
          <w:color w:val="auto"/>
        </w:rPr>
        <w:t>Income Taxes (Topic 740): Improvements to Income Taxes Disclosures</w:t>
      </w:r>
      <w:r>
        <w:rPr>
          <w:rFonts w:ascii="Arial" w:cs="Arial" w:eastAsia="Arial" w:hAnsi="Arial"/>
          <w:sz w:val="16"/>
          <w:szCs w:val="16"/>
          <w:color w:val="auto"/>
        </w:rPr>
        <w:t>, which requires greater disaggregation of income tax disclosures. The new standard requires additional information to be disclosed with respect to the income tax rate reconciliation and income taxes paid disaggregated by jurisdiction. This ASU should be applied prospectively for fiscal years beginning after December 15, 2024, with retrospective application permitted. The Company is currently evaluating the impacts of this guidance on the Company’s Consolidated Financial Statements.</w:t>
      </w:r>
    </w:p>
    <w:p>
      <w:pPr>
        <w:spacing w:after="0" w:line="60"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 xml:space="preserve">In November 2023, the FASB issued ASU 2023-07, </w:t>
      </w:r>
      <w:r>
        <w:rPr>
          <w:rFonts w:ascii="Arial" w:cs="Arial" w:eastAsia="Arial" w:hAnsi="Arial"/>
          <w:sz w:val="16"/>
          <w:szCs w:val="16"/>
          <w:i w:val="1"/>
          <w:iCs w:val="1"/>
          <w:color w:val="auto"/>
        </w:rPr>
        <w:t>Segment Reporting (Topic 280): Improvements to Reportable Segment Disclosures</w:t>
      </w:r>
      <w:r>
        <w:rPr>
          <w:rFonts w:ascii="Arial" w:cs="Arial" w:eastAsia="Arial" w:hAnsi="Arial"/>
          <w:sz w:val="16"/>
          <w:szCs w:val="16"/>
          <w:color w:val="auto"/>
        </w:rPr>
        <w:t>, which requires companies to enhance the disclosures about segment expenses. The new standard requires the disclosure of the Company’s Chief Operating Decision Maker (CODM), expanded incremental line-item disclosures of significant segment expenses used by the CODM for decision-making, and the inclusion of previous annual only segment disclosure requirements on a quarterly basis. This ASU should be applied retrospectively for fiscal years beginning after December 15, 2023, and early adoption is permitted. The Company adopted this guidance for annual disclosures for the year ended December 31, 2024. The adoption of this standard does not have a material impact on the Company’s Consolidated Financial Statements.</w:t>
      </w:r>
    </w:p>
    <w:p>
      <w:pPr>
        <w:spacing w:after="0" w:line="200" w:lineRule="exact"/>
        <w:rPr>
          <w:sz w:val="20"/>
          <w:szCs w:val="20"/>
          <w:color w:val="auto"/>
        </w:rPr>
      </w:pPr>
    </w:p>
    <w:p>
      <w:pPr>
        <w:spacing w:after="0" w:line="208" w:lineRule="exact"/>
        <w:rPr>
          <w:sz w:val="20"/>
          <w:szCs w:val="20"/>
          <w:color w:val="auto"/>
        </w:rPr>
      </w:pPr>
    </w:p>
    <w:p>
      <w:pPr>
        <w:ind w:left="400" w:hanging="392"/>
        <w:spacing w:after="0"/>
        <w:tabs>
          <w:tab w:leader="none" w:pos="400" w:val="left"/>
        </w:tabs>
        <w:numPr>
          <w:ilvl w:val="0"/>
          <w:numId w:val="109"/>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59" w:name="page60"/>
    <w:bookmarkEnd w:id="59"/>
    <w:p>
      <w:pPr>
        <w:ind w:left="20"/>
        <w:spacing w:after="0"/>
        <w:tabs>
          <w:tab w:leader="none" w:pos="784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FINANCIAL STATEMENTS AND SUPPLEMENTARY DATA</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29"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 xml:space="preserve">In September 2022, the FASB issued ASU 2022-04, </w:t>
      </w:r>
      <w:r>
        <w:rPr>
          <w:rFonts w:ascii="Arial" w:cs="Arial" w:eastAsia="Arial" w:hAnsi="Arial"/>
          <w:sz w:val="16"/>
          <w:szCs w:val="16"/>
          <w:i w:val="1"/>
          <w:iCs w:val="1"/>
          <w:color w:val="auto"/>
        </w:rPr>
        <w:t>Liabilities—Supplier Finance Programs (Topic 405): Disclosure of Supplier Finance Program</w:t>
      </w:r>
      <w:r>
        <w:rPr>
          <w:rFonts w:ascii="Arial" w:cs="Arial" w:eastAsia="Arial" w:hAnsi="Arial"/>
          <w:sz w:val="16"/>
          <w:szCs w:val="16"/>
          <w:color w:val="auto"/>
        </w:rPr>
        <w:t xml:space="preserve"> </w:t>
      </w:r>
      <w:r>
        <w:rPr>
          <w:rFonts w:ascii="Arial" w:cs="Arial" w:eastAsia="Arial" w:hAnsi="Arial"/>
          <w:sz w:val="16"/>
          <w:szCs w:val="16"/>
          <w:i w:val="1"/>
          <w:iCs w:val="1"/>
          <w:color w:val="auto"/>
        </w:rPr>
        <w:t>Obligations</w:t>
      </w:r>
      <w:r>
        <w:rPr>
          <w:rFonts w:ascii="Arial" w:cs="Arial" w:eastAsia="Arial" w:hAnsi="Arial"/>
          <w:sz w:val="16"/>
          <w:szCs w:val="16"/>
          <w:color w:val="auto"/>
        </w:rPr>
        <w:t>, to enhance the transparency of supplier finance programs. The new standard requires annual disclosure of the key terms of the program, a</w:t>
      </w:r>
      <w:r>
        <w:rPr>
          <w:rFonts w:ascii="Arial" w:cs="Arial" w:eastAsia="Arial" w:hAnsi="Arial"/>
          <w:sz w:val="16"/>
          <w:szCs w:val="16"/>
          <w:i w:val="1"/>
          <w:iCs w:val="1"/>
          <w:color w:val="auto"/>
        </w:rPr>
        <w:t xml:space="preserve"> </w:t>
      </w:r>
      <w:r>
        <w:rPr>
          <w:rFonts w:ascii="Arial" w:cs="Arial" w:eastAsia="Arial" w:hAnsi="Arial"/>
          <w:sz w:val="16"/>
          <w:szCs w:val="16"/>
          <w:color w:val="auto"/>
        </w:rPr>
        <w:t>description of where in the financial statements amounts outstanding under the program are presented, a rollforward of such amounts, and interim disclosure of amounts outstanding as of the end of each period. The guidance does not affect recognition, measurement, or financial statement presentation of supplier finance programs. The ASU was effective on January 1, 2023, except for the rollforward, which was effective on January 1, 2024. The Company adopted this guidance on January 1, 2023, with the exception of the rollforward adopted on January 1, 2024. The adoption of this standard does not have a material impact on the Company’s Consolidated Financial Statements.</w:t>
      </w:r>
    </w:p>
    <w:p>
      <w:pPr>
        <w:spacing w:after="0" w:line="20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RESEARCH AND DEVELOPMENT</w:t>
      </w:r>
    </w:p>
    <w:p>
      <w:pPr>
        <w:spacing w:after="0" w:line="14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Research and development costs for projects are expensed as incurred, unless these costs relate to contracts with customers where the Company receives reimbursements. Costs related to contracts with customers for customer-sponsored research and development projects are included as a contract cost and included in Cost of products and services sold when revenue from such contracts is recognized, consistent with the Company's sales recognition policies.</w:t>
      </w:r>
    </w:p>
    <w:p>
      <w:pPr>
        <w:spacing w:after="0" w:line="19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CASH AND CASH EQUIVALENTS</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color w:val="auto"/>
        </w:rPr>
        <w:t>Cash and cash equivalents include cash on hand and highly liquid investments having an original maturity of three months or less.</w:t>
      </w:r>
    </w:p>
    <w:p>
      <w:pPr>
        <w:spacing w:after="0" w:line="25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INVENTORIES</w:t>
      </w:r>
    </w:p>
    <w:p>
      <w:pPr>
        <w:spacing w:after="0" w:line="128"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Inventories are stated at the lower of cost or net realizable value, with cost determined on a first-in, first-out basis. Carrying value adjustments for inventory obsolescence is equal to the difference between the cost and net realizable value. Net realizable value is the estimated selling price in the ordinary course of business, less reasonably predictable costs of completion, disposal, and transportation. Items capable of being sold, including as spare parts, are classified as finished goods.</w:t>
      </w:r>
    </w:p>
    <w:p>
      <w:pPr>
        <w:spacing w:after="0" w:line="19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PROPERTY, PLANT AND EQUIPMENT</w:t>
      </w:r>
    </w:p>
    <w:p>
      <w:pPr>
        <w:spacing w:after="0" w:line="12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Property, plant and equipment are recorded at cost, including any asset retirement obligations, less accumulated depreciation. For financial reporting, the straight-line method of depreciation is used over the estimated useful lives of 10 to 50 years for buildings and improvements and three to 16 years for machinery and equipment. Recognition of the fair value of obligations associated with the retirement of tangible long-lived assets is required when there is a legal obligation to incur such costs. Upon initial recognition of a liability, the cost is capitalized as part of the related long-lived asset and depreciated over the corresponding asset’s useful life.</w:t>
      </w:r>
    </w:p>
    <w:p>
      <w:pPr>
        <w:spacing w:after="0" w:line="20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GOODWILL AND INDEFINITE-LIVED INTANGIBLE ASSETS</w:t>
      </w:r>
    </w:p>
    <w:p>
      <w:pPr>
        <w:spacing w:after="0" w:line="12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Company recognizes goodwill and indefinite-lived intangible asset balances in conjunction with business combinations, with amounts being recorded at their respective fair values upon the closing of a transaction. Subsequent to the closing of a business combination, the Company evaluates and books adjustments, as applicable, to the preliminary amounts recorded over the relevant measurement period, which is not to exceed one year from the acquisition date.</w:t>
      </w:r>
    </w:p>
    <w:p>
      <w:pPr>
        <w:spacing w:after="0" w:line="7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Goodwill and indefinite-lived intangible assets are subject to impairment testing annually as of the first day of the fourth quarter, or if a triggering event occurs or changes in circumstances indicate that the carrying amount may not be fully recoverable. This testing compares carrying values to fair values and, when appropriate, the carrying value of these assets is reduced to fair value, not to exceed the carrying value of goodwill. The Company completed its annual goodwill impairment test as of the first day of the fourth quarter and determined there was no impairment as of that date. The Company is not aware of any additional triggering events.</w:t>
      </w:r>
    </w:p>
    <w:p>
      <w:pPr>
        <w:spacing w:after="0" w:line="20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DEFINITE-LIVED INTANGIBLE ASSETS</w:t>
      </w:r>
    </w:p>
    <w:p>
      <w:pPr>
        <w:spacing w:after="0" w:line="14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Company recognizes definite-lived intangible asset balances in conjunction with business combinations, with amounts being recorded at their respective fair values upon the closing of a transaction. Subsequent to the closing of a business combination, the Company evaluates and books adjustments, as applicable, to the preliminary amounts recorded over the relevant measurement period, which is not to exceed one year from the acquisition date.</w:t>
      </w:r>
    </w:p>
    <w:p>
      <w:pPr>
        <w:spacing w:after="0" w:line="7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Definite-lived intangible assets consist of customer relationships, patents and technology, trademarks, and other intangibles and are amortized over their estimated useful lives, ranging from two to 20 years.</w:t>
      </w:r>
    </w:p>
    <w:p>
      <w:pPr>
        <w:spacing w:after="0" w:line="400" w:lineRule="exact"/>
        <w:rPr>
          <w:sz w:val="20"/>
          <w:szCs w:val="20"/>
          <w:color w:val="auto"/>
        </w:rPr>
      </w:pPr>
    </w:p>
    <w:p>
      <w:pPr>
        <w:ind w:left="400" w:hanging="392"/>
        <w:spacing w:after="0"/>
        <w:tabs>
          <w:tab w:leader="none" w:pos="400" w:val="left"/>
        </w:tabs>
        <w:numPr>
          <w:ilvl w:val="0"/>
          <w:numId w:val="110"/>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60" w:name="page61"/>
    <w:bookmarkEnd w:id="60"/>
    <w:p>
      <w:pPr>
        <w:ind w:left="20"/>
        <w:spacing w:after="0"/>
        <w:tabs>
          <w:tab w:leader="none" w:pos="784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FINANCIAL STATEMENTS AND SUPPLEMENTARY DATA</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CAPITALIZED SOFTWARE</w:t>
      </w:r>
    </w:p>
    <w:p>
      <w:pPr>
        <w:spacing w:after="0" w:line="12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Company capitalizes costs of software developed or obtained for internal use during the application development stage of a project and amortizes those costs using the straight-line method over the expected useful life of the software, not to exceed seven years. Costs incurred during the preliminary and post-implementation stages are expensed as incurred. Development costs for software held for sale are capitalized once a project has reached the point of technological feasibility. Completed projects are amortized after reaching the point of general availability using the straight-line method based on the expected useful life, not to exceed seven years. At each balance sheet date, or earlier if an indicator of an impairment exists, the Company evaluates the recoverability of unamortized capitalized software costs based on estimated future undiscounted revenues net of estimated related costs over the remaining amortization period. Capitalized software held for internal use and held for sale is included in Other assets in the Consolidated Balance Sheet.</w:t>
      </w:r>
    </w:p>
    <w:p>
      <w:pPr>
        <w:spacing w:after="0" w:line="20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FOREIGN CURRENCY TRANSLATION</w:t>
      </w:r>
    </w:p>
    <w:p>
      <w:pPr>
        <w:spacing w:after="0" w:line="14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Assets and liabilities of subsidiaries operating outside the United States with a functional currency other than the U.S. dollar are translated into U.S. dollars using year-end exchange rates. Sales, costs, and expenses are translated at the average exchange rates in effect during the year. Foreign currency translation gains and losses are included as a component of Accumulated other comprehensive loss. For subsidiaries operating in highly inflationary environments, inventories and property, plant and equipment, including related expenses, are remeasured at the exchange rate in effect on the date the assets were acquired, while monetary assets and liabilities are remeasured at year-end exchange rates. Remeasurement adjustments for these subsidiaries are included in earnings.</w:t>
      </w:r>
    </w:p>
    <w:p>
      <w:pPr>
        <w:spacing w:after="0" w:line="20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DERIVATIVE FINANCIAL INSTRUMENTS</w:t>
      </w:r>
    </w:p>
    <w:p>
      <w:pPr>
        <w:spacing w:after="0" w:line="12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All derivative financial instruments are recorded on the balance sheet as assets or liabilities and measured at fair value. For derivatives designated as hedges of the fair value of assets or liabilities, the changes in fair values of both the derivatives and the hedged items are recorded in current earnings. For derivatives designated as cash flow hedges, the changes in fair value of the derivatives are recorded in Accumulated other comprehensive loss and subsequently recognized in earnings when the hedged items impact earnings.</w:t>
      </w:r>
    </w:p>
    <w:p>
      <w:pPr>
        <w:spacing w:after="0" w:line="7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Derivative financial instruments designated as hedges must be designated and effective as a hedge of the identified risk exposure at the inception of the contract. Changes in fair value of the derivative contract must be highly correlated with changes in fair value of the underlying hedged item at inception and over the life of the hedge contract. Cash flows of such derivative financial instruments are classified consistent with the underlying hedged item. The Company elected to exclude the time value of the derivatives (i.e., the forward points) from the assessment of hedge effectiveness and to recognize the initial value of the excluded component in earnings using the amortization approach. For derivative instruments that are designated and qualify as a net investment hedge, the gain or loss is reported as a component of Other comprehensive income (loss) and recorded in Accumulated other comprehensive loss. The gain or loss will be subsequently reclassified into earnings when the hedged net investment is either sold or substantially liquidated.</w:t>
      </w:r>
    </w:p>
    <w:p>
      <w:pPr>
        <w:spacing w:after="0" w:line="20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LEASES</w:t>
      </w:r>
    </w:p>
    <w:p>
      <w:pPr>
        <w:spacing w:after="0" w:line="14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At the inception of a contract, the Company assesses whether the contract is, or contains, a lease. The assessment is based on (i) whether the contract involves the use of a distinct identified asset, (ii) whether the Company obtains the right to substantially all the economic benefit from the use of the asset throughout the period, and (iii) whether the Company has the right to direct the use of the asset.</w:t>
      </w:r>
    </w:p>
    <w:p>
      <w:pPr>
        <w:spacing w:after="0" w:line="7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All significant lease arrangements are generally recognized at lease commencement. Operating lease right-of-use (ROU) assets and lease liabilities are recognized at commencement. An ROU asset and corresponding lease liability are not recorded for leases with an initial term of 12 months or less (short-term leases); however, lease expense for these leases is recognized as incurred over the lease term.</w:t>
      </w:r>
    </w:p>
    <w:p>
      <w:pPr>
        <w:spacing w:after="0" w:line="5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ROU assets represent the Company's right to use an underlying asset during the reasonably certain lease term, and lease liabilities represent the obligation to make lease payments arising from the lease. The Company's lease terms may include options to extend or terminate the lease when it is reasonably certain that the Company will exercise that option.</w:t>
      </w:r>
    </w:p>
    <w:p>
      <w:pPr>
        <w:spacing w:after="0" w:line="5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Operating lease ROU assets and liabilities are recognized at commencement date based on the present value of lease payments over the lease term. Lease payments may be fixed or variable, however, only fixed payments or in-substance fixed payments are included in determining the lease liability. Variable lease payments are recognized in operating expenses in the period in which the obligation for those payments are incurred. The operating lease ROU asset also includes any lease payments related to initial direct costs and prepayments and excludes lease incentives. Lease expense is recognized on a straight-line basis over the lease term. The Company has lease agreements with lease and non-lease components, which are generally accounted for separately.</w:t>
      </w:r>
    </w:p>
    <w:p>
      <w:pPr>
        <w:spacing w:after="0" w:line="200" w:lineRule="exact"/>
        <w:rPr>
          <w:sz w:val="20"/>
          <w:szCs w:val="20"/>
          <w:color w:val="auto"/>
        </w:rPr>
      </w:pPr>
    </w:p>
    <w:p>
      <w:pPr>
        <w:spacing w:after="0" w:line="203" w:lineRule="exact"/>
        <w:rPr>
          <w:sz w:val="20"/>
          <w:szCs w:val="20"/>
          <w:color w:val="auto"/>
        </w:rPr>
      </w:pPr>
    </w:p>
    <w:p>
      <w:pPr>
        <w:ind w:left="400" w:hanging="392"/>
        <w:spacing w:after="0"/>
        <w:tabs>
          <w:tab w:leader="none" w:pos="400" w:val="left"/>
        </w:tabs>
        <w:numPr>
          <w:ilvl w:val="0"/>
          <w:numId w:val="111"/>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61" w:name="page62"/>
    <w:bookmarkEnd w:id="61"/>
    <w:p>
      <w:pPr>
        <w:ind w:left="20"/>
        <w:spacing w:after="0"/>
        <w:tabs>
          <w:tab w:leader="none" w:pos="784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FINANCIAL STATEMENTS AND SUPPLEMENTARY DATA</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2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Company primarily uses its incremental borrowing rate, which is based on the information available at the lease commencement date, in determining the present value of the lease payments. In determining the borrowing rate, the Company considers the lease term, secured incremental borrowing rate, and for leases denominated in a currency different than the U.S. dollar, the collateralized borrowing rate in the foreign currency using the U.S. dollar and foreign currency swap spread, when available.</w:t>
      </w:r>
    </w:p>
    <w:p>
      <w:pPr>
        <w:spacing w:after="0" w:line="20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PENSION BENEFITS</w:t>
      </w:r>
    </w:p>
    <w:p>
      <w:pPr>
        <w:spacing w:after="0" w:line="141"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The Company presents net periodic pension costs by disaggregating the service cost component of such costs and reports those costs in the same line item or items in the Consolidated Statement of Operations as other compensation costs arising from services rendered by the pertinent employees during the period. The other non-service components of such costs are required to be presented separately from the service cost component.</w:t>
      </w:r>
    </w:p>
    <w:p>
      <w:pPr>
        <w:spacing w:after="0" w:line="7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Company records the service cost component of Pension ongoing (income) expense in Cost of products and services sold, Research and development expenses, and Selling, general and administrative expenses. The remaining components of costs within Pension ongoing (income) expense, primarily interest costs and assumed return on plan assets, are recorded in Other (income) expense. The Company recognizes net actuarial gains or losses in excess of 10% of the greater of the fair value of plan assets or the plan's projected benefit obligation (the corridor) annually in the fourth quarter each year (MTM Adjustment). The MTM Adjustment is also reported in Other (income) expense.</w:t>
      </w:r>
    </w:p>
    <w:p>
      <w:pPr>
        <w:spacing w:after="0" w:line="20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SUPPLY CHAIN FINANCING</w:t>
      </w:r>
    </w:p>
    <w:p>
      <w:pPr>
        <w:spacing w:after="0" w:line="14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Company maintains agreements with third-party financial institutions that offer voluntary supply chain financing (SCF) programs to suppliers. The SCF programs enable suppliers, at their sole discretion, to sell their receivables to third-party financial institutions in order to receive payment on receivables earlier than the negotiated commercial terms between suppliers and the Company. Supplier sale of receivables to third-party financial institutions is on terms negotiated between the supplier and the respective third-party financial institution. The Company agrees on commercial terms for the goods and services procured from suppliers, including prices, quantities, and payment terms, which normally range between 60 and 120 days, regardless of whether the supplier elects to participate in the SCF programs. A suppliers’ voluntary participation in the SCF programs has no bearing on the Company's payment terms and the Company has no economic interest in a supplier’s decision to participate in the SCF programs. The Company agrees to pay participating third-party financial institutions the stated amounts of confirmed invoices from suppliers on the original maturity dates of the invoices.</w:t>
      </w:r>
    </w:p>
    <w:p>
      <w:pPr>
        <w:spacing w:after="0" w:line="7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Amounts outstanding related to SCF programs are included in Accounts payable in the Consolidated Balance Sheet. The impact of these programs is not material to the Company's overall liquidity. The following table summarizes the Company's outstanding obligations confirmed as valid related to the SCF programs for the years ended December 31, 2024, and 2023:</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540" w:type="dxa"/>
            <w:vAlign w:val="bottom"/>
            <w:tcBorders>
              <w:bottom w:val="single" w:sz="8" w:color="D7282F"/>
            </w:tcBorders>
          </w:tcPr>
          <w:p>
            <w:pPr>
              <w:spacing w:after="0"/>
              <w:rPr>
                <w:sz w:val="17"/>
                <w:szCs w:val="17"/>
                <w:color w:val="auto"/>
              </w:rPr>
            </w:pPr>
          </w:p>
        </w:tc>
        <w:tc>
          <w:tcPr>
            <w:tcW w:w="2460" w:type="dxa"/>
            <w:vAlign w:val="bottom"/>
            <w:tcBorders>
              <w:bottom w:val="single" w:sz="8" w:color="D7282F"/>
            </w:tcBorders>
          </w:tcPr>
          <w:p>
            <w:pPr>
              <w:spacing w:after="0"/>
              <w:rPr>
                <w:sz w:val="17"/>
                <w:szCs w:val="17"/>
                <w:color w:val="auto"/>
              </w:rPr>
            </w:pPr>
          </w:p>
        </w:tc>
        <w:tc>
          <w:tcPr>
            <w:tcW w:w="960" w:type="dxa"/>
            <w:vAlign w:val="bottom"/>
            <w:tcBorders>
              <w:bottom w:val="single" w:sz="8" w:color="D7282F"/>
            </w:tcBorders>
          </w:tcPr>
          <w:p>
            <w:pPr>
              <w:jc w:val="right"/>
              <w:ind w:right="408"/>
              <w:spacing w:after="0"/>
              <w:rPr>
                <w:sz w:val="20"/>
                <w:szCs w:val="20"/>
                <w:color w:val="auto"/>
              </w:rPr>
            </w:pPr>
            <w:r>
              <w:rPr>
                <w:rFonts w:ascii="Arial" w:cs="Arial" w:eastAsia="Arial" w:hAnsi="Arial"/>
                <w:sz w:val="14"/>
                <w:szCs w:val="14"/>
                <w:b w:val="1"/>
                <w:bCs w:val="1"/>
                <w:color w:val="auto"/>
              </w:rPr>
              <w:t>2024</w:t>
            </w:r>
          </w:p>
        </w:tc>
        <w:tc>
          <w:tcPr>
            <w:tcW w:w="380" w:type="dxa"/>
            <w:vAlign w:val="bottom"/>
            <w:tcBorders>
              <w:bottom w:val="single" w:sz="8" w:color="D7282F"/>
            </w:tcBorders>
          </w:tcPr>
          <w:p>
            <w:pPr>
              <w:spacing w:after="0"/>
              <w:rPr>
                <w:sz w:val="17"/>
                <w:szCs w:val="17"/>
                <w:color w:val="auto"/>
              </w:rPr>
            </w:pPr>
          </w:p>
        </w:tc>
        <w:tc>
          <w:tcPr>
            <w:tcW w:w="900" w:type="dxa"/>
            <w:vAlign w:val="bottom"/>
            <w:tcBorders>
              <w:bottom w:val="single" w:sz="8" w:color="D7282F"/>
            </w:tcBorders>
          </w:tcPr>
          <w:p>
            <w:pPr>
              <w:jc w:val="right"/>
              <w:ind w:right="348"/>
              <w:spacing w:after="0"/>
              <w:rPr>
                <w:sz w:val="20"/>
                <w:szCs w:val="20"/>
                <w:color w:val="auto"/>
              </w:rPr>
            </w:pPr>
            <w:r>
              <w:rPr>
                <w:rFonts w:ascii="Arial" w:cs="Arial" w:eastAsia="Arial" w:hAnsi="Arial"/>
                <w:sz w:val="14"/>
                <w:szCs w:val="14"/>
                <w:b w:val="1"/>
                <w:bCs w:val="1"/>
                <w:color w:val="auto"/>
              </w:rPr>
              <w:t>2023</w:t>
            </w:r>
          </w:p>
        </w:tc>
      </w:tr>
      <w:tr>
        <w:trPr>
          <w:trHeight w:val="196"/>
        </w:trPr>
        <w:tc>
          <w:tcPr>
            <w:tcW w:w="654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Confirmed obligations outstanding at the beginning of the year</w:t>
            </w:r>
          </w:p>
        </w:tc>
        <w:tc>
          <w:tcPr>
            <w:tcW w:w="24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1,112</w:t>
            </w:r>
          </w:p>
        </w:tc>
        <w:tc>
          <w:tcPr>
            <w:tcW w:w="3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992</w:t>
            </w:r>
          </w:p>
        </w:tc>
      </w:tr>
      <w:tr>
        <w:trPr>
          <w:trHeight w:val="193"/>
        </w:trPr>
        <w:tc>
          <w:tcPr>
            <w:tcW w:w="654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Invoices confirmed during the year</w:t>
            </w:r>
          </w:p>
        </w:tc>
        <w:tc>
          <w:tcPr>
            <w:tcW w:w="2460" w:type="dxa"/>
            <w:vAlign w:val="bottom"/>
            <w:tcBorders>
              <w:bottom w:val="single" w:sz="8" w:color="61656A"/>
            </w:tcBorders>
          </w:tcPr>
          <w:p>
            <w:pPr>
              <w:spacing w:after="0"/>
              <w:rPr>
                <w:sz w:val="16"/>
                <w:szCs w:val="16"/>
                <w:color w:val="auto"/>
              </w:rPr>
            </w:pPr>
          </w:p>
        </w:tc>
        <w:tc>
          <w:tcPr>
            <w:tcW w:w="96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3,098</w:t>
            </w:r>
          </w:p>
        </w:tc>
        <w:tc>
          <w:tcPr>
            <w:tcW w:w="380" w:type="dxa"/>
            <w:vAlign w:val="bottom"/>
            <w:tcBorders>
              <w:bottom w:val="single" w:sz="8" w:color="61656A"/>
            </w:tcBorders>
          </w:tcPr>
          <w:p>
            <w:pPr>
              <w:spacing w:after="0"/>
              <w:rPr>
                <w:sz w:val="16"/>
                <w:szCs w:val="16"/>
                <w:color w:val="auto"/>
              </w:rPr>
            </w:pPr>
          </w:p>
        </w:tc>
        <w:tc>
          <w:tcPr>
            <w:tcW w:w="9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3,017</w:t>
            </w:r>
          </w:p>
        </w:tc>
      </w:tr>
      <w:tr>
        <w:trPr>
          <w:trHeight w:val="196"/>
        </w:trPr>
        <w:tc>
          <w:tcPr>
            <w:tcW w:w="654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Less: Confirmed invoices paid during the year</w:t>
            </w:r>
          </w:p>
        </w:tc>
        <w:tc>
          <w:tcPr>
            <w:tcW w:w="2460" w:type="dxa"/>
            <w:vAlign w:val="bottom"/>
            <w:tcBorders>
              <w:bottom w:val="single" w:sz="8" w:color="D7282F"/>
            </w:tcBorders>
          </w:tcPr>
          <w:p>
            <w:pPr>
              <w:spacing w:after="0"/>
              <w:rPr>
                <w:sz w:val="17"/>
                <w:szCs w:val="17"/>
                <w:color w:val="auto"/>
              </w:rPr>
            </w:pPr>
          </w:p>
        </w:tc>
        <w:tc>
          <w:tcPr>
            <w:tcW w:w="9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3,060</w:t>
            </w:r>
          </w:p>
        </w:tc>
        <w:tc>
          <w:tcPr>
            <w:tcW w:w="380" w:type="dxa"/>
            <w:vAlign w:val="bottom"/>
            <w:tcBorders>
              <w:bottom w:val="single" w:sz="8" w:color="D7282F"/>
            </w:tcBorders>
          </w:tcPr>
          <w:p>
            <w:pPr>
              <w:spacing w:after="0"/>
              <w:rPr>
                <w:sz w:val="17"/>
                <w:szCs w:val="17"/>
                <w:color w:val="auto"/>
              </w:rPr>
            </w:pPr>
          </w:p>
        </w:tc>
        <w:tc>
          <w:tcPr>
            <w:tcW w:w="9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2,897</w:t>
            </w:r>
          </w:p>
        </w:tc>
      </w:tr>
      <w:tr>
        <w:trPr>
          <w:trHeight w:val="199"/>
        </w:trPr>
        <w:tc>
          <w:tcPr>
            <w:tcW w:w="654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Confirmed obligations outstanding at the end of the year</w:t>
            </w:r>
          </w:p>
        </w:tc>
        <w:tc>
          <w:tcPr>
            <w:tcW w:w="24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1,150</w:t>
            </w:r>
          </w:p>
        </w:tc>
        <w:tc>
          <w:tcPr>
            <w:tcW w:w="3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1,112</w:t>
            </w:r>
          </w:p>
        </w:tc>
      </w:tr>
    </w:tbl>
    <w:p>
      <w:pPr>
        <w:spacing w:after="0" w:line="200" w:lineRule="exact"/>
        <w:rPr>
          <w:sz w:val="20"/>
          <w:szCs w:val="20"/>
          <w:color w:val="auto"/>
        </w:rPr>
      </w:pPr>
    </w:p>
    <w:p>
      <w:pPr>
        <w:spacing w:after="0" w:line="30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D7282F"/>
        </w:rPr>
        <w:t>60</w:t>
      </w:r>
      <w:r>
        <w:rPr>
          <w:sz w:val="20"/>
          <w:szCs w:val="20"/>
          <w:color w:val="auto"/>
        </w:rPr>
        <w:tab/>
      </w: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62" w:name="page63"/>
    <w:bookmarkEnd w:id="62"/>
    <w:p>
      <w:pPr>
        <w:ind w:left="20"/>
        <w:spacing w:after="0"/>
        <w:tabs>
          <w:tab w:leader="none" w:pos="784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FINANCIAL STATEMENTS AND SUPPLEMENTARY DATA</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HONEYWELL INTERNATIONAL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STATEMENTS—(Continued)</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SALES RECOGNITION</w:t>
      </w:r>
    </w:p>
    <w:p>
      <w:pPr>
        <w:spacing w:after="0" w:line="128"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Product and service sales are recognized when or as the Company transfers control of the promised products or services to its customers. Revenue is measured as the amount of consideration the Company expects to receive in exchange for transferring goods or providing services. Service sales, principally representing repair, maintenance, and engineering activities, are recognized over the contractual period or as services are rendered. Sales under long-term contracts with performance obligations satisfied over time are recognized using either an input or output method. The Company recognizes revenue over time as the Company performs on these contracts because of the continuous transfer of control to the customer. With control transferring over time, revenue is recognized based on the extent of progress towards completion of the performance obligation. The Company generally uses the cost-to-cost input method of progress for contracts because it best depicts the transfer of control to the customer that occurs as the Company incurs costs. Under the cost-to-cost input method, the extent of progress towards completion is measured based on the proportion of costs incurred to date to the total estimated costs at completion of the performance obligation. The Company reviews its cost estimates on significant contracts on a periodic basis, or when circumstances change and warrant a modification to a previous estimate. Cost estimates are largely based on negotiated or estimated purchase contract terms, historical performance trends, and other economic projections. Significant factors that influence these estimates include inflationary trends, technical and schedule risks, internal and subcontractor performance trends, business volume assumptions, asset utilization, and anticipated labor agreements. Provisions for anticipated losses on long-term contracts are recorded in full when such losses become evident, to the extent required.</w:t>
      </w:r>
    </w:p>
    <w:p>
      <w:pPr>
        <w:spacing w:after="0" w:line="7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customer funding for costs incurred for nonrecurring engineering and development activities of the Company's products under agreements with commercial customers is deferred and subsequently recognized as revenue as products are delivered to the customers. Additionally, expenses incurred, up to the customer agreed funded amount, are deferred as an asset and recognized as cost of sales when products are delivered to the customer. The deferred customer funding and costs result in recognition of deferred costs (asset) and deferred revenue (liability) within Other assets and Accrued liabilities, respectively, in the Consolidated Balance Sheet. Deferred contract fulfillment costs were $1,156 million and $1,193 million as of December 31, 2024, and 2023, respectively. The amounts recognized as Cost of products and services sold were $188 million, $148 million, and $154 million for the years ended December 31, 2024, 2023, and 2022, respectively.</w:t>
      </w:r>
    </w:p>
    <w:p>
      <w:pPr>
        <w:spacing w:after="0" w:line="82"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Revenues for the Company's mechanical service programs are recognized as performance obligations that are satisfied over time, with recognition reflecting a series of distinct services using the output method.</w:t>
      </w:r>
    </w:p>
    <w:p>
      <w:pPr>
        <w:spacing w:after="0" w:line="6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terms of a contract or the historical business practice can give rise to variable consideration due to, but not limited to, cash-based incentives, rebates, performance awards, or credits. The Company estimates variable consideration at the most likely amount the Company will receive from customers. The Company includes estimated amounts in the transaction price to the extent it is probable that a significant reversal of cumulative revenue recognized for such transaction will not occur, or when the uncertainty associated with the variable consideration is resolved. The Company's estimates of variable consideration and determination of whether to include estimated amounts in the transaction price are based largely on an assessment of the Company's anticipated performance and all information (historical, current and forecasted) that is reasonably available to the Company.</w:t>
      </w:r>
    </w:p>
    <w:p>
      <w:pPr>
        <w:spacing w:after="0" w:line="20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STOCK-BASED COMPENSATION PLANS</w:t>
      </w:r>
    </w:p>
    <w:p>
      <w:pPr>
        <w:spacing w:after="0" w:line="12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 xml:space="preserve">The principal awards issued under the Company's stock-based compensation plans, which are described in Note 15 </w:t>
      </w:r>
      <w:r>
        <w:rPr>
          <w:rFonts w:ascii="Arial" w:cs="Arial" w:eastAsia="Arial" w:hAnsi="Arial"/>
          <w:sz w:val="16"/>
          <w:szCs w:val="16"/>
          <w:u w:val="single" w:color="auto"/>
          <w:color w:val="0000FF"/>
        </w:rPr>
        <w:t>Stock-Based Compensation Plans</w:t>
      </w:r>
      <w:r>
        <w:rPr>
          <w:rFonts w:ascii="Arial" w:cs="Arial" w:eastAsia="Arial" w:hAnsi="Arial"/>
          <w:sz w:val="16"/>
          <w:szCs w:val="16"/>
          <w:color w:val="auto"/>
        </w:rPr>
        <w:t>, are non-qualified stock options and restricted stock units. The cost for such awards is measured at the grant date based on the fair value of the award. The value of the portion of the award that is ultimately expected to vest is recognized as expense over the requisite service periods (generally the vesting period of the equity award) and is included in Selling, general and administrative expenses. Forfeitures are estimated at the time of grant to recognize expense for those awards expected to vest and are based on the Company's historical forfeiture rates.</w:t>
      </w:r>
    </w:p>
    <w:p>
      <w:pPr>
        <w:spacing w:after="0" w:line="20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INCOME TAXES</w:t>
      </w:r>
    </w:p>
    <w:p>
      <w:pPr>
        <w:spacing w:after="0" w:line="12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 xml:space="preserve">Significant judgment is required in evaluating tax positions. The Company establishes reserves for income taxes when, despite the belief that tax positions are fully supportable, certain positions remain that do not meet the minimum recognition threshold. The approach for evaluating certain and uncertain tax positions is defined by the authoritative guidance which determines when a tax position is more likely than not to be sustained upon examination by the applicable taxing authority. In the normal course of business, the Company and its subsidiaries are examined by various federal, state, and foreign tax authorities. The Company regularly assesses the potential outcomes of these examinations and any future examinations for the current or prior years in determining the adequacy of the Company's provision for income taxes. The Company continually assesses the likelihood and amount of potential adjustments and adjusts the income tax provision, the current tax liability, and deferred taxes in the period in which the facts that give rise to a change in estimate become known. See Note 5 </w:t>
      </w:r>
      <w:r>
        <w:rPr>
          <w:rFonts w:ascii="Arial" w:cs="Arial" w:eastAsia="Arial" w:hAnsi="Arial"/>
          <w:sz w:val="16"/>
          <w:szCs w:val="16"/>
          <w:u w:val="single" w:color="auto"/>
          <w:color w:val="0000FF"/>
        </w:rPr>
        <w:t>Income Taxes</w:t>
      </w:r>
      <w:r>
        <w:rPr>
          <w:rFonts w:ascii="Arial" w:cs="Arial" w:eastAsia="Arial" w:hAnsi="Arial"/>
          <w:sz w:val="16"/>
          <w:szCs w:val="16"/>
          <w:color w:val="auto"/>
        </w:rPr>
        <w:t xml:space="preserve"> for additional information.</w:t>
      </w:r>
    </w:p>
    <w:p>
      <w:pPr>
        <w:spacing w:after="0" w:line="200" w:lineRule="exact"/>
        <w:rPr>
          <w:sz w:val="20"/>
          <w:szCs w:val="20"/>
          <w:color w:val="auto"/>
        </w:rPr>
      </w:pPr>
    </w:p>
    <w:p>
      <w:pPr>
        <w:spacing w:after="0" w:line="211" w:lineRule="exact"/>
        <w:rPr>
          <w:sz w:val="20"/>
          <w:szCs w:val="20"/>
          <w:color w:val="auto"/>
        </w:rPr>
      </w:pPr>
    </w:p>
    <w:p>
      <w:pPr>
        <w:ind w:left="400" w:hanging="392"/>
        <w:spacing w:after="0"/>
        <w:tabs>
          <w:tab w:leader="none" w:pos="400" w:val="left"/>
        </w:tabs>
        <w:numPr>
          <w:ilvl w:val="0"/>
          <w:numId w:val="112"/>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63" w:name="page64"/>
    <w:bookmarkEnd w:id="63"/>
    <w:p>
      <w:pPr>
        <w:ind w:left="20"/>
        <w:spacing w:after="0"/>
        <w:tabs>
          <w:tab w:leader="none" w:pos="784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FINANCIAL STATEMENTS AND SUPPLEMENTARY DATA</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EARNINGS PER SHARE</w:t>
      </w:r>
    </w:p>
    <w:p>
      <w:pPr>
        <w:spacing w:after="0" w:line="12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Basic earnings per share is based on the weighted average number of common shares outstanding. Diluted earnings per share is based on the weighted average number of common shares outstanding and all dilutive potential common shares outstanding.</w:t>
      </w:r>
    </w:p>
    <w:p>
      <w:pPr>
        <w:spacing w:after="0" w:line="18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ENVIRONMENTAL</w:t>
      </w:r>
    </w:p>
    <w:p>
      <w:pPr>
        <w:spacing w:after="0" w:line="14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The Company accrues costs related to environmental matters when it is probable that it has incurred a liability related to a contaminated site and the amount can be reasonably estimated. See Note 19 </w:t>
      </w:r>
      <w:r>
        <w:rPr>
          <w:rFonts w:ascii="Arial" w:cs="Arial" w:eastAsia="Arial" w:hAnsi="Arial"/>
          <w:sz w:val="16"/>
          <w:szCs w:val="16"/>
          <w:u w:val="single" w:color="auto"/>
          <w:color w:val="0000FF"/>
        </w:rPr>
        <w:t>Commitments and Contingencies</w:t>
      </w:r>
      <w:r>
        <w:rPr>
          <w:rFonts w:ascii="Arial" w:cs="Arial" w:eastAsia="Arial" w:hAnsi="Arial"/>
          <w:sz w:val="16"/>
          <w:szCs w:val="16"/>
          <w:color w:val="auto"/>
        </w:rPr>
        <w:t xml:space="preserve"> for additional information.</w:t>
      </w:r>
    </w:p>
    <w:p>
      <w:pPr>
        <w:spacing w:after="0" w:line="18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REIMBURSEMENT RECEIVABLES</w:t>
      </w:r>
    </w:p>
    <w:p>
      <w:pPr>
        <w:spacing w:after="0" w:line="14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conjunction with the Resideo Technologies, Inc. (Resideo) spin-off, the Company entered into a reimbursement agreement under which Honeywell receives cash payments as reimbursement primarily related to net spending for environmental matters at certain sites as defined in the reimbursement agreement. Accordingly, the Company recorded receivables based on estimates of the underlying reimbursable Honeywell environmental spend, and the Company monitors the recoverability of such receivables, which are subject to the terms of applicable credit agreements and general ability to pay.</w:t>
      </w:r>
    </w:p>
    <w:p>
      <w:pPr>
        <w:spacing w:after="0" w:line="20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ASBESTOS-RELATED LIABILITIES AND INSURANCE RECOVERIES</w:t>
      </w:r>
    </w:p>
    <w:p>
      <w:pPr>
        <w:spacing w:after="0" w:line="12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 xml:space="preserve">The Company recognizes a liability for any asbestos-related contingency that is probable of occurrence and reasonably estimable. In connection with the recognition of liabilities for asbestos-related matters, the Company records asbestos-related insurance recoveries that are deemed probable. See Note 19 </w:t>
      </w:r>
      <w:r>
        <w:rPr>
          <w:rFonts w:ascii="Arial" w:cs="Arial" w:eastAsia="Arial" w:hAnsi="Arial"/>
          <w:sz w:val="16"/>
          <w:szCs w:val="16"/>
          <w:u w:val="single" w:color="auto"/>
          <w:color w:val="0000FF"/>
        </w:rPr>
        <w:t>Commitments and Contingencies</w:t>
      </w:r>
      <w:r>
        <w:rPr>
          <w:rFonts w:ascii="Arial" w:cs="Arial" w:eastAsia="Arial" w:hAnsi="Arial"/>
          <w:sz w:val="16"/>
          <w:szCs w:val="16"/>
          <w:color w:val="0000FF"/>
        </w:rPr>
        <w:t xml:space="preserve"> </w:t>
      </w:r>
      <w:r>
        <w:rPr>
          <w:rFonts w:ascii="Arial" w:cs="Arial" w:eastAsia="Arial" w:hAnsi="Arial"/>
          <w:sz w:val="16"/>
          <w:szCs w:val="16"/>
          <w:color w:val="000000"/>
        </w:rPr>
        <w:t>for additional information.</w:t>
      </w:r>
    </w:p>
    <w:p>
      <w:pPr>
        <w:spacing w:after="0" w:line="227" w:lineRule="exact"/>
        <w:rPr>
          <w:sz w:val="20"/>
          <w:szCs w:val="20"/>
          <w:color w:val="auto"/>
        </w:rPr>
      </w:pPr>
    </w:p>
    <w:p>
      <w:pPr>
        <w:ind w:right="520"/>
        <w:spacing w:after="0" w:line="276" w:lineRule="auto"/>
        <w:rPr>
          <w:sz w:val="20"/>
          <w:szCs w:val="20"/>
          <w:color w:val="auto"/>
        </w:rPr>
      </w:pPr>
      <w:r>
        <w:rPr>
          <w:rFonts w:ascii="Arial" w:cs="Arial" w:eastAsia="Arial" w:hAnsi="Arial"/>
          <w:sz w:val="29"/>
          <w:szCs w:val="29"/>
          <w:color w:val="D7282F"/>
        </w:rPr>
        <w:t>NOTE 2. ACQUISITIONS, DIVESTITURES, AND ASSETS AND LIABILITIES HELD FOR SALE</w:t>
      </w:r>
    </w:p>
    <w:p>
      <w:pPr>
        <w:spacing w:after="0" w:line="18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ACQUISITIONS</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Air Products' Liquefied Natural Gas Process Technology and Equipment Business</w:t>
      </w:r>
    </w:p>
    <w:p>
      <w:pPr>
        <w:spacing w:after="0" w:line="2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On September 30, 2024, the Company acquired 100% of the outstanding equity interests of Air Products' liquefied natural gas process technology and equipment business (LNG), strengthening the Company's energy transition portfolio, for total consideration of $1,837 million, net of cash acquired. The business is included within the Energy and Sustainability Solutions reportable business segment. The following table summarizes the preliminary determination of the fair value of identifiable assets acquired and liabilities assumed that are included in the Consolidated Balance Sheet as of December 31, 2024:</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980" w:type="dxa"/>
            <w:vAlign w:val="bottom"/>
            <w:tcBorders>
              <w:top w:val="single" w:sz="8" w:color="D7282F"/>
              <w:bottom w:val="single" w:sz="8" w:color="61656A"/>
            </w:tcBorders>
          </w:tcPr>
          <w:p>
            <w:pPr>
              <w:ind w:left="20"/>
              <w:spacing w:after="0"/>
              <w:rPr>
                <w:sz w:val="20"/>
                <w:szCs w:val="20"/>
                <w:color w:val="auto"/>
              </w:rPr>
            </w:pPr>
            <w:r>
              <w:rPr>
                <w:rFonts w:ascii="Arial" w:cs="Arial" w:eastAsia="Arial" w:hAnsi="Arial"/>
                <w:sz w:val="14"/>
                <w:szCs w:val="14"/>
                <w:color w:val="auto"/>
              </w:rPr>
              <w:t>Current assets</w:t>
            </w:r>
          </w:p>
        </w:tc>
        <w:tc>
          <w:tcPr>
            <w:tcW w:w="4660" w:type="dxa"/>
            <w:vAlign w:val="bottom"/>
            <w:tcBorders>
              <w:top w:val="single" w:sz="8" w:color="D7282F"/>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D7282F"/>
              <w:bottom w:val="single" w:sz="8" w:color="61656A"/>
            </w:tcBorders>
          </w:tcPr>
          <w:p>
            <w:pPr>
              <w:jc w:val="right"/>
              <w:spacing w:after="0"/>
              <w:rPr>
                <w:sz w:val="20"/>
                <w:szCs w:val="20"/>
                <w:color w:val="auto"/>
              </w:rPr>
            </w:pPr>
            <w:r>
              <w:rPr>
                <w:rFonts w:ascii="Arial" w:cs="Arial" w:eastAsia="Arial" w:hAnsi="Arial"/>
                <w:sz w:val="14"/>
                <w:szCs w:val="14"/>
                <w:color w:val="auto"/>
              </w:rPr>
              <w:t>79</w:t>
            </w:r>
          </w:p>
        </w:tc>
      </w:tr>
      <w:tr>
        <w:trPr>
          <w:trHeight w:val="196"/>
        </w:trPr>
        <w:tc>
          <w:tcPr>
            <w:tcW w:w="59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Intangible assets</w:t>
            </w:r>
          </w:p>
        </w:tc>
        <w:tc>
          <w:tcPr>
            <w:tcW w:w="466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931</w:t>
            </w:r>
          </w:p>
        </w:tc>
      </w:tr>
      <w:tr>
        <w:trPr>
          <w:trHeight w:val="196"/>
        </w:trPr>
        <w:tc>
          <w:tcPr>
            <w:tcW w:w="59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Other noncurrent assets</w:t>
            </w:r>
          </w:p>
        </w:tc>
        <w:tc>
          <w:tcPr>
            <w:tcW w:w="466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53</w:t>
            </w:r>
          </w:p>
        </w:tc>
      </w:tr>
      <w:tr>
        <w:trPr>
          <w:trHeight w:val="196"/>
        </w:trPr>
        <w:tc>
          <w:tcPr>
            <w:tcW w:w="59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Current liabilities</w:t>
            </w:r>
          </w:p>
        </w:tc>
        <w:tc>
          <w:tcPr>
            <w:tcW w:w="466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(100)</w:t>
            </w:r>
          </w:p>
        </w:tc>
      </w:tr>
      <w:tr>
        <w:trPr>
          <w:trHeight w:val="196"/>
        </w:trPr>
        <w:tc>
          <w:tcPr>
            <w:tcW w:w="59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Noncurrent liabilities</w:t>
            </w:r>
          </w:p>
        </w:tc>
        <w:tc>
          <w:tcPr>
            <w:tcW w:w="466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w:t>
            </w:r>
          </w:p>
        </w:tc>
      </w:tr>
      <w:tr>
        <w:trPr>
          <w:trHeight w:val="199"/>
        </w:trPr>
        <w:tc>
          <w:tcPr>
            <w:tcW w:w="598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Net assets acquired</w:t>
            </w:r>
          </w:p>
        </w:tc>
        <w:tc>
          <w:tcPr>
            <w:tcW w:w="466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961</w:t>
            </w:r>
          </w:p>
        </w:tc>
      </w:tr>
      <w:tr>
        <w:trPr>
          <w:trHeight w:val="193"/>
        </w:trPr>
        <w:tc>
          <w:tcPr>
            <w:tcW w:w="59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Goodwill</w:t>
            </w:r>
          </w:p>
        </w:tc>
        <w:tc>
          <w:tcPr>
            <w:tcW w:w="4660" w:type="dxa"/>
            <w:vAlign w:val="bottom"/>
            <w:tcBorders>
              <w:bottom w:val="single" w:sz="8" w:color="D7282F"/>
            </w:tcBorders>
          </w:tcPr>
          <w:p>
            <w:pPr>
              <w:spacing w:after="0"/>
              <w:rPr>
                <w:sz w:val="16"/>
                <w:szCs w:val="16"/>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876</w:t>
            </w:r>
          </w:p>
        </w:tc>
      </w:tr>
      <w:tr>
        <w:trPr>
          <w:trHeight w:val="199"/>
        </w:trPr>
        <w:tc>
          <w:tcPr>
            <w:tcW w:w="598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Purchase price</w:t>
            </w:r>
          </w:p>
        </w:tc>
        <w:tc>
          <w:tcPr>
            <w:tcW w:w="46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1,837</w:t>
            </w:r>
          </w:p>
        </w:tc>
      </w:tr>
    </w:tbl>
    <w:p>
      <w:pPr>
        <w:spacing w:after="0" w:line="188"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The LNG identifiable intangible assets primarily include customer relationships and technology which will amortize over their estimated useful lives ranging from four to 20 years using accelerated amortization methods. The goodwill is deductible for tax purposes. As of December 31, 2024, the purchase accounting is subject to final adjustment, primarily for the valuation of intangible assets, amounts allocated to goodwill, working capital adjustments, and tax balances.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00" w:hanging="392"/>
        <w:spacing w:after="0"/>
        <w:tabs>
          <w:tab w:leader="none" w:pos="400" w:val="left"/>
        </w:tabs>
        <w:numPr>
          <w:ilvl w:val="0"/>
          <w:numId w:val="113"/>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64" w:name="page65"/>
    <w:bookmarkEnd w:id="64"/>
    <w:p>
      <w:pPr>
        <w:ind w:left="20"/>
        <w:spacing w:after="0"/>
        <w:tabs>
          <w:tab w:leader="none" w:pos="784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FINANCIAL STATEMENTS AND SUPPLEMENTARY DATA</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CAES Systems Holdings LLC</w:t>
      </w:r>
    </w:p>
    <w:p>
      <w:pPr>
        <w:spacing w:after="0" w:line="21"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On August 30, 2024, the Company acquired 100% of the outstanding equity interests of CAES Systems Holdings LLC (CAES), enhancing the Company's defense and space portfolio with high-reliability radio frequency technologies, for total consideration of $1,930 million, net of cash acquired. The business is included within the Aerospace Technologies reportable business segment. The following table summarizes the preliminary determination of the fair value of identifiable assets acquired and liabilities assumed that are included in the Consolidated Balance Sheet as of December 31, 2024:</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980" w:type="dxa"/>
            <w:vAlign w:val="bottom"/>
            <w:tcBorders>
              <w:top w:val="single" w:sz="8" w:color="D7282F"/>
              <w:bottom w:val="single" w:sz="8" w:color="61656A"/>
            </w:tcBorders>
          </w:tcPr>
          <w:p>
            <w:pPr>
              <w:ind w:left="20"/>
              <w:spacing w:after="0"/>
              <w:rPr>
                <w:sz w:val="20"/>
                <w:szCs w:val="20"/>
                <w:color w:val="auto"/>
              </w:rPr>
            </w:pPr>
            <w:r>
              <w:rPr>
                <w:rFonts w:ascii="Arial" w:cs="Arial" w:eastAsia="Arial" w:hAnsi="Arial"/>
                <w:sz w:val="14"/>
                <w:szCs w:val="14"/>
                <w:color w:val="auto"/>
              </w:rPr>
              <w:t>Current assets</w:t>
            </w:r>
          </w:p>
        </w:tc>
        <w:tc>
          <w:tcPr>
            <w:tcW w:w="4660" w:type="dxa"/>
            <w:vAlign w:val="bottom"/>
            <w:tcBorders>
              <w:top w:val="single" w:sz="8" w:color="D7282F"/>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D7282F"/>
              <w:bottom w:val="single" w:sz="8" w:color="61656A"/>
            </w:tcBorders>
          </w:tcPr>
          <w:p>
            <w:pPr>
              <w:jc w:val="right"/>
              <w:spacing w:after="0"/>
              <w:rPr>
                <w:sz w:val="20"/>
                <w:szCs w:val="20"/>
                <w:color w:val="auto"/>
              </w:rPr>
            </w:pPr>
            <w:r>
              <w:rPr>
                <w:rFonts w:ascii="Arial" w:cs="Arial" w:eastAsia="Arial" w:hAnsi="Arial"/>
                <w:sz w:val="14"/>
                <w:szCs w:val="14"/>
                <w:color w:val="auto"/>
              </w:rPr>
              <w:t>324</w:t>
            </w:r>
          </w:p>
        </w:tc>
      </w:tr>
      <w:tr>
        <w:trPr>
          <w:trHeight w:val="196"/>
        </w:trPr>
        <w:tc>
          <w:tcPr>
            <w:tcW w:w="59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Intangible assets</w:t>
            </w:r>
          </w:p>
        </w:tc>
        <w:tc>
          <w:tcPr>
            <w:tcW w:w="466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1,205</w:t>
            </w:r>
          </w:p>
        </w:tc>
      </w:tr>
      <w:tr>
        <w:trPr>
          <w:trHeight w:val="196"/>
        </w:trPr>
        <w:tc>
          <w:tcPr>
            <w:tcW w:w="59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Other noncurrent assets</w:t>
            </w:r>
          </w:p>
        </w:tc>
        <w:tc>
          <w:tcPr>
            <w:tcW w:w="466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182</w:t>
            </w:r>
          </w:p>
        </w:tc>
      </w:tr>
      <w:tr>
        <w:trPr>
          <w:trHeight w:val="196"/>
        </w:trPr>
        <w:tc>
          <w:tcPr>
            <w:tcW w:w="59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Current liabilities</w:t>
            </w:r>
          </w:p>
        </w:tc>
        <w:tc>
          <w:tcPr>
            <w:tcW w:w="466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(124)</w:t>
            </w:r>
          </w:p>
        </w:tc>
      </w:tr>
      <w:tr>
        <w:trPr>
          <w:trHeight w:val="196"/>
        </w:trPr>
        <w:tc>
          <w:tcPr>
            <w:tcW w:w="59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Noncurrent liabilities</w:t>
            </w:r>
          </w:p>
        </w:tc>
        <w:tc>
          <w:tcPr>
            <w:tcW w:w="466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(167)</w:t>
            </w:r>
          </w:p>
        </w:tc>
      </w:tr>
      <w:tr>
        <w:trPr>
          <w:trHeight w:val="199"/>
        </w:trPr>
        <w:tc>
          <w:tcPr>
            <w:tcW w:w="598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Net assets acquired</w:t>
            </w:r>
          </w:p>
        </w:tc>
        <w:tc>
          <w:tcPr>
            <w:tcW w:w="466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1,420</w:t>
            </w:r>
          </w:p>
        </w:tc>
      </w:tr>
      <w:tr>
        <w:trPr>
          <w:trHeight w:val="193"/>
        </w:trPr>
        <w:tc>
          <w:tcPr>
            <w:tcW w:w="59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Goodwill</w:t>
            </w:r>
          </w:p>
        </w:tc>
        <w:tc>
          <w:tcPr>
            <w:tcW w:w="4660" w:type="dxa"/>
            <w:vAlign w:val="bottom"/>
            <w:tcBorders>
              <w:bottom w:val="single" w:sz="8" w:color="D7282F"/>
            </w:tcBorders>
          </w:tcPr>
          <w:p>
            <w:pPr>
              <w:spacing w:after="0"/>
              <w:rPr>
                <w:sz w:val="16"/>
                <w:szCs w:val="16"/>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553</w:t>
            </w:r>
          </w:p>
        </w:tc>
      </w:tr>
      <w:tr>
        <w:trPr>
          <w:trHeight w:val="199"/>
        </w:trPr>
        <w:tc>
          <w:tcPr>
            <w:tcW w:w="598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Purchase price</w:t>
            </w:r>
          </w:p>
        </w:tc>
        <w:tc>
          <w:tcPr>
            <w:tcW w:w="46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1,973</w:t>
            </w:r>
          </w:p>
        </w:tc>
      </w:tr>
    </w:tbl>
    <w:p>
      <w:pPr>
        <w:spacing w:after="0" w:line="18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CAES identifiable intangible assets primarily include customer relationships and trademarks which will amortize over their estimated useful lives ranging from two to 15 years using straight line and accelerated amortization methods. The goodwill is not deductible for tax purposes. As of December 31, 2024, the purchase accounting for CAES is subject to final adjustment, primarily for the valuation of intangible assets, amounts allocated to goodwill, working capital adjustments, and tax balances.</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Civitanavi Systems S.p.A.</w:t>
      </w:r>
    </w:p>
    <w:p>
      <w:pPr>
        <w:spacing w:after="0" w:line="35"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On August 19, 2024, the Company completed the acquisition of Civitanavi Systems S.p.A., a leader in position navigation and timing technology for the aerospace, defense, and industrial markets, for total consideration of $200 million, net of cash acquired. The business is included within the Aerospace Technologies reportable business segment. The assets and liabilities acquired with Civitanavi Systems S.p.A. are included in the Consolidated Balance Sheet as of December 31, 2024, including $75 million of intangible assets and $107 million of goodwill, which is not deductible for tax purposes. As of December 31, 2024, the purchase accounting is subject to final adjustment, primarily for the valuation of intangible assets, amounts allocated to goodwill, and tax balances.</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Carrier Global Corporation's Global Access Solutions Business</w:t>
      </w:r>
    </w:p>
    <w:p>
      <w:pPr>
        <w:spacing w:after="0" w:line="2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On June 3, 2024, the Company acquired 100% of the outstanding equity interests of Carrier Global Corporation's Global Access Solutions business (Access Solutions), an innovative global leader in advanced access and security solutions, electronic locking systems, and contactless mobile key solutions, for total consideration of $4,913 million, net of cash acquired. The business is included in the Building Automation reportable business segment. The following table summarizes the preliminary determination of the fair value of identifiable assets acquired and liabilities assumed that are included in the Consolidated Balance Sheet as of December 31, 2024:</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980" w:type="dxa"/>
            <w:vAlign w:val="bottom"/>
            <w:tcBorders>
              <w:top w:val="single" w:sz="8" w:color="D7282F"/>
              <w:bottom w:val="single" w:sz="8" w:color="61656A"/>
            </w:tcBorders>
          </w:tcPr>
          <w:p>
            <w:pPr>
              <w:ind w:left="20"/>
              <w:spacing w:after="0"/>
              <w:rPr>
                <w:sz w:val="20"/>
                <w:szCs w:val="20"/>
                <w:color w:val="auto"/>
              </w:rPr>
            </w:pPr>
            <w:r>
              <w:rPr>
                <w:rFonts w:ascii="Arial" w:cs="Arial" w:eastAsia="Arial" w:hAnsi="Arial"/>
                <w:sz w:val="14"/>
                <w:szCs w:val="14"/>
                <w:color w:val="auto"/>
              </w:rPr>
              <w:t>Current assets</w:t>
            </w:r>
          </w:p>
        </w:tc>
        <w:tc>
          <w:tcPr>
            <w:tcW w:w="4660" w:type="dxa"/>
            <w:vAlign w:val="bottom"/>
            <w:tcBorders>
              <w:top w:val="single" w:sz="8" w:color="D7282F"/>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D7282F"/>
              <w:bottom w:val="single" w:sz="8" w:color="61656A"/>
            </w:tcBorders>
          </w:tcPr>
          <w:p>
            <w:pPr>
              <w:jc w:val="right"/>
              <w:spacing w:after="0"/>
              <w:rPr>
                <w:sz w:val="20"/>
                <w:szCs w:val="20"/>
                <w:color w:val="auto"/>
              </w:rPr>
            </w:pPr>
            <w:r>
              <w:rPr>
                <w:rFonts w:ascii="Arial" w:cs="Arial" w:eastAsia="Arial" w:hAnsi="Arial"/>
                <w:sz w:val="14"/>
                <w:szCs w:val="14"/>
                <w:color w:val="auto"/>
              </w:rPr>
              <w:t>247</w:t>
            </w:r>
          </w:p>
        </w:tc>
      </w:tr>
      <w:tr>
        <w:trPr>
          <w:trHeight w:val="196"/>
        </w:trPr>
        <w:tc>
          <w:tcPr>
            <w:tcW w:w="59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Intangible assets</w:t>
            </w:r>
          </w:p>
        </w:tc>
        <w:tc>
          <w:tcPr>
            <w:tcW w:w="466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2,050</w:t>
            </w:r>
          </w:p>
        </w:tc>
      </w:tr>
      <w:tr>
        <w:trPr>
          <w:trHeight w:val="196"/>
        </w:trPr>
        <w:tc>
          <w:tcPr>
            <w:tcW w:w="59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Other noncurrent assets</w:t>
            </w:r>
          </w:p>
        </w:tc>
        <w:tc>
          <w:tcPr>
            <w:tcW w:w="466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20</w:t>
            </w:r>
          </w:p>
        </w:tc>
      </w:tr>
      <w:tr>
        <w:trPr>
          <w:trHeight w:val="196"/>
        </w:trPr>
        <w:tc>
          <w:tcPr>
            <w:tcW w:w="59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Current liabilities</w:t>
            </w:r>
          </w:p>
        </w:tc>
        <w:tc>
          <w:tcPr>
            <w:tcW w:w="466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(140)</w:t>
            </w:r>
          </w:p>
        </w:tc>
      </w:tr>
      <w:tr>
        <w:trPr>
          <w:trHeight w:val="196"/>
        </w:trPr>
        <w:tc>
          <w:tcPr>
            <w:tcW w:w="59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Noncurrent liabilities</w:t>
            </w:r>
          </w:p>
        </w:tc>
        <w:tc>
          <w:tcPr>
            <w:tcW w:w="466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(6)</w:t>
            </w:r>
          </w:p>
        </w:tc>
      </w:tr>
      <w:tr>
        <w:trPr>
          <w:trHeight w:val="199"/>
        </w:trPr>
        <w:tc>
          <w:tcPr>
            <w:tcW w:w="598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Net assets acquired</w:t>
            </w:r>
          </w:p>
        </w:tc>
        <w:tc>
          <w:tcPr>
            <w:tcW w:w="466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2,171</w:t>
            </w:r>
          </w:p>
        </w:tc>
      </w:tr>
      <w:tr>
        <w:trPr>
          <w:trHeight w:val="193"/>
        </w:trPr>
        <w:tc>
          <w:tcPr>
            <w:tcW w:w="59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Goodwill</w:t>
            </w:r>
          </w:p>
        </w:tc>
        <w:tc>
          <w:tcPr>
            <w:tcW w:w="4660" w:type="dxa"/>
            <w:vAlign w:val="bottom"/>
            <w:tcBorders>
              <w:bottom w:val="single" w:sz="8" w:color="D7282F"/>
            </w:tcBorders>
          </w:tcPr>
          <w:p>
            <w:pPr>
              <w:spacing w:after="0"/>
              <w:rPr>
                <w:sz w:val="16"/>
                <w:szCs w:val="16"/>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2,827</w:t>
            </w:r>
          </w:p>
        </w:tc>
      </w:tr>
      <w:tr>
        <w:trPr>
          <w:trHeight w:val="199"/>
        </w:trPr>
        <w:tc>
          <w:tcPr>
            <w:tcW w:w="598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Purchase price</w:t>
            </w:r>
          </w:p>
        </w:tc>
        <w:tc>
          <w:tcPr>
            <w:tcW w:w="46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4,998</w:t>
            </w:r>
          </w:p>
        </w:tc>
      </w:tr>
    </w:tbl>
    <w:p>
      <w:pPr>
        <w:spacing w:after="0" w:line="18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Access Solutions identifiable intangible assets primarily include customer relationships, technology, and trademarks which will amortize over their estimated useful lives ranging from 10 to 20 years using straight line and accelerated amortization methods. The majority of the goodwill is deductible for tax purposes. As of December 31, 2024, the purchase accounting for Access Solutions is subject to final adjustment, primarily for the valuation of intangible assets, amounts allocated to goodwill, and tax balances.</w:t>
      </w:r>
    </w:p>
    <w:p>
      <w:pPr>
        <w:spacing w:after="0" w:line="200" w:lineRule="exact"/>
        <w:rPr>
          <w:sz w:val="20"/>
          <w:szCs w:val="20"/>
          <w:color w:val="auto"/>
        </w:rPr>
      </w:pPr>
    </w:p>
    <w:p>
      <w:pPr>
        <w:spacing w:after="0" w:line="204" w:lineRule="exact"/>
        <w:rPr>
          <w:sz w:val="20"/>
          <w:szCs w:val="20"/>
          <w:color w:val="auto"/>
        </w:rPr>
      </w:pPr>
    </w:p>
    <w:p>
      <w:pPr>
        <w:ind w:left="400" w:hanging="392"/>
        <w:spacing w:after="0"/>
        <w:tabs>
          <w:tab w:leader="none" w:pos="400" w:val="left"/>
        </w:tabs>
        <w:numPr>
          <w:ilvl w:val="0"/>
          <w:numId w:val="114"/>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65" w:name="page66"/>
    <w:bookmarkEnd w:id="65"/>
    <w:p>
      <w:pPr>
        <w:ind w:left="20"/>
        <w:spacing w:after="0"/>
        <w:tabs>
          <w:tab w:leader="none" w:pos="784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FINANCIAL STATEMENTS AND SUPPLEMENTARY DATA</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SCADAfence</w:t>
      </w:r>
    </w:p>
    <w:p>
      <w:pPr>
        <w:spacing w:after="0" w:line="2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On August 25, 2023, the Company acquired 100% of the outstanding equity interests of SCADAfence, a provider of operational technology and Internet of Things cybersecurity solutions for monitoring large scale networks, for total consideration of $52 million, net of cash acquired. The business is included in the Industrial Automation reportable business segment. The Company finalized the evaluation for the fair value of all the assets and liabilities acquired with SCADAfence during the third quarter of 2024. Management recorded intangible assets of $17 million and allocated $42 million to goodwill, which is not deductible for tax purposes.</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Compressor Controls Corporation</w:t>
      </w:r>
    </w:p>
    <w:p>
      <w:pPr>
        <w:spacing w:after="0" w:line="35"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On June 30, 2023, the Company acquired 100% of the outstanding equity interests of Compressor Controls Corporation, a turbomachinery services and controls company based in the United States, for total cash consideration of $673 million, net of cash acquired. The business is included in the Industrial Automation reportable business segment. The Company finalized the evaluation for the fair value of all the assets and liabilities acquired with Compressor Controls Corporation during the second quarter of 2024. Management recorded intangible assets of $282 million and allocated $351 million to goodwill, which is deductible for tax purposes.</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 Digital Designs, Inc.</w:t>
      </w:r>
    </w:p>
    <w:p>
      <w:pPr>
        <w:spacing w:after="0" w:line="21"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On January 18, 2022, the Company acquired 100% of the issued and outstanding shares of US Digital Designs, Inc., a leading provider of technologies for first responders, for total consideration of $186 million. The business is included within the Building Automation reportable business segment. The Company finalized the evaluation for the fair value of all the assets and liabilities acquired with US Digital Designs, Inc. during the first quarter of 2023. Management recorded intangible assets of $53 million and allocated $129 million to goodwill, which is deductible for tax purposes.</w:t>
      </w:r>
    </w:p>
    <w:p>
      <w:pPr>
        <w:spacing w:after="0" w:line="20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DIVESTITURES</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color w:val="auto"/>
        </w:rPr>
        <w:t>During 2024 and 2023, there were no significant divestitures individually or in the aggregate.</w:t>
      </w:r>
    </w:p>
    <w:p>
      <w:pPr>
        <w:spacing w:after="0" w:line="11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On February 6, 2025, the Company announced its intention to pursue a separation of its Automation and Aerospace Technologies businesses into independent, U.S. publicly traded companies, which is targeted to be completed in the second half of 2026. The planned separation is intended to be a tax-free separation to Honeywell shareowners for U.S. federal income tax purposes. The separation will be subject to the satisfaction of a number of customary conditions, including, among others, finalization of the financial statements of the Automation and Aerospace Technologies businesses, the filing and effectiveness of applicable filings (including a Form 10 registration statement) with the SEC, assurance that the separation of the businesses will be tax-free to Honeywell’s shareowners, receipt of applicable regulatory approvals, and final approval by Honeywell’s Board of Directors. The proposed separation is complex in nature, and may be affected by unanticipated developments, credit and equity markets, or changes in market conditions.</w:t>
      </w:r>
    </w:p>
    <w:p>
      <w:pPr>
        <w:spacing w:after="0" w:line="82"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On October 8, 2024, the Company announced its intention to spin off its Advanced Materials business into an independent, U.S. publicly traded company, which is targeted to be completed by the end of 2025 or early 2026. The planned spin-off is intended to be a tax-free spin to Honeywell shareowners for U.S. federal income tax purposes. The spin-off will be subject to the satisfaction of a number of customary conditions, including, among others, finalization of the financial statements of the Advanced Materials business, the filing and effectiveness of applicable filings (including a Form 10 registration statement) with the SEC, assurance that the spin-off of the Advanced Materials business will be tax-free to Honeywell’s shareowners, receipt of applicable regulatory approvals, and final approval by Honeywell’s Board of Directors. The proposed spin-off is complex in nature, and may be affected by unanticipated developments, credit and equity markets, or changes in market conditions.</w:t>
      </w:r>
    </w:p>
    <w:p>
      <w:pPr>
        <w:spacing w:after="0" w:line="8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 conjunction with the wind down of the Company's businesses and operations in Russia, during 2022 the Company completed the sale of three entities domiciled in Russia in exchange for gross cash consideration of less than $1 million. The Company recognized a pre-tax gain of $22 million, which was recorded in Other (income) expense in the Consolidated Statement of Operations, driven by favorable foreign currency cumulative translation adjustment positions in the entities at the time of sale. The financial results of the entities were previously included in the historical Performance Materials and Technologies, Honeywell Building Technologies, and Safety and Productivity Solutions reportable business segments.</w:t>
      </w:r>
    </w:p>
    <w:p>
      <w:pPr>
        <w:spacing w:after="0" w:line="200" w:lineRule="exact"/>
        <w:rPr>
          <w:sz w:val="20"/>
          <w:szCs w:val="20"/>
          <w:color w:val="auto"/>
        </w:rPr>
      </w:pPr>
    </w:p>
    <w:p>
      <w:pPr>
        <w:spacing w:after="0" w:line="223" w:lineRule="exact"/>
        <w:rPr>
          <w:sz w:val="20"/>
          <w:szCs w:val="20"/>
          <w:color w:val="auto"/>
        </w:rPr>
      </w:pPr>
    </w:p>
    <w:p>
      <w:pPr>
        <w:ind w:left="400" w:hanging="392"/>
        <w:spacing w:after="0"/>
        <w:tabs>
          <w:tab w:leader="none" w:pos="400" w:val="left"/>
        </w:tabs>
        <w:numPr>
          <w:ilvl w:val="0"/>
          <w:numId w:val="115"/>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66" w:name="page67"/>
    <w:bookmarkEnd w:id="66"/>
    <w:p>
      <w:pPr>
        <w:ind w:left="20"/>
        <w:spacing w:after="0"/>
        <w:tabs>
          <w:tab w:leader="none" w:pos="784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FINANCIAL STATEMENTS AND SUPPLEMENTARY DATA</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ASSETS AND LIABILITIES HELD FOR SALE</w:t>
      </w:r>
    </w:p>
    <w:p>
      <w:pPr>
        <w:spacing w:after="0" w:line="128"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 xml:space="preserve">During the third quarter of 2024, the Company concluded the assets and liabilities of the personal protective equipment (PPE) business, which is part of the Sensing and Safety Technologies business unit within the Industrial Automation reportable business segment, met the held for sale criteria; therefore, the Company presented the associated assets and liabilities of the business as held for sale as of September 30, 2024. On November 22, 2024, the Company announced it reached an agreement to sell its PPE business for $1,325 million in an all-cash transaction. The transaction is expected to be completed in the first half of 2025 and is subject to customary closing conditions. The disposal group, consisting of the associated assets and liabilities, is measured at the lower of carrying value or fair value less costs to sell. Depreciation and amortization expense is not recorded for the period in which assets are classified as held for sale. The carrying amount of any assets, including goodwill, that are part of the disposal group, but not in the scope of Accounting Standards Codification (ASC) 360-10, </w:t>
      </w:r>
      <w:r>
        <w:rPr>
          <w:rFonts w:ascii="Arial" w:cs="Arial" w:eastAsia="Arial" w:hAnsi="Arial"/>
          <w:sz w:val="16"/>
          <w:szCs w:val="16"/>
          <w:i w:val="1"/>
          <w:iCs w:val="1"/>
          <w:color w:val="auto"/>
        </w:rPr>
        <w:t>Property, Plant, and Equipment,</w:t>
      </w:r>
      <w:r>
        <w:rPr>
          <w:rFonts w:ascii="Arial" w:cs="Arial" w:eastAsia="Arial" w:hAnsi="Arial"/>
          <w:sz w:val="16"/>
          <w:szCs w:val="16"/>
          <w:color w:val="auto"/>
        </w:rPr>
        <w:t xml:space="preserve"> are tested for impairment under the relevant guidance prior to measuring the disposal group at fair value, less costs to sell.</w:t>
      </w:r>
    </w:p>
    <w:p>
      <w:pPr>
        <w:spacing w:after="0" w:line="8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Company performed an evaluation as of December 31, 2024, to assess the recoverability of the carrying value of the assets held for sale. The Company recognized a valuation allowance of $219 million during the twelve months ended December 31, 2024, to write down the disposal group to fair value, less costs to sell. The carrying value is based on the use of estimates and is subject to change based on future developments leading up to the closing date of a sale, and actual amounts realized upon sale may vary from those recorded as of December 31, 2024.</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assets and liabilities classified as held for sale in the Consolidated Balance Sheet: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200" w:type="dxa"/>
            <w:vAlign w:val="bottom"/>
            <w:tcBorders>
              <w:bottom w:val="single" w:sz="8" w:color="D7282F"/>
            </w:tcBorders>
          </w:tcPr>
          <w:p>
            <w:pPr>
              <w:spacing w:after="0"/>
              <w:rPr>
                <w:sz w:val="17"/>
                <w:szCs w:val="17"/>
                <w:color w:val="auto"/>
              </w:rPr>
            </w:pPr>
          </w:p>
        </w:tc>
        <w:tc>
          <w:tcPr>
            <w:tcW w:w="3460" w:type="dxa"/>
            <w:vAlign w:val="bottom"/>
            <w:tcBorders>
              <w:bottom w:val="single" w:sz="8" w:color="D7282F"/>
            </w:tcBorders>
          </w:tcPr>
          <w:p>
            <w:pPr>
              <w:spacing w:after="0"/>
              <w:rPr>
                <w:sz w:val="17"/>
                <w:szCs w:val="17"/>
                <w:color w:val="auto"/>
              </w:rPr>
            </w:pPr>
          </w:p>
        </w:tc>
        <w:tc>
          <w:tcPr>
            <w:tcW w:w="158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December 31, 2024</w:t>
            </w:r>
          </w:p>
        </w:tc>
      </w:tr>
      <w:tr>
        <w:trPr>
          <w:trHeight w:val="196"/>
        </w:trPr>
        <w:tc>
          <w:tcPr>
            <w:tcW w:w="620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Assets held for sale</w:t>
            </w:r>
          </w:p>
        </w:tc>
        <w:tc>
          <w:tcPr>
            <w:tcW w:w="3460" w:type="dxa"/>
            <w:vAlign w:val="bottom"/>
            <w:tcBorders>
              <w:bottom w:val="single" w:sz="8" w:color="61656A"/>
            </w:tcBorders>
          </w:tcPr>
          <w:p>
            <w:pPr>
              <w:spacing w:after="0"/>
              <w:rPr>
                <w:sz w:val="17"/>
                <w:szCs w:val="17"/>
                <w:color w:val="auto"/>
              </w:rPr>
            </w:pPr>
          </w:p>
        </w:tc>
        <w:tc>
          <w:tcPr>
            <w:tcW w:w="1580" w:type="dxa"/>
            <w:vAlign w:val="bottom"/>
            <w:tcBorders>
              <w:bottom w:val="single" w:sz="8" w:color="61656A"/>
            </w:tcBorders>
          </w:tcPr>
          <w:p>
            <w:pPr>
              <w:spacing w:after="0"/>
              <w:rPr>
                <w:sz w:val="17"/>
                <w:szCs w:val="17"/>
                <w:color w:val="auto"/>
              </w:rPr>
            </w:pPr>
          </w:p>
        </w:tc>
      </w:tr>
      <w:tr>
        <w:trPr>
          <w:trHeight w:val="193"/>
        </w:trPr>
        <w:tc>
          <w:tcPr>
            <w:tcW w:w="62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Accounts receivable</w:t>
            </w:r>
          </w:p>
        </w:tc>
        <w:tc>
          <w:tcPr>
            <w:tcW w:w="34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174</w:t>
            </w:r>
          </w:p>
        </w:tc>
      </w:tr>
      <w:tr>
        <w:trPr>
          <w:trHeight w:val="196"/>
        </w:trPr>
        <w:tc>
          <w:tcPr>
            <w:tcW w:w="62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Inventories</w:t>
            </w:r>
          </w:p>
        </w:tc>
        <w:tc>
          <w:tcPr>
            <w:tcW w:w="3460" w:type="dxa"/>
            <w:vAlign w:val="bottom"/>
            <w:tcBorders>
              <w:bottom w:val="single" w:sz="8" w:color="61656A"/>
            </w:tcBorders>
          </w:tcPr>
          <w:p>
            <w:pPr>
              <w:spacing w:after="0"/>
              <w:rPr>
                <w:sz w:val="17"/>
                <w:szCs w:val="17"/>
                <w:color w:val="auto"/>
              </w:rPr>
            </w:pPr>
          </w:p>
        </w:tc>
        <w:tc>
          <w:tcPr>
            <w:tcW w:w="15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197</w:t>
            </w:r>
          </w:p>
        </w:tc>
      </w:tr>
      <w:tr>
        <w:trPr>
          <w:trHeight w:val="196"/>
        </w:trPr>
        <w:tc>
          <w:tcPr>
            <w:tcW w:w="62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Other current assets</w:t>
            </w:r>
          </w:p>
        </w:tc>
        <w:tc>
          <w:tcPr>
            <w:tcW w:w="3460" w:type="dxa"/>
            <w:vAlign w:val="bottom"/>
            <w:tcBorders>
              <w:bottom w:val="single" w:sz="8" w:color="61656A"/>
            </w:tcBorders>
          </w:tcPr>
          <w:p>
            <w:pPr>
              <w:spacing w:after="0"/>
              <w:rPr>
                <w:sz w:val="17"/>
                <w:szCs w:val="17"/>
                <w:color w:val="auto"/>
              </w:rPr>
            </w:pPr>
          </w:p>
        </w:tc>
        <w:tc>
          <w:tcPr>
            <w:tcW w:w="15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29</w:t>
            </w:r>
          </w:p>
        </w:tc>
      </w:tr>
      <w:tr>
        <w:trPr>
          <w:trHeight w:val="196"/>
        </w:trPr>
        <w:tc>
          <w:tcPr>
            <w:tcW w:w="62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Investments and long-term receivables</w:t>
            </w:r>
          </w:p>
        </w:tc>
        <w:tc>
          <w:tcPr>
            <w:tcW w:w="3460" w:type="dxa"/>
            <w:vAlign w:val="bottom"/>
            <w:tcBorders>
              <w:bottom w:val="single" w:sz="8" w:color="61656A"/>
            </w:tcBorders>
          </w:tcPr>
          <w:p>
            <w:pPr>
              <w:spacing w:after="0"/>
              <w:rPr>
                <w:sz w:val="17"/>
                <w:szCs w:val="17"/>
                <w:color w:val="auto"/>
              </w:rPr>
            </w:pPr>
          </w:p>
        </w:tc>
        <w:tc>
          <w:tcPr>
            <w:tcW w:w="15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w:t>
            </w:r>
          </w:p>
        </w:tc>
      </w:tr>
      <w:tr>
        <w:trPr>
          <w:trHeight w:val="196"/>
        </w:trPr>
        <w:tc>
          <w:tcPr>
            <w:tcW w:w="62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Property, plant and equipment—net</w:t>
            </w:r>
          </w:p>
        </w:tc>
        <w:tc>
          <w:tcPr>
            <w:tcW w:w="3460" w:type="dxa"/>
            <w:vAlign w:val="bottom"/>
            <w:tcBorders>
              <w:bottom w:val="single" w:sz="8" w:color="61656A"/>
            </w:tcBorders>
          </w:tcPr>
          <w:p>
            <w:pPr>
              <w:spacing w:after="0"/>
              <w:rPr>
                <w:sz w:val="17"/>
                <w:szCs w:val="17"/>
                <w:color w:val="auto"/>
              </w:rPr>
            </w:pPr>
          </w:p>
        </w:tc>
        <w:tc>
          <w:tcPr>
            <w:tcW w:w="15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155</w:t>
            </w:r>
          </w:p>
        </w:tc>
      </w:tr>
      <w:tr>
        <w:trPr>
          <w:trHeight w:val="196"/>
        </w:trPr>
        <w:tc>
          <w:tcPr>
            <w:tcW w:w="62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Goodwill</w:t>
            </w:r>
          </w:p>
        </w:tc>
        <w:tc>
          <w:tcPr>
            <w:tcW w:w="3460" w:type="dxa"/>
            <w:vAlign w:val="bottom"/>
            <w:tcBorders>
              <w:bottom w:val="single" w:sz="8" w:color="61656A"/>
            </w:tcBorders>
          </w:tcPr>
          <w:p>
            <w:pPr>
              <w:spacing w:after="0"/>
              <w:rPr>
                <w:sz w:val="17"/>
                <w:szCs w:val="17"/>
                <w:color w:val="auto"/>
              </w:rPr>
            </w:pPr>
          </w:p>
        </w:tc>
        <w:tc>
          <w:tcPr>
            <w:tcW w:w="15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411</w:t>
            </w:r>
          </w:p>
        </w:tc>
      </w:tr>
      <w:tr>
        <w:trPr>
          <w:trHeight w:val="196"/>
        </w:trPr>
        <w:tc>
          <w:tcPr>
            <w:tcW w:w="62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Other intangible assets—net</w:t>
            </w:r>
          </w:p>
        </w:tc>
        <w:tc>
          <w:tcPr>
            <w:tcW w:w="3460" w:type="dxa"/>
            <w:vAlign w:val="bottom"/>
            <w:tcBorders>
              <w:bottom w:val="single" w:sz="8" w:color="61656A"/>
            </w:tcBorders>
          </w:tcPr>
          <w:p>
            <w:pPr>
              <w:spacing w:after="0"/>
              <w:rPr>
                <w:sz w:val="17"/>
                <w:szCs w:val="17"/>
                <w:color w:val="auto"/>
              </w:rPr>
            </w:pPr>
          </w:p>
        </w:tc>
        <w:tc>
          <w:tcPr>
            <w:tcW w:w="15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597</w:t>
            </w:r>
          </w:p>
        </w:tc>
      </w:tr>
      <w:tr>
        <w:trPr>
          <w:trHeight w:val="196"/>
        </w:trPr>
        <w:tc>
          <w:tcPr>
            <w:tcW w:w="62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Other assets</w:t>
            </w:r>
          </w:p>
        </w:tc>
        <w:tc>
          <w:tcPr>
            <w:tcW w:w="3460" w:type="dxa"/>
            <w:vAlign w:val="bottom"/>
            <w:tcBorders>
              <w:bottom w:val="single" w:sz="8" w:color="61656A"/>
            </w:tcBorders>
          </w:tcPr>
          <w:p>
            <w:pPr>
              <w:spacing w:after="0"/>
              <w:rPr>
                <w:sz w:val="17"/>
                <w:szCs w:val="17"/>
                <w:color w:val="auto"/>
              </w:rPr>
            </w:pPr>
          </w:p>
        </w:tc>
        <w:tc>
          <w:tcPr>
            <w:tcW w:w="15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17</w:t>
            </w:r>
          </w:p>
        </w:tc>
      </w:tr>
      <w:tr>
        <w:trPr>
          <w:trHeight w:val="196"/>
        </w:trPr>
        <w:tc>
          <w:tcPr>
            <w:tcW w:w="620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Valuation allowance on assets held for sale</w:t>
            </w:r>
          </w:p>
        </w:tc>
        <w:tc>
          <w:tcPr>
            <w:tcW w:w="3460" w:type="dxa"/>
            <w:vAlign w:val="bottom"/>
            <w:tcBorders>
              <w:bottom w:val="single" w:sz="8" w:color="D7282F"/>
            </w:tcBorders>
          </w:tcPr>
          <w:p>
            <w:pPr>
              <w:spacing w:after="0"/>
              <w:rPr>
                <w:sz w:val="17"/>
                <w:szCs w:val="17"/>
                <w:color w:val="auto"/>
              </w:rPr>
            </w:pPr>
          </w:p>
        </w:tc>
        <w:tc>
          <w:tcPr>
            <w:tcW w:w="15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(219)</w:t>
            </w:r>
          </w:p>
        </w:tc>
      </w:tr>
      <w:tr>
        <w:trPr>
          <w:trHeight w:val="199"/>
        </w:trPr>
        <w:tc>
          <w:tcPr>
            <w:tcW w:w="620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Assets held for sale</w:t>
            </w:r>
          </w:p>
        </w:tc>
        <w:tc>
          <w:tcPr>
            <w:tcW w:w="34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5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1,365</w:t>
            </w:r>
          </w:p>
        </w:tc>
      </w:tr>
      <w:tr>
        <w:trPr>
          <w:trHeight w:val="196"/>
        </w:trPr>
        <w:tc>
          <w:tcPr>
            <w:tcW w:w="620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Liabilities held for sale</w:t>
            </w:r>
          </w:p>
        </w:tc>
        <w:tc>
          <w:tcPr>
            <w:tcW w:w="3460" w:type="dxa"/>
            <w:vAlign w:val="bottom"/>
            <w:tcBorders>
              <w:bottom w:val="single" w:sz="8" w:color="61656A"/>
            </w:tcBorders>
          </w:tcPr>
          <w:p>
            <w:pPr>
              <w:spacing w:after="0"/>
              <w:rPr>
                <w:sz w:val="17"/>
                <w:szCs w:val="17"/>
                <w:color w:val="auto"/>
              </w:rPr>
            </w:pPr>
          </w:p>
        </w:tc>
        <w:tc>
          <w:tcPr>
            <w:tcW w:w="1580" w:type="dxa"/>
            <w:vAlign w:val="bottom"/>
            <w:tcBorders>
              <w:bottom w:val="single" w:sz="8" w:color="61656A"/>
            </w:tcBorders>
          </w:tcPr>
          <w:p>
            <w:pPr>
              <w:spacing w:after="0"/>
              <w:rPr>
                <w:sz w:val="17"/>
                <w:szCs w:val="17"/>
                <w:color w:val="auto"/>
              </w:rPr>
            </w:pPr>
          </w:p>
        </w:tc>
      </w:tr>
      <w:tr>
        <w:trPr>
          <w:trHeight w:val="193"/>
        </w:trPr>
        <w:tc>
          <w:tcPr>
            <w:tcW w:w="62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Accounts payable</w:t>
            </w:r>
          </w:p>
        </w:tc>
        <w:tc>
          <w:tcPr>
            <w:tcW w:w="34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152</w:t>
            </w:r>
          </w:p>
        </w:tc>
      </w:tr>
      <w:tr>
        <w:trPr>
          <w:trHeight w:val="196"/>
        </w:trPr>
        <w:tc>
          <w:tcPr>
            <w:tcW w:w="62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Accrued liabilities</w:t>
            </w:r>
          </w:p>
        </w:tc>
        <w:tc>
          <w:tcPr>
            <w:tcW w:w="3460" w:type="dxa"/>
            <w:vAlign w:val="bottom"/>
            <w:tcBorders>
              <w:bottom w:val="single" w:sz="8" w:color="61656A"/>
            </w:tcBorders>
          </w:tcPr>
          <w:p>
            <w:pPr>
              <w:spacing w:after="0"/>
              <w:rPr>
                <w:sz w:val="17"/>
                <w:szCs w:val="17"/>
                <w:color w:val="auto"/>
              </w:rPr>
            </w:pPr>
          </w:p>
        </w:tc>
        <w:tc>
          <w:tcPr>
            <w:tcW w:w="15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110</w:t>
            </w:r>
          </w:p>
        </w:tc>
      </w:tr>
      <w:tr>
        <w:trPr>
          <w:trHeight w:val="196"/>
        </w:trPr>
        <w:tc>
          <w:tcPr>
            <w:tcW w:w="62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Deferred income taxes</w:t>
            </w:r>
          </w:p>
        </w:tc>
        <w:tc>
          <w:tcPr>
            <w:tcW w:w="3460" w:type="dxa"/>
            <w:vAlign w:val="bottom"/>
            <w:tcBorders>
              <w:bottom w:val="single" w:sz="8" w:color="61656A"/>
            </w:tcBorders>
          </w:tcPr>
          <w:p>
            <w:pPr>
              <w:spacing w:after="0"/>
              <w:rPr>
                <w:sz w:val="17"/>
                <w:szCs w:val="17"/>
                <w:color w:val="auto"/>
              </w:rPr>
            </w:pPr>
          </w:p>
        </w:tc>
        <w:tc>
          <w:tcPr>
            <w:tcW w:w="15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124</w:t>
            </w:r>
          </w:p>
        </w:tc>
      </w:tr>
      <w:tr>
        <w:trPr>
          <w:trHeight w:val="196"/>
        </w:trPr>
        <w:tc>
          <w:tcPr>
            <w:tcW w:w="620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Other liabilities</w:t>
            </w:r>
          </w:p>
        </w:tc>
        <w:tc>
          <w:tcPr>
            <w:tcW w:w="3460" w:type="dxa"/>
            <w:vAlign w:val="bottom"/>
            <w:tcBorders>
              <w:bottom w:val="single" w:sz="8" w:color="D7282F"/>
            </w:tcBorders>
          </w:tcPr>
          <w:p>
            <w:pPr>
              <w:spacing w:after="0"/>
              <w:rPr>
                <w:sz w:val="17"/>
                <w:szCs w:val="17"/>
                <w:color w:val="auto"/>
              </w:rPr>
            </w:pPr>
          </w:p>
        </w:tc>
        <w:tc>
          <w:tcPr>
            <w:tcW w:w="15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22</w:t>
            </w:r>
          </w:p>
        </w:tc>
      </w:tr>
      <w:tr>
        <w:trPr>
          <w:trHeight w:val="199"/>
        </w:trPr>
        <w:tc>
          <w:tcPr>
            <w:tcW w:w="620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Liabilities held for sale</w:t>
            </w:r>
          </w:p>
        </w:tc>
        <w:tc>
          <w:tcPr>
            <w:tcW w:w="34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5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408</w:t>
            </w:r>
          </w:p>
        </w:tc>
      </w:tr>
    </w:tbl>
    <w:p>
      <w:pPr>
        <w:spacing w:after="0" w:line="200" w:lineRule="exact"/>
        <w:rPr>
          <w:sz w:val="20"/>
          <w:szCs w:val="20"/>
          <w:color w:val="auto"/>
        </w:rPr>
      </w:pPr>
    </w:p>
    <w:p>
      <w:pPr>
        <w:spacing w:after="0" w:line="29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D7282F"/>
        </w:rPr>
        <w:t>65</w:t>
      </w:r>
      <w:r>
        <w:rPr>
          <w:sz w:val="20"/>
          <w:szCs w:val="20"/>
          <w:color w:val="auto"/>
        </w:rPr>
        <w:tab/>
      </w: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67" w:name="page68"/>
    <w:bookmarkEnd w:id="67"/>
    <w:p>
      <w:pPr>
        <w:ind w:left="20"/>
        <w:spacing w:after="0"/>
        <w:tabs>
          <w:tab w:leader="none" w:pos="784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FINANCIAL STATEMENTS AND SUPPLEMENTARY DATA</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29"/>
          <w:szCs w:val="29"/>
          <w:color w:val="D7282F"/>
        </w:rPr>
        <w:t>NOTE 3. REVENUE RECOGNITION AND CONTRACTS WITH CUSTOMERS</w:t>
      </w:r>
    </w:p>
    <w:p>
      <w:pPr>
        <w:spacing w:after="0" w:line="252"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The Company has a comprehensive offering of products and services, including software and technologies, that are sold to a variety of customers in multiple end markets. See the following disaggregated revenue table and related discussions by reportable business segment for details: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480" w:type="dxa"/>
            <w:vAlign w:val="bottom"/>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2600" w:type="dxa"/>
            <w:vAlign w:val="bottom"/>
            <w:tcBorders>
              <w:bottom w:val="single" w:sz="8" w:color="D7282F"/>
            </w:tcBorders>
            <w:gridSpan w:val="5"/>
          </w:tcPr>
          <w:p>
            <w:pPr>
              <w:jc w:val="right"/>
              <w:ind w:right="388"/>
              <w:spacing w:after="0"/>
              <w:rPr>
                <w:sz w:val="20"/>
                <w:szCs w:val="20"/>
                <w:color w:val="auto"/>
              </w:rPr>
            </w:pPr>
            <w:r>
              <w:rPr>
                <w:rFonts w:ascii="Arial" w:cs="Arial" w:eastAsia="Arial" w:hAnsi="Arial"/>
                <w:sz w:val="14"/>
                <w:szCs w:val="14"/>
                <w:b w:val="1"/>
                <w:bCs w:val="1"/>
                <w:color w:val="auto"/>
              </w:rPr>
              <w:t>Years Ended December 31,</w:t>
            </w:r>
          </w:p>
        </w:tc>
      </w:tr>
      <w:tr>
        <w:trPr>
          <w:trHeight w:val="218"/>
        </w:trPr>
        <w:tc>
          <w:tcPr>
            <w:tcW w:w="8480" w:type="dxa"/>
            <w:vAlign w:val="bottom"/>
            <w:tcBorders>
              <w:bottom w:val="single" w:sz="8" w:color="D7282F"/>
            </w:tcBorders>
          </w:tcPr>
          <w:p>
            <w:pPr>
              <w:spacing w:after="0"/>
              <w:rPr>
                <w:sz w:val="18"/>
                <w:szCs w:val="18"/>
                <w:color w:val="auto"/>
              </w:rPr>
            </w:pPr>
          </w:p>
        </w:tc>
        <w:tc>
          <w:tcPr>
            <w:tcW w:w="160" w:type="dxa"/>
            <w:vAlign w:val="bottom"/>
            <w:tcBorders>
              <w:bottom w:val="single" w:sz="8" w:color="D7282F"/>
            </w:tcBorders>
          </w:tcPr>
          <w:p>
            <w:pPr>
              <w:spacing w:after="0"/>
              <w:rPr>
                <w:sz w:val="18"/>
                <w:szCs w:val="18"/>
                <w:color w:val="auto"/>
              </w:rPr>
            </w:pPr>
          </w:p>
        </w:tc>
        <w:tc>
          <w:tcPr>
            <w:tcW w:w="700" w:type="dxa"/>
            <w:vAlign w:val="bottom"/>
            <w:tcBorders>
              <w:bottom w:val="single" w:sz="8" w:color="D7282F"/>
            </w:tcBorders>
          </w:tcPr>
          <w:p>
            <w:pPr>
              <w:jc w:val="right"/>
              <w:ind w:right="248"/>
              <w:spacing w:after="0"/>
              <w:rPr>
                <w:sz w:val="20"/>
                <w:szCs w:val="20"/>
                <w:color w:val="auto"/>
              </w:rPr>
            </w:pPr>
            <w:r>
              <w:rPr>
                <w:rFonts w:ascii="Arial" w:cs="Arial" w:eastAsia="Arial" w:hAnsi="Arial"/>
                <w:sz w:val="14"/>
                <w:szCs w:val="14"/>
                <w:b w:val="1"/>
                <w:bCs w:val="1"/>
                <w:color w:val="auto"/>
              </w:rPr>
              <w:t>2024</w:t>
            </w:r>
          </w:p>
        </w:tc>
        <w:tc>
          <w:tcPr>
            <w:tcW w:w="300" w:type="dxa"/>
            <w:vAlign w:val="bottom"/>
            <w:tcBorders>
              <w:bottom w:val="single" w:sz="8" w:color="D7282F"/>
            </w:tcBorders>
          </w:tcPr>
          <w:p>
            <w:pPr>
              <w:spacing w:after="0"/>
              <w:rPr>
                <w:sz w:val="18"/>
                <w:szCs w:val="18"/>
                <w:color w:val="auto"/>
              </w:rPr>
            </w:pPr>
          </w:p>
        </w:tc>
        <w:tc>
          <w:tcPr>
            <w:tcW w:w="700" w:type="dxa"/>
            <w:vAlign w:val="bottom"/>
            <w:tcBorders>
              <w:bottom w:val="single" w:sz="8" w:color="D7282F"/>
            </w:tcBorders>
          </w:tcPr>
          <w:p>
            <w:pPr>
              <w:jc w:val="right"/>
              <w:ind w:right="248"/>
              <w:spacing w:after="0"/>
              <w:rPr>
                <w:sz w:val="20"/>
                <w:szCs w:val="20"/>
                <w:color w:val="auto"/>
              </w:rPr>
            </w:pPr>
            <w:r>
              <w:rPr>
                <w:rFonts w:ascii="Arial" w:cs="Arial" w:eastAsia="Arial" w:hAnsi="Arial"/>
                <w:sz w:val="14"/>
                <w:szCs w:val="14"/>
                <w:b w:val="1"/>
                <w:bCs w:val="1"/>
                <w:color w:val="auto"/>
              </w:rPr>
              <w:t>2023</w:t>
            </w:r>
          </w:p>
        </w:tc>
        <w:tc>
          <w:tcPr>
            <w:tcW w:w="300" w:type="dxa"/>
            <w:vAlign w:val="bottom"/>
            <w:tcBorders>
              <w:bottom w:val="single" w:sz="8" w:color="D7282F"/>
            </w:tcBorders>
          </w:tcPr>
          <w:p>
            <w:pPr>
              <w:spacing w:after="0"/>
              <w:rPr>
                <w:sz w:val="18"/>
                <w:szCs w:val="18"/>
                <w:color w:val="auto"/>
              </w:rPr>
            </w:pPr>
          </w:p>
        </w:tc>
        <w:tc>
          <w:tcPr>
            <w:tcW w:w="60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2022</w:t>
            </w:r>
          </w:p>
        </w:tc>
      </w:tr>
      <w:tr>
        <w:trPr>
          <w:trHeight w:val="223"/>
        </w:trPr>
        <w:tc>
          <w:tcPr>
            <w:tcW w:w="8480" w:type="dxa"/>
            <w:vAlign w:val="bottom"/>
            <w:tcBorders>
              <w:bottom w:val="single" w:sz="8" w:color="888B8D"/>
            </w:tcBorders>
          </w:tcPr>
          <w:p>
            <w:pPr>
              <w:ind w:left="20"/>
              <w:spacing w:after="0"/>
              <w:rPr>
                <w:sz w:val="20"/>
                <w:szCs w:val="20"/>
                <w:color w:val="auto"/>
              </w:rPr>
            </w:pPr>
            <w:r>
              <w:rPr>
                <w:rFonts w:ascii="Arial" w:cs="Arial" w:eastAsia="Arial" w:hAnsi="Arial"/>
                <w:sz w:val="14"/>
                <w:szCs w:val="14"/>
                <w:b w:val="1"/>
                <w:bCs w:val="1"/>
                <w:color w:val="auto"/>
              </w:rPr>
              <w:t>Aerospace Technologies</w:t>
            </w:r>
          </w:p>
        </w:tc>
        <w:tc>
          <w:tcPr>
            <w:tcW w:w="160" w:type="dxa"/>
            <w:vAlign w:val="bottom"/>
            <w:tcBorders>
              <w:bottom w:val="single" w:sz="8" w:color="888B8D"/>
            </w:tcBorders>
          </w:tcPr>
          <w:p>
            <w:pPr>
              <w:spacing w:after="0"/>
              <w:rPr>
                <w:sz w:val="19"/>
                <w:szCs w:val="19"/>
                <w:color w:val="auto"/>
              </w:rPr>
            </w:pPr>
          </w:p>
        </w:tc>
        <w:tc>
          <w:tcPr>
            <w:tcW w:w="700" w:type="dxa"/>
            <w:vAlign w:val="bottom"/>
            <w:tcBorders>
              <w:bottom w:val="single" w:sz="8" w:color="888B8D"/>
            </w:tcBorders>
          </w:tcPr>
          <w:p>
            <w:pPr>
              <w:spacing w:after="0"/>
              <w:rPr>
                <w:sz w:val="19"/>
                <w:szCs w:val="19"/>
                <w:color w:val="auto"/>
              </w:rPr>
            </w:pPr>
          </w:p>
        </w:tc>
        <w:tc>
          <w:tcPr>
            <w:tcW w:w="300" w:type="dxa"/>
            <w:vAlign w:val="bottom"/>
            <w:tcBorders>
              <w:bottom w:val="single" w:sz="8" w:color="888B8D"/>
            </w:tcBorders>
          </w:tcPr>
          <w:p>
            <w:pPr>
              <w:spacing w:after="0"/>
              <w:rPr>
                <w:sz w:val="19"/>
                <w:szCs w:val="19"/>
                <w:color w:val="auto"/>
              </w:rPr>
            </w:pPr>
          </w:p>
        </w:tc>
        <w:tc>
          <w:tcPr>
            <w:tcW w:w="700" w:type="dxa"/>
            <w:vAlign w:val="bottom"/>
            <w:tcBorders>
              <w:bottom w:val="single" w:sz="8" w:color="888B8D"/>
            </w:tcBorders>
          </w:tcPr>
          <w:p>
            <w:pPr>
              <w:spacing w:after="0"/>
              <w:rPr>
                <w:sz w:val="19"/>
                <w:szCs w:val="19"/>
                <w:color w:val="auto"/>
              </w:rPr>
            </w:pPr>
          </w:p>
        </w:tc>
        <w:tc>
          <w:tcPr>
            <w:tcW w:w="300" w:type="dxa"/>
            <w:vAlign w:val="bottom"/>
            <w:tcBorders>
              <w:bottom w:val="single" w:sz="8" w:color="888B8D"/>
            </w:tcBorders>
          </w:tcPr>
          <w:p>
            <w:pPr>
              <w:spacing w:after="0"/>
              <w:rPr>
                <w:sz w:val="19"/>
                <w:szCs w:val="19"/>
                <w:color w:val="auto"/>
              </w:rPr>
            </w:pPr>
          </w:p>
        </w:tc>
        <w:tc>
          <w:tcPr>
            <w:tcW w:w="600" w:type="dxa"/>
            <w:vAlign w:val="bottom"/>
            <w:tcBorders>
              <w:bottom w:val="single" w:sz="8" w:color="888B8D"/>
            </w:tcBorders>
          </w:tcPr>
          <w:p>
            <w:pPr>
              <w:spacing w:after="0"/>
              <w:rPr>
                <w:sz w:val="19"/>
                <w:szCs w:val="19"/>
                <w:color w:val="auto"/>
              </w:rPr>
            </w:pPr>
          </w:p>
        </w:tc>
      </w:tr>
      <w:tr>
        <w:trPr>
          <w:trHeight w:val="198"/>
        </w:trPr>
        <w:tc>
          <w:tcPr>
            <w:tcW w:w="848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Commercial Aviation Original Equipment</w:t>
            </w:r>
          </w:p>
        </w:tc>
        <w:tc>
          <w:tcPr>
            <w:tcW w:w="1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2,223</w:t>
            </w:r>
          </w:p>
        </w:tc>
        <w:tc>
          <w:tcPr>
            <w:tcW w:w="300" w:type="dxa"/>
            <w:vAlign w:val="bottom"/>
            <w:tcBorders>
              <w:bottom w:val="single" w:sz="8" w:color="888B8D"/>
            </w:tcBorders>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2,397</w:t>
            </w:r>
          </w:p>
        </w:tc>
        <w:tc>
          <w:tcPr>
            <w:tcW w:w="300" w:type="dxa"/>
            <w:vAlign w:val="bottom"/>
            <w:tcBorders>
              <w:bottom w:val="single" w:sz="8" w:color="888B8D"/>
            </w:tcBorders>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2,089</w:t>
            </w:r>
          </w:p>
        </w:tc>
      </w:tr>
      <w:tr>
        <w:trPr>
          <w:trHeight w:val="196"/>
        </w:trPr>
        <w:tc>
          <w:tcPr>
            <w:tcW w:w="848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Commercial Aviation Aftermarket</w:t>
            </w:r>
          </w:p>
        </w:tc>
        <w:tc>
          <w:tcPr>
            <w:tcW w:w="160" w:type="dxa"/>
            <w:vAlign w:val="bottom"/>
            <w:tcBorders>
              <w:bottom w:val="single" w:sz="8" w:color="888B8D"/>
            </w:tcBorders>
          </w:tcPr>
          <w:p>
            <w:pPr>
              <w:spacing w:after="0"/>
              <w:rPr>
                <w:sz w:val="17"/>
                <w:szCs w:val="17"/>
                <w:color w:val="auto"/>
              </w:rPr>
            </w:pPr>
          </w:p>
        </w:tc>
        <w:tc>
          <w:tcPr>
            <w:tcW w:w="70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7,144</w:t>
            </w:r>
          </w:p>
        </w:tc>
        <w:tc>
          <w:tcPr>
            <w:tcW w:w="300" w:type="dxa"/>
            <w:vAlign w:val="bottom"/>
            <w:tcBorders>
              <w:bottom w:val="single" w:sz="8" w:color="888B8D"/>
            </w:tcBorders>
          </w:tcPr>
          <w:p>
            <w:pPr>
              <w:spacing w:after="0"/>
              <w:rPr>
                <w:sz w:val="17"/>
                <w:szCs w:val="17"/>
                <w:color w:val="auto"/>
              </w:rPr>
            </w:pPr>
          </w:p>
        </w:tc>
        <w:tc>
          <w:tcPr>
            <w:tcW w:w="70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6,241</w:t>
            </w:r>
          </w:p>
        </w:tc>
        <w:tc>
          <w:tcPr>
            <w:tcW w:w="30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5,108</w:t>
            </w:r>
          </w:p>
        </w:tc>
      </w:tr>
      <w:tr>
        <w:trPr>
          <w:trHeight w:val="196"/>
        </w:trPr>
        <w:tc>
          <w:tcPr>
            <w:tcW w:w="848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Defense and Space</w:t>
            </w:r>
          </w:p>
        </w:tc>
        <w:tc>
          <w:tcPr>
            <w:tcW w:w="16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6,091</w:t>
            </w:r>
          </w:p>
        </w:tc>
        <w:tc>
          <w:tcPr>
            <w:tcW w:w="30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4,986</w:t>
            </w:r>
          </w:p>
        </w:tc>
        <w:tc>
          <w:tcPr>
            <w:tcW w:w="30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4,630</w:t>
            </w:r>
          </w:p>
        </w:tc>
      </w:tr>
      <w:tr>
        <w:trPr>
          <w:trHeight w:val="199"/>
        </w:trPr>
        <w:tc>
          <w:tcPr>
            <w:tcW w:w="848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Net Aerospace Technologies sales</w:t>
            </w:r>
          </w:p>
        </w:tc>
        <w:tc>
          <w:tcPr>
            <w:tcW w:w="16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15,458</w:t>
            </w:r>
          </w:p>
        </w:tc>
        <w:tc>
          <w:tcPr>
            <w:tcW w:w="30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13,624</w:t>
            </w:r>
          </w:p>
        </w:tc>
        <w:tc>
          <w:tcPr>
            <w:tcW w:w="30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11,827</w:t>
            </w:r>
          </w:p>
        </w:tc>
      </w:tr>
      <w:tr>
        <w:trPr>
          <w:trHeight w:val="196"/>
        </w:trPr>
        <w:tc>
          <w:tcPr>
            <w:tcW w:w="8480" w:type="dxa"/>
            <w:vAlign w:val="bottom"/>
            <w:tcBorders>
              <w:bottom w:val="single" w:sz="8" w:color="888B8D"/>
            </w:tcBorders>
          </w:tcPr>
          <w:p>
            <w:pPr>
              <w:ind w:left="20"/>
              <w:spacing w:after="0"/>
              <w:rPr>
                <w:sz w:val="20"/>
                <w:szCs w:val="20"/>
                <w:color w:val="auto"/>
              </w:rPr>
            </w:pPr>
            <w:r>
              <w:rPr>
                <w:rFonts w:ascii="Arial" w:cs="Arial" w:eastAsia="Arial" w:hAnsi="Arial"/>
                <w:sz w:val="14"/>
                <w:szCs w:val="14"/>
                <w:b w:val="1"/>
                <w:bCs w:val="1"/>
                <w:color w:val="auto"/>
              </w:rPr>
              <w:t>Industrial Automation</w:t>
            </w:r>
          </w:p>
        </w:tc>
        <w:tc>
          <w:tcPr>
            <w:tcW w:w="160" w:type="dxa"/>
            <w:vAlign w:val="bottom"/>
            <w:tcBorders>
              <w:bottom w:val="single" w:sz="8" w:color="888B8D"/>
            </w:tcBorders>
          </w:tcPr>
          <w:p>
            <w:pPr>
              <w:spacing w:after="0"/>
              <w:rPr>
                <w:sz w:val="17"/>
                <w:szCs w:val="17"/>
                <w:color w:val="auto"/>
              </w:rPr>
            </w:pPr>
          </w:p>
        </w:tc>
        <w:tc>
          <w:tcPr>
            <w:tcW w:w="700" w:type="dxa"/>
            <w:vAlign w:val="bottom"/>
            <w:tcBorders>
              <w:bottom w:val="single" w:sz="8" w:color="888B8D"/>
            </w:tcBorders>
          </w:tcPr>
          <w:p>
            <w:pPr>
              <w:spacing w:after="0"/>
              <w:rPr>
                <w:sz w:val="17"/>
                <w:szCs w:val="17"/>
                <w:color w:val="auto"/>
              </w:rPr>
            </w:pPr>
          </w:p>
        </w:tc>
        <w:tc>
          <w:tcPr>
            <w:tcW w:w="300" w:type="dxa"/>
            <w:vAlign w:val="bottom"/>
            <w:tcBorders>
              <w:bottom w:val="single" w:sz="8" w:color="888B8D"/>
            </w:tcBorders>
          </w:tcPr>
          <w:p>
            <w:pPr>
              <w:spacing w:after="0"/>
              <w:rPr>
                <w:sz w:val="17"/>
                <w:szCs w:val="17"/>
                <w:color w:val="auto"/>
              </w:rPr>
            </w:pPr>
          </w:p>
        </w:tc>
        <w:tc>
          <w:tcPr>
            <w:tcW w:w="700" w:type="dxa"/>
            <w:vAlign w:val="bottom"/>
            <w:tcBorders>
              <w:bottom w:val="single" w:sz="8" w:color="888B8D"/>
            </w:tcBorders>
          </w:tcPr>
          <w:p>
            <w:pPr>
              <w:spacing w:after="0"/>
              <w:rPr>
                <w:sz w:val="17"/>
                <w:szCs w:val="17"/>
                <w:color w:val="auto"/>
              </w:rPr>
            </w:pPr>
          </w:p>
        </w:tc>
        <w:tc>
          <w:tcPr>
            <w:tcW w:w="30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spacing w:after="0"/>
              <w:rPr>
                <w:sz w:val="17"/>
                <w:szCs w:val="17"/>
                <w:color w:val="auto"/>
              </w:rPr>
            </w:pPr>
          </w:p>
        </w:tc>
      </w:tr>
      <w:tr>
        <w:trPr>
          <w:trHeight w:val="193"/>
        </w:trPr>
        <w:tc>
          <w:tcPr>
            <w:tcW w:w="848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Sensing and Safety Technologies</w:t>
            </w:r>
          </w:p>
        </w:tc>
        <w:tc>
          <w:tcPr>
            <w:tcW w:w="160" w:type="dxa"/>
            <w:vAlign w:val="bottom"/>
            <w:tcBorders>
              <w:bottom w:val="single" w:sz="8" w:color="888B8D"/>
            </w:tcBorders>
          </w:tcPr>
          <w:p>
            <w:pPr>
              <w:spacing w:after="0"/>
              <w:rPr>
                <w:sz w:val="16"/>
                <w:szCs w:val="16"/>
                <w:color w:val="auto"/>
              </w:rPr>
            </w:pPr>
          </w:p>
        </w:tc>
        <w:tc>
          <w:tcPr>
            <w:tcW w:w="70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1,824</w:t>
            </w:r>
          </w:p>
        </w:tc>
        <w:tc>
          <w:tcPr>
            <w:tcW w:w="300" w:type="dxa"/>
            <w:vAlign w:val="bottom"/>
            <w:tcBorders>
              <w:bottom w:val="single" w:sz="8" w:color="888B8D"/>
            </w:tcBorders>
          </w:tcPr>
          <w:p>
            <w:pPr>
              <w:spacing w:after="0"/>
              <w:rPr>
                <w:sz w:val="16"/>
                <w:szCs w:val="16"/>
                <w:color w:val="auto"/>
              </w:rPr>
            </w:pPr>
          </w:p>
        </w:tc>
        <w:tc>
          <w:tcPr>
            <w:tcW w:w="70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1,983</w:t>
            </w:r>
          </w:p>
        </w:tc>
        <w:tc>
          <w:tcPr>
            <w:tcW w:w="300" w:type="dxa"/>
            <w:vAlign w:val="bottom"/>
            <w:tcBorders>
              <w:bottom w:val="single" w:sz="8" w:color="888B8D"/>
            </w:tcBorders>
          </w:tcPr>
          <w:p>
            <w:pPr>
              <w:spacing w:after="0"/>
              <w:rPr>
                <w:sz w:val="16"/>
                <w:szCs w:val="16"/>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2,145</w:t>
            </w:r>
          </w:p>
        </w:tc>
      </w:tr>
      <w:tr>
        <w:trPr>
          <w:trHeight w:val="196"/>
        </w:trPr>
        <w:tc>
          <w:tcPr>
            <w:tcW w:w="848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Productivity Solutions and Services</w:t>
            </w:r>
          </w:p>
        </w:tc>
        <w:tc>
          <w:tcPr>
            <w:tcW w:w="160" w:type="dxa"/>
            <w:vAlign w:val="bottom"/>
            <w:tcBorders>
              <w:bottom w:val="single" w:sz="8" w:color="888B8D"/>
            </w:tcBorders>
          </w:tcPr>
          <w:p>
            <w:pPr>
              <w:spacing w:after="0"/>
              <w:rPr>
                <w:sz w:val="17"/>
                <w:szCs w:val="17"/>
                <w:color w:val="auto"/>
              </w:rPr>
            </w:pPr>
          </w:p>
        </w:tc>
        <w:tc>
          <w:tcPr>
            <w:tcW w:w="70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1,202</w:t>
            </w:r>
          </w:p>
        </w:tc>
        <w:tc>
          <w:tcPr>
            <w:tcW w:w="300" w:type="dxa"/>
            <w:vAlign w:val="bottom"/>
            <w:tcBorders>
              <w:bottom w:val="single" w:sz="8" w:color="888B8D"/>
            </w:tcBorders>
          </w:tcPr>
          <w:p>
            <w:pPr>
              <w:spacing w:after="0"/>
              <w:rPr>
                <w:sz w:val="17"/>
                <w:szCs w:val="17"/>
                <w:color w:val="auto"/>
              </w:rPr>
            </w:pPr>
          </w:p>
        </w:tc>
        <w:tc>
          <w:tcPr>
            <w:tcW w:w="70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1,313</w:t>
            </w:r>
          </w:p>
        </w:tc>
        <w:tc>
          <w:tcPr>
            <w:tcW w:w="30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1,739</w:t>
            </w:r>
          </w:p>
        </w:tc>
      </w:tr>
      <w:tr>
        <w:trPr>
          <w:trHeight w:val="196"/>
        </w:trPr>
        <w:tc>
          <w:tcPr>
            <w:tcW w:w="848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Process Solutions</w:t>
            </w:r>
          </w:p>
        </w:tc>
        <w:tc>
          <w:tcPr>
            <w:tcW w:w="160" w:type="dxa"/>
            <w:vAlign w:val="bottom"/>
            <w:tcBorders>
              <w:bottom w:val="single" w:sz="8" w:color="888B8D"/>
            </w:tcBorders>
          </w:tcPr>
          <w:p>
            <w:pPr>
              <w:spacing w:after="0"/>
              <w:rPr>
                <w:sz w:val="17"/>
                <w:szCs w:val="17"/>
                <w:color w:val="auto"/>
              </w:rPr>
            </w:pPr>
          </w:p>
        </w:tc>
        <w:tc>
          <w:tcPr>
            <w:tcW w:w="70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6,111</w:t>
            </w:r>
          </w:p>
        </w:tc>
        <w:tc>
          <w:tcPr>
            <w:tcW w:w="300" w:type="dxa"/>
            <w:vAlign w:val="bottom"/>
            <w:tcBorders>
              <w:bottom w:val="single" w:sz="8" w:color="888B8D"/>
            </w:tcBorders>
          </w:tcPr>
          <w:p>
            <w:pPr>
              <w:spacing w:after="0"/>
              <w:rPr>
                <w:sz w:val="17"/>
                <w:szCs w:val="17"/>
                <w:color w:val="auto"/>
              </w:rPr>
            </w:pPr>
          </w:p>
        </w:tc>
        <w:tc>
          <w:tcPr>
            <w:tcW w:w="70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6,017</w:t>
            </w:r>
          </w:p>
        </w:tc>
        <w:tc>
          <w:tcPr>
            <w:tcW w:w="30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5,446</w:t>
            </w:r>
          </w:p>
        </w:tc>
      </w:tr>
      <w:tr>
        <w:trPr>
          <w:trHeight w:val="196"/>
        </w:trPr>
        <w:tc>
          <w:tcPr>
            <w:tcW w:w="848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Warehouse and Workflow Solutions</w:t>
            </w:r>
          </w:p>
        </w:tc>
        <w:tc>
          <w:tcPr>
            <w:tcW w:w="16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914</w:t>
            </w:r>
          </w:p>
        </w:tc>
        <w:tc>
          <w:tcPr>
            <w:tcW w:w="30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1,443</w:t>
            </w:r>
          </w:p>
        </w:tc>
        <w:tc>
          <w:tcPr>
            <w:tcW w:w="30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2,308</w:t>
            </w:r>
          </w:p>
        </w:tc>
      </w:tr>
      <w:tr>
        <w:trPr>
          <w:trHeight w:val="199"/>
        </w:trPr>
        <w:tc>
          <w:tcPr>
            <w:tcW w:w="848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Net Industrial Automation sales</w:t>
            </w:r>
          </w:p>
        </w:tc>
        <w:tc>
          <w:tcPr>
            <w:tcW w:w="16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10,051</w:t>
            </w:r>
          </w:p>
        </w:tc>
        <w:tc>
          <w:tcPr>
            <w:tcW w:w="30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10,756</w:t>
            </w:r>
          </w:p>
        </w:tc>
        <w:tc>
          <w:tcPr>
            <w:tcW w:w="30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11,638</w:t>
            </w:r>
          </w:p>
        </w:tc>
      </w:tr>
      <w:tr>
        <w:trPr>
          <w:trHeight w:val="196"/>
        </w:trPr>
        <w:tc>
          <w:tcPr>
            <w:tcW w:w="8480" w:type="dxa"/>
            <w:vAlign w:val="bottom"/>
            <w:tcBorders>
              <w:bottom w:val="single" w:sz="8" w:color="888B8D"/>
            </w:tcBorders>
          </w:tcPr>
          <w:p>
            <w:pPr>
              <w:ind w:left="20"/>
              <w:spacing w:after="0"/>
              <w:rPr>
                <w:sz w:val="20"/>
                <w:szCs w:val="20"/>
                <w:color w:val="auto"/>
              </w:rPr>
            </w:pPr>
            <w:r>
              <w:rPr>
                <w:rFonts w:ascii="Arial" w:cs="Arial" w:eastAsia="Arial" w:hAnsi="Arial"/>
                <w:sz w:val="14"/>
                <w:szCs w:val="14"/>
                <w:b w:val="1"/>
                <w:bCs w:val="1"/>
                <w:color w:val="auto"/>
              </w:rPr>
              <w:t>Building Automation</w:t>
            </w:r>
          </w:p>
        </w:tc>
        <w:tc>
          <w:tcPr>
            <w:tcW w:w="160" w:type="dxa"/>
            <w:vAlign w:val="bottom"/>
            <w:tcBorders>
              <w:bottom w:val="single" w:sz="8" w:color="888B8D"/>
            </w:tcBorders>
          </w:tcPr>
          <w:p>
            <w:pPr>
              <w:spacing w:after="0"/>
              <w:rPr>
                <w:sz w:val="17"/>
                <w:szCs w:val="17"/>
                <w:color w:val="auto"/>
              </w:rPr>
            </w:pPr>
          </w:p>
        </w:tc>
        <w:tc>
          <w:tcPr>
            <w:tcW w:w="700" w:type="dxa"/>
            <w:vAlign w:val="bottom"/>
            <w:tcBorders>
              <w:bottom w:val="single" w:sz="8" w:color="888B8D"/>
            </w:tcBorders>
          </w:tcPr>
          <w:p>
            <w:pPr>
              <w:spacing w:after="0"/>
              <w:rPr>
                <w:sz w:val="17"/>
                <w:szCs w:val="17"/>
                <w:color w:val="auto"/>
              </w:rPr>
            </w:pPr>
          </w:p>
        </w:tc>
        <w:tc>
          <w:tcPr>
            <w:tcW w:w="300" w:type="dxa"/>
            <w:vAlign w:val="bottom"/>
            <w:tcBorders>
              <w:bottom w:val="single" w:sz="8" w:color="888B8D"/>
            </w:tcBorders>
          </w:tcPr>
          <w:p>
            <w:pPr>
              <w:spacing w:after="0"/>
              <w:rPr>
                <w:sz w:val="17"/>
                <w:szCs w:val="17"/>
                <w:color w:val="auto"/>
              </w:rPr>
            </w:pPr>
          </w:p>
        </w:tc>
        <w:tc>
          <w:tcPr>
            <w:tcW w:w="700" w:type="dxa"/>
            <w:vAlign w:val="bottom"/>
            <w:tcBorders>
              <w:bottom w:val="single" w:sz="8" w:color="888B8D"/>
            </w:tcBorders>
          </w:tcPr>
          <w:p>
            <w:pPr>
              <w:spacing w:after="0"/>
              <w:rPr>
                <w:sz w:val="17"/>
                <w:szCs w:val="17"/>
                <w:color w:val="auto"/>
              </w:rPr>
            </w:pPr>
          </w:p>
        </w:tc>
        <w:tc>
          <w:tcPr>
            <w:tcW w:w="30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spacing w:after="0"/>
              <w:rPr>
                <w:sz w:val="17"/>
                <w:szCs w:val="17"/>
                <w:color w:val="auto"/>
              </w:rPr>
            </w:pPr>
          </w:p>
        </w:tc>
      </w:tr>
      <w:tr>
        <w:trPr>
          <w:trHeight w:val="193"/>
        </w:trPr>
        <w:tc>
          <w:tcPr>
            <w:tcW w:w="848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Products</w:t>
            </w:r>
          </w:p>
        </w:tc>
        <w:tc>
          <w:tcPr>
            <w:tcW w:w="160" w:type="dxa"/>
            <w:vAlign w:val="bottom"/>
            <w:tcBorders>
              <w:bottom w:val="single" w:sz="8" w:color="888B8D"/>
            </w:tcBorders>
          </w:tcPr>
          <w:p>
            <w:pPr>
              <w:spacing w:after="0"/>
              <w:rPr>
                <w:sz w:val="16"/>
                <w:szCs w:val="16"/>
                <w:color w:val="auto"/>
              </w:rPr>
            </w:pPr>
          </w:p>
        </w:tc>
        <w:tc>
          <w:tcPr>
            <w:tcW w:w="70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3,868</w:t>
            </w:r>
          </w:p>
        </w:tc>
        <w:tc>
          <w:tcPr>
            <w:tcW w:w="300" w:type="dxa"/>
            <w:vAlign w:val="bottom"/>
            <w:tcBorders>
              <w:bottom w:val="single" w:sz="8" w:color="888B8D"/>
            </w:tcBorders>
          </w:tcPr>
          <w:p>
            <w:pPr>
              <w:spacing w:after="0"/>
              <w:rPr>
                <w:sz w:val="16"/>
                <w:szCs w:val="16"/>
                <w:color w:val="auto"/>
              </w:rPr>
            </w:pPr>
          </w:p>
        </w:tc>
        <w:tc>
          <w:tcPr>
            <w:tcW w:w="70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3,583</w:t>
            </w:r>
          </w:p>
        </w:tc>
        <w:tc>
          <w:tcPr>
            <w:tcW w:w="300" w:type="dxa"/>
            <w:vAlign w:val="bottom"/>
            <w:tcBorders>
              <w:bottom w:val="single" w:sz="8" w:color="888B8D"/>
            </w:tcBorders>
          </w:tcPr>
          <w:p>
            <w:pPr>
              <w:spacing w:after="0"/>
              <w:rPr>
                <w:sz w:val="16"/>
                <w:szCs w:val="16"/>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3,638</w:t>
            </w:r>
          </w:p>
        </w:tc>
      </w:tr>
      <w:tr>
        <w:trPr>
          <w:trHeight w:val="196"/>
        </w:trPr>
        <w:tc>
          <w:tcPr>
            <w:tcW w:w="848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Building Solutions</w:t>
            </w:r>
          </w:p>
        </w:tc>
        <w:tc>
          <w:tcPr>
            <w:tcW w:w="16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2,672</w:t>
            </w:r>
          </w:p>
        </w:tc>
        <w:tc>
          <w:tcPr>
            <w:tcW w:w="30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2,448</w:t>
            </w:r>
          </w:p>
        </w:tc>
        <w:tc>
          <w:tcPr>
            <w:tcW w:w="30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2,362</w:t>
            </w:r>
          </w:p>
        </w:tc>
      </w:tr>
      <w:tr>
        <w:trPr>
          <w:trHeight w:val="199"/>
        </w:trPr>
        <w:tc>
          <w:tcPr>
            <w:tcW w:w="848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Net Building Automation sales</w:t>
            </w:r>
          </w:p>
        </w:tc>
        <w:tc>
          <w:tcPr>
            <w:tcW w:w="16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6,540</w:t>
            </w:r>
          </w:p>
        </w:tc>
        <w:tc>
          <w:tcPr>
            <w:tcW w:w="30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6,031</w:t>
            </w:r>
          </w:p>
        </w:tc>
        <w:tc>
          <w:tcPr>
            <w:tcW w:w="30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6,000</w:t>
            </w:r>
          </w:p>
        </w:tc>
      </w:tr>
      <w:tr>
        <w:trPr>
          <w:trHeight w:val="196"/>
        </w:trPr>
        <w:tc>
          <w:tcPr>
            <w:tcW w:w="8480" w:type="dxa"/>
            <w:vAlign w:val="bottom"/>
            <w:tcBorders>
              <w:bottom w:val="single" w:sz="8" w:color="888B8D"/>
            </w:tcBorders>
          </w:tcPr>
          <w:p>
            <w:pPr>
              <w:ind w:left="20"/>
              <w:spacing w:after="0"/>
              <w:rPr>
                <w:sz w:val="20"/>
                <w:szCs w:val="20"/>
                <w:color w:val="auto"/>
              </w:rPr>
            </w:pPr>
            <w:r>
              <w:rPr>
                <w:rFonts w:ascii="Arial" w:cs="Arial" w:eastAsia="Arial" w:hAnsi="Arial"/>
                <w:sz w:val="14"/>
                <w:szCs w:val="14"/>
                <w:b w:val="1"/>
                <w:bCs w:val="1"/>
                <w:color w:val="auto"/>
              </w:rPr>
              <w:t>Energy and Sustainability Solutions</w:t>
            </w:r>
          </w:p>
        </w:tc>
        <w:tc>
          <w:tcPr>
            <w:tcW w:w="160" w:type="dxa"/>
            <w:vAlign w:val="bottom"/>
            <w:tcBorders>
              <w:bottom w:val="single" w:sz="8" w:color="888B8D"/>
            </w:tcBorders>
          </w:tcPr>
          <w:p>
            <w:pPr>
              <w:spacing w:after="0"/>
              <w:rPr>
                <w:sz w:val="17"/>
                <w:szCs w:val="17"/>
                <w:color w:val="auto"/>
              </w:rPr>
            </w:pPr>
          </w:p>
        </w:tc>
        <w:tc>
          <w:tcPr>
            <w:tcW w:w="700" w:type="dxa"/>
            <w:vAlign w:val="bottom"/>
            <w:tcBorders>
              <w:bottom w:val="single" w:sz="8" w:color="888B8D"/>
            </w:tcBorders>
          </w:tcPr>
          <w:p>
            <w:pPr>
              <w:spacing w:after="0"/>
              <w:rPr>
                <w:sz w:val="17"/>
                <w:szCs w:val="17"/>
                <w:color w:val="auto"/>
              </w:rPr>
            </w:pPr>
          </w:p>
        </w:tc>
        <w:tc>
          <w:tcPr>
            <w:tcW w:w="300" w:type="dxa"/>
            <w:vAlign w:val="bottom"/>
            <w:tcBorders>
              <w:bottom w:val="single" w:sz="8" w:color="888B8D"/>
            </w:tcBorders>
          </w:tcPr>
          <w:p>
            <w:pPr>
              <w:spacing w:after="0"/>
              <w:rPr>
                <w:sz w:val="17"/>
                <w:szCs w:val="17"/>
                <w:color w:val="auto"/>
              </w:rPr>
            </w:pPr>
          </w:p>
        </w:tc>
        <w:tc>
          <w:tcPr>
            <w:tcW w:w="700" w:type="dxa"/>
            <w:vAlign w:val="bottom"/>
            <w:tcBorders>
              <w:bottom w:val="single" w:sz="8" w:color="888B8D"/>
            </w:tcBorders>
          </w:tcPr>
          <w:p>
            <w:pPr>
              <w:spacing w:after="0"/>
              <w:rPr>
                <w:sz w:val="17"/>
                <w:szCs w:val="17"/>
                <w:color w:val="auto"/>
              </w:rPr>
            </w:pPr>
          </w:p>
        </w:tc>
        <w:tc>
          <w:tcPr>
            <w:tcW w:w="30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spacing w:after="0"/>
              <w:rPr>
                <w:sz w:val="17"/>
                <w:szCs w:val="17"/>
                <w:color w:val="auto"/>
              </w:rPr>
            </w:pPr>
          </w:p>
        </w:tc>
      </w:tr>
      <w:tr>
        <w:trPr>
          <w:trHeight w:val="193"/>
        </w:trPr>
        <w:tc>
          <w:tcPr>
            <w:tcW w:w="848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UOP</w:t>
            </w:r>
          </w:p>
        </w:tc>
        <w:tc>
          <w:tcPr>
            <w:tcW w:w="160" w:type="dxa"/>
            <w:vAlign w:val="bottom"/>
            <w:tcBorders>
              <w:bottom w:val="single" w:sz="8" w:color="888B8D"/>
            </w:tcBorders>
          </w:tcPr>
          <w:p>
            <w:pPr>
              <w:spacing w:after="0"/>
              <w:rPr>
                <w:sz w:val="16"/>
                <w:szCs w:val="16"/>
                <w:color w:val="auto"/>
              </w:rPr>
            </w:pPr>
          </w:p>
        </w:tc>
        <w:tc>
          <w:tcPr>
            <w:tcW w:w="70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2,644</w:t>
            </w:r>
          </w:p>
        </w:tc>
        <w:tc>
          <w:tcPr>
            <w:tcW w:w="300" w:type="dxa"/>
            <w:vAlign w:val="bottom"/>
            <w:tcBorders>
              <w:bottom w:val="single" w:sz="8" w:color="888B8D"/>
            </w:tcBorders>
          </w:tcPr>
          <w:p>
            <w:pPr>
              <w:spacing w:after="0"/>
              <w:rPr>
                <w:sz w:val="16"/>
                <w:szCs w:val="16"/>
                <w:color w:val="auto"/>
              </w:rPr>
            </w:pPr>
          </w:p>
        </w:tc>
        <w:tc>
          <w:tcPr>
            <w:tcW w:w="70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2,586</w:t>
            </w:r>
          </w:p>
        </w:tc>
        <w:tc>
          <w:tcPr>
            <w:tcW w:w="300" w:type="dxa"/>
            <w:vAlign w:val="bottom"/>
            <w:tcBorders>
              <w:bottom w:val="single" w:sz="8" w:color="888B8D"/>
            </w:tcBorders>
          </w:tcPr>
          <w:p>
            <w:pPr>
              <w:spacing w:after="0"/>
              <w:rPr>
                <w:sz w:val="16"/>
                <w:szCs w:val="16"/>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2,404</w:t>
            </w:r>
          </w:p>
        </w:tc>
      </w:tr>
      <w:tr>
        <w:trPr>
          <w:trHeight w:val="196"/>
        </w:trPr>
        <w:tc>
          <w:tcPr>
            <w:tcW w:w="848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Advanced Materials</w:t>
            </w:r>
          </w:p>
        </w:tc>
        <w:tc>
          <w:tcPr>
            <w:tcW w:w="16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3,781</w:t>
            </w:r>
          </w:p>
        </w:tc>
        <w:tc>
          <w:tcPr>
            <w:tcW w:w="30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3,653</w:t>
            </w:r>
          </w:p>
        </w:tc>
        <w:tc>
          <w:tcPr>
            <w:tcW w:w="30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3,592</w:t>
            </w:r>
          </w:p>
        </w:tc>
      </w:tr>
      <w:tr>
        <w:trPr>
          <w:trHeight w:val="199"/>
        </w:trPr>
        <w:tc>
          <w:tcPr>
            <w:tcW w:w="848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Net Energy and Sustainability Solutions sales</w:t>
            </w:r>
          </w:p>
        </w:tc>
        <w:tc>
          <w:tcPr>
            <w:tcW w:w="16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6,425</w:t>
            </w:r>
          </w:p>
        </w:tc>
        <w:tc>
          <w:tcPr>
            <w:tcW w:w="30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6,239</w:t>
            </w:r>
          </w:p>
        </w:tc>
        <w:tc>
          <w:tcPr>
            <w:tcW w:w="30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5,996</w:t>
            </w:r>
          </w:p>
        </w:tc>
      </w:tr>
      <w:tr>
        <w:trPr>
          <w:trHeight w:val="196"/>
        </w:trPr>
        <w:tc>
          <w:tcPr>
            <w:tcW w:w="84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Corporate and All Other</w:t>
            </w:r>
          </w:p>
        </w:tc>
        <w:tc>
          <w:tcPr>
            <w:tcW w:w="16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24</w:t>
            </w:r>
          </w:p>
        </w:tc>
        <w:tc>
          <w:tcPr>
            <w:tcW w:w="30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12</w:t>
            </w:r>
          </w:p>
        </w:tc>
        <w:tc>
          <w:tcPr>
            <w:tcW w:w="30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5</w:t>
            </w:r>
          </w:p>
        </w:tc>
      </w:tr>
      <w:tr>
        <w:trPr>
          <w:trHeight w:val="196"/>
        </w:trPr>
        <w:tc>
          <w:tcPr>
            <w:tcW w:w="8480" w:type="dxa"/>
            <w:vAlign w:val="bottom"/>
            <w:tcBorders>
              <w:bottom w:val="single" w:sz="8" w:color="D7282F"/>
            </w:tcBorders>
          </w:tcPr>
          <w:p>
            <w:pPr>
              <w:ind w:left="360"/>
              <w:spacing w:after="0"/>
              <w:rPr>
                <w:sz w:val="20"/>
                <w:szCs w:val="20"/>
                <w:color w:val="auto"/>
              </w:rPr>
            </w:pPr>
            <w:r>
              <w:rPr>
                <w:rFonts w:ascii="Arial" w:cs="Arial" w:eastAsia="Arial" w:hAnsi="Arial"/>
                <w:sz w:val="14"/>
                <w:szCs w:val="14"/>
                <w:b w:val="1"/>
                <w:bCs w:val="1"/>
                <w:color w:val="auto"/>
              </w:rPr>
              <w:t>Net sales</w:t>
            </w: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38,498</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36,662</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35,466</w:t>
            </w:r>
          </w:p>
        </w:tc>
      </w:tr>
    </w:tbl>
    <w:p>
      <w:pPr>
        <w:spacing w:after="0" w:line="17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In April 2024, the Company realigned certain business units within the Industrial Automation reportable business segment. The gas detection business moved from the Sensing and Safety Technologies business unit to the Process Solutions business unit to align with the process measurement controls business. The Company recast historical periods to reflect this realignment.</w:t>
      </w:r>
    </w:p>
    <w:p>
      <w:pPr>
        <w:spacing w:after="0" w:line="70" w:lineRule="exact"/>
        <w:rPr>
          <w:sz w:val="20"/>
          <w:szCs w:val="20"/>
          <w:color w:val="auto"/>
        </w:rPr>
      </w:pPr>
    </w:p>
    <w:p>
      <w:pPr>
        <w:jc w:val="both"/>
        <w:spacing w:after="0" w:line="257" w:lineRule="auto"/>
        <w:rPr>
          <w:sz w:val="20"/>
          <w:szCs w:val="20"/>
          <w:color w:val="auto"/>
        </w:rPr>
      </w:pPr>
      <w:r>
        <w:rPr>
          <w:rFonts w:ascii="Arial" w:cs="Arial" w:eastAsia="Arial" w:hAnsi="Arial"/>
          <w:sz w:val="16"/>
          <w:szCs w:val="16"/>
          <w:b w:val="1"/>
          <w:bCs w:val="1"/>
          <w:color w:val="auto"/>
        </w:rPr>
        <w:t xml:space="preserve">Aerospace Technologies </w:t>
      </w:r>
      <w:r>
        <w:rPr>
          <w:rFonts w:ascii="Arial" w:cs="Arial" w:eastAsia="Arial" w:hAnsi="Arial"/>
          <w:sz w:val="16"/>
          <w:szCs w:val="16"/>
          <w:color w:val="auto"/>
        </w:rPr>
        <w:t>– A global supplier of products, software, and services for aircrafts that it sells to original equipment manufacturers (OEM) and</w:t>
      </w:r>
      <w:r>
        <w:rPr>
          <w:rFonts w:ascii="Arial" w:cs="Arial" w:eastAsia="Arial" w:hAnsi="Arial"/>
          <w:sz w:val="16"/>
          <w:szCs w:val="16"/>
          <w:b w:val="1"/>
          <w:bCs w:val="1"/>
          <w:color w:val="auto"/>
        </w:rPr>
        <w:t xml:space="preserve"> </w:t>
      </w:r>
      <w:r>
        <w:rPr>
          <w:rFonts w:ascii="Arial" w:cs="Arial" w:eastAsia="Arial" w:hAnsi="Arial"/>
          <w:sz w:val="16"/>
          <w:szCs w:val="16"/>
          <w:color w:val="auto"/>
        </w:rPr>
        <w:t>other customers in a variety of end markets including air transport, regional, business and general aviation aircraft, airlines, aircraft operators, and defense and space contractors. Aerospace Technologies products and services include auxiliary power units, propulsion engines, environmental control systems, integrated avionics, wireless connectivity services, electric power systems, engine controls, flight safety, communications, navigation hardware, data and software applications, radar and surveillance systems, aircraft lighting, management and technical services, advanced systems and instruments, satellite and space components, aircraft wheels and brakes, and thermal systems. Aerospace Technologies also provides spare parts, repair, overhaul, and maintenance services (principally to aircraft operators), and sells licenses or intellectual property to other parties. Honeywell Forge solutions enable customers to turn data into predictive maintenance and predictive analytics to enable better fleet management and make flight operations more efficient.</w:t>
      </w:r>
    </w:p>
    <w:p>
      <w:pPr>
        <w:spacing w:after="0" w:line="200" w:lineRule="exact"/>
        <w:rPr>
          <w:sz w:val="20"/>
          <w:szCs w:val="20"/>
          <w:color w:val="auto"/>
        </w:rPr>
      </w:pPr>
    </w:p>
    <w:p>
      <w:pPr>
        <w:spacing w:after="0" w:line="223" w:lineRule="exact"/>
        <w:rPr>
          <w:sz w:val="20"/>
          <w:szCs w:val="20"/>
          <w:color w:val="auto"/>
        </w:rPr>
      </w:pPr>
    </w:p>
    <w:p>
      <w:pPr>
        <w:ind w:left="400" w:hanging="392"/>
        <w:spacing w:after="0"/>
        <w:tabs>
          <w:tab w:leader="none" w:pos="400" w:val="left"/>
        </w:tabs>
        <w:numPr>
          <w:ilvl w:val="0"/>
          <w:numId w:val="116"/>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68" w:name="page69"/>
    <w:bookmarkEnd w:id="68"/>
    <w:p>
      <w:pPr>
        <w:ind w:left="20"/>
        <w:spacing w:after="0"/>
        <w:tabs>
          <w:tab w:leader="none" w:pos="784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FINANCIAL STATEMENTS AND SUPPLEMENTARY DATA</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29"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color w:val="auto"/>
        </w:rPr>
        <w:t xml:space="preserve">Industrial Automation </w:t>
      </w:r>
      <w:r>
        <w:rPr>
          <w:rFonts w:ascii="Arial" w:cs="Arial" w:eastAsia="Arial" w:hAnsi="Arial"/>
          <w:sz w:val="16"/>
          <w:szCs w:val="16"/>
          <w:color w:val="auto"/>
        </w:rPr>
        <w:t>– A global provider of industrial automation solutions that deliver intelligent, sustainable, and secure operations for customers in</w:t>
      </w:r>
      <w:r>
        <w:rPr>
          <w:rFonts w:ascii="Arial" w:cs="Arial" w:eastAsia="Arial" w:hAnsi="Arial"/>
          <w:sz w:val="16"/>
          <w:szCs w:val="16"/>
          <w:b w:val="1"/>
          <w:bCs w:val="1"/>
          <w:color w:val="auto"/>
        </w:rPr>
        <w:t xml:space="preserve"> </w:t>
      </w:r>
      <w:r>
        <w:rPr>
          <w:rFonts w:ascii="Arial" w:cs="Arial" w:eastAsia="Arial" w:hAnsi="Arial"/>
          <w:sz w:val="16"/>
          <w:szCs w:val="16"/>
          <w:color w:val="auto"/>
        </w:rPr>
        <w:t>refining/petrochemicals, life sciences, utilities, and warehouse and logistics segments. With millions of installed assets, Industrial Automation deploys outcome-based solutions to increase asset utilization; improve operational efficiency and labor productivity; reduce carbon emissions with less energy consumption; and enhance cyber security for critical infrastructure and operational assets. Industrial Automation offerings include automation control and instrumentation products and services; smart energy products; sensing technologies with an array of custom-engineered sensors and services; gas detection technologies and personal protective equipment; and system design, advanced automation equipment, software and analytics for manufacturing, distribution, and fulfillment operations. These products and services are combined with proprietary machine learning and artificial intelligence algorithms in products and projects which are digitally enabled through the Company's industry leading industrial IoT platform, Honeywell Forge.</w:t>
      </w:r>
    </w:p>
    <w:p>
      <w:pPr>
        <w:spacing w:after="0" w:line="7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b w:val="1"/>
          <w:bCs w:val="1"/>
          <w:color w:val="auto"/>
        </w:rPr>
        <w:t xml:space="preserve">Building Automation </w:t>
      </w:r>
      <w:r>
        <w:rPr>
          <w:rFonts w:ascii="Arial" w:cs="Arial" w:eastAsia="Arial" w:hAnsi="Arial"/>
          <w:sz w:val="16"/>
          <w:szCs w:val="16"/>
          <w:color w:val="auto"/>
        </w:rPr>
        <w:t>– A global provider of products, software, solutions, and technologies that enable building owners and occupants to ensure their</w:t>
      </w:r>
      <w:r>
        <w:rPr>
          <w:rFonts w:ascii="Arial" w:cs="Arial" w:eastAsia="Arial" w:hAnsi="Arial"/>
          <w:sz w:val="16"/>
          <w:szCs w:val="16"/>
          <w:b w:val="1"/>
          <w:bCs w:val="1"/>
          <w:color w:val="auto"/>
        </w:rPr>
        <w:t xml:space="preserve"> </w:t>
      </w:r>
      <w:r>
        <w:rPr>
          <w:rFonts w:ascii="Arial" w:cs="Arial" w:eastAsia="Arial" w:hAnsi="Arial"/>
          <w:sz w:val="16"/>
          <w:szCs w:val="16"/>
          <w:color w:val="auto"/>
        </w:rPr>
        <w:t>facilities are safe, energy efficient, sustainable, and productive. Building Automation products and services include advanced software applications for building control and optimization; sensors, switches, control systems, and instruments for energy management; access control; video surveillance; fire products; and installation, maintenance, and upgrades of systems. Honeywell Forge solutions enable customers to digitally manage buildings, connecting data from different assets to enable smart maintenance, improve building performance, and even protect from incoming security threats.</w:t>
      </w:r>
    </w:p>
    <w:p>
      <w:pPr>
        <w:spacing w:after="0" w:line="6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color w:val="auto"/>
        </w:rPr>
        <w:t xml:space="preserve">Energy and Sustainability Solutions </w:t>
      </w:r>
      <w:r>
        <w:rPr>
          <w:rFonts w:ascii="Arial" w:cs="Arial" w:eastAsia="Arial" w:hAnsi="Arial"/>
          <w:sz w:val="16"/>
          <w:szCs w:val="16"/>
          <w:color w:val="auto"/>
        </w:rPr>
        <w:t>– A global provider of industry leading technology, processing, and licensing capabilities combined with material</w:t>
      </w:r>
      <w:r>
        <w:rPr>
          <w:rFonts w:ascii="Arial" w:cs="Arial" w:eastAsia="Arial" w:hAnsi="Arial"/>
          <w:sz w:val="16"/>
          <w:szCs w:val="16"/>
          <w:b w:val="1"/>
          <w:bCs w:val="1"/>
          <w:color w:val="auto"/>
        </w:rPr>
        <w:t xml:space="preserve"> </w:t>
      </w:r>
      <w:r>
        <w:rPr>
          <w:rFonts w:ascii="Arial" w:cs="Arial" w:eastAsia="Arial" w:hAnsi="Arial"/>
          <w:sz w:val="16"/>
          <w:szCs w:val="16"/>
          <w:color w:val="auto"/>
        </w:rPr>
        <w:t>science capabilities and innovative chemistry to offer focused solutions integral to facilitating the world's energy transition. The reportable business segment is comprised of UOP and Advanced Materials business units. The UOP business provides sustainable aviation fuels, petrochemical, refining, and natural gas liquefaction technologies, and carbon management solutions across multiple sectors through process technology solutions, products, including catalysts and adsorbents, equipment and aftermarket services. The Advanced Materials business provides customers with its Solstice lower global warming potential refrigeration and heating solutions, Spectra fibers for high end protective armor and medical applications, and leading-edge semiconductor materials. Honeywell Forge solutions serve customer asset productivity and efficiency needs by providing connectivity, data integration, and software solutions to generate a holistic view of their operations.</w:t>
      </w:r>
    </w:p>
    <w:p>
      <w:pPr>
        <w:spacing w:after="0" w:line="126" w:lineRule="exact"/>
        <w:rPr>
          <w:sz w:val="20"/>
          <w:szCs w:val="20"/>
          <w:color w:val="auto"/>
        </w:rPr>
      </w:pPr>
    </w:p>
    <w:p>
      <w:pPr>
        <w:jc w:val="both"/>
        <w:spacing w:after="0" w:line="304" w:lineRule="auto"/>
        <w:rPr>
          <w:sz w:val="20"/>
          <w:szCs w:val="20"/>
          <w:color w:val="auto"/>
        </w:rPr>
      </w:pPr>
      <w:r>
        <w:rPr>
          <w:rFonts w:ascii="Arial" w:cs="Arial" w:eastAsia="Arial" w:hAnsi="Arial"/>
          <w:sz w:val="16"/>
          <w:szCs w:val="16"/>
          <w:b w:val="1"/>
          <w:bCs w:val="1"/>
          <w:color w:val="auto"/>
        </w:rPr>
        <w:t xml:space="preserve">Corporate and All Other </w:t>
      </w:r>
      <w:r>
        <w:rPr>
          <w:rFonts w:ascii="Arial" w:cs="Arial" w:eastAsia="Arial" w:hAnsi="Arial"/>
          <w:sz w:val="16"/>
          <w:szCs w:val="16"/>
          <w:color w:val="auto"/>
        </w:rPr>
        <w:t>– Corporate and All Other includes revenue from Honeywell's majority-owned investment in Quantinuum. Through Quantinuum,</w:t>
      </w:r>
      <w:r>
        <w:rPr>
          <w:rFonts w:ascii="Arial" w:cs="Arial" w:eastAsia="Arial" w:hAnsi="Arial"/>
          <w:sz w:val="16"/>
          <w:szCs w:val="16"/>
          <w:b w:val="1"/>
          <w:bCs w:val="1"/>
          <w:color w:val="auto"/>
        </w:rPr>
        <w:t xml:space="preserve"> </w:t>
      </w:r>
      <w:r>
        <w:rPr>
          <w:rFonts w:ascii="Arial" w:cs="Arial" w:eastAsia="Arial" w:hAnsi="Arial"/>
          <w:sz w:val="16"/>
          <w:szCs w:val="16"/>
          <w:color w:val="auto"/>
        </w:rPr>
        <w:t>Honeywell provides a wide range of service offerings of fully integrated quantum computing hardware and software solutions.</w:t>
      </w:r>
    </w:p>
    <w:p>
      <w:pPr>
        <w:spacing w:after="0" w:line="4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See Note 22 </w:t>
      </w:r>
      <w:r>
        <w:rPr>
          <w:rFonts w:ascii="Arial" w:cs="Arial" w:eastAsia="Arial" w:hAnsi="Arial"/>
          <w:sz w:val="16"/>
          <w:szCs w:val="16"/>
          <w:u w:val="single" w:color="auto"/>
          <w:color w:val="0000FF"/>
        </w:rPr>
        <w:t>Segment Financial Data</w:t>
      </w:r>
      <w:r>
        <w:rPr>
          <w:rFonts w:ascii="Arial" w:cs="Arial" w:eastAsia="Arial" w:hAnsi="Arial"/>
          <w:sz w:val="16"/>
          <w:szCs w:val="16"/>
          <w:color w:val="auto"/>
        </w:rPr>
        <w:t xml:space="preserve"> for a summary by disaggregated product and services sales for each reportable business segment.</w:t>
      </w:r>
    </w:p>
    <w:p>
      <w:pPr>
        <w:spacing w:after="0" w:line="113"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 Company recognizes revenue arising from performance obligations outlined in contracts with its customers that are satisfied at a point in time and over time. The disaggregation of the Company's revenue based off timing of recognition is as follows: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140" w:type="dxa"/>
            <w:vAlign w:val="bottom"/>
          </w:tcPr>
          <w:p>
            <w:pPr>
              <w:spacing w:after="0"/>
              <w:rPr>
                <w:sz w:val="17"/>
                <w:szCs w:val="17"/>
                <w:color w:val="auto"/>
              </w:rPr>
            </w:pPr>
          </w:p>
        </w:tc>
        <w:tc>
          <w:tcPr>
            <w:tcW w:w="2480" w:type="dxa"/>
            <w:vAlign w:val="bottom"/>
            <w:tcBorders>
              <w:bottom w:val="single" w:sz="8" w:color="D7282F"/>
            </w:tcBorders>
            <w:gridSpan w:val="2"/>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620" w:type="dxa"/>
            <w:vAlign w:val="bottom"/>
            <w:tcBorders>
              <w:bottom w:val="single" w:sz="8" w:color="D7282F"/>
            </w:tcBorders>
          </w:tcPr>
          <w:p>
            <w:pPr>
              <w:spacing w:after="0"/>
              <w:rPr>
                <w:sz w:val="17"/>
                <w:szCs w:val="17"/>
                <w:color w:val="auto"/>
              </w:rPr>
            </w:pPr>
          </w:p>
        </w:tc>
      </w:tr>
      <w:tr>
        <w:trPr>
          <w:trHeight w:val="218"/>
        </w:trPr>
        <w:tc>
          <w:tcPr>
            <w:tcW w:w="8140" w:type="dxa"/>
            <w:vAlign w:val="bottom"/>
            <w:tcBorders>
              <w:bottom w:val="single" w:sz="8" w:color="D7282F"/>
            </w:tcBorders>
          </w:tcPr>
          <w:p>
            <w:pPr>
              <w:spacing w:after="0"/>
              <w:rPr>
                <w:sz w:val="18"/>
                <w:szCs w:val="18"/>
                <w:color w:val="auto"/>
              </w:rPr>
            </w:pPr>
          </w:p>
        </w:tc>
        <w:tc>
          <w:tcPr>
            <w:tcW w:w="1140" w:type="dxa"/>
            <w:vAlign w:val="bottom"/>
            <w:tcBorders>
              <w:bottom w:val="single" w:sz="8" w:color="D7282F"/>
            </w:tcBorders>
          </w:tcPr>
          <w:p>
            <w:pPr>
              <w:jc w:val="right"/>
              <w:ind w:right="468"/>
              <w:spacing w:after="0"/>
              <w:rPr>
                <w:sz w:val="20"/>
                <w:szCs w:val="20"/>
                <w:color w:val="auto"/>
              </w:rPr>
            </w:pPr>
            <w:r>
              <w:rPr>
                <w:rFonts w:ascii="Arial" w:cs="Arial" w:eastAsia="Arial" w:hAnsi="Arial"/>
                <w:sz w:val="14"/>
                <w:szCs w:val="14"/>
                <w:b w:val="1"/>
                <w:bCs w:val="1"/>
                <w:color w:val="auto"/>
              </w:rPr>
              <w:t>2024</w:t>
            </w:r>
          </w:p>
        </w:tc>
        <w:tc>
          <w:tcPr>
            <w:tcW w:w="1340" w:type="dxa"/>
            <w:vAlign w:val="bottom"/>
            <w:tcBorders>
              <w:bottom w:val="single" w:sz="8" w:color="D7282F"/>
            </w:tcBorders>
          </w:tcPr>
          <w:p>
            <w:pPr>
              <w:jc w:val="right"/>
              <w:ind w:right="688"/>
              <w:spacing w:after="0"/>
              <w:rPr>
                <w:sz w:val="20"/>
                <w:szCs w:val="20"/>
                <w:color w:val="auto"/>
              </w:rPr>
            </w:pPr>
            <w:r>
              <w:rPr>
                <w:rFonts w:ascii="Arial" w:cs="Arial" w:eastAsia="Arial" w:hAnsi="Arial"/>
                <w:sz w:val="14"/>
                <w:szCs w:val="14"/>
                <w:b w:val="1"/>
                <w:bCs w:val="1"/>
                <w:color w:val="auto"/>
              </w:rPr>
              <w:t>2023</w:t>
            </w:r>
          </w:p>
        </w:tc>
        <w:tc>
          <w:tcPr>
            <w:tcW w:w="62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2022</w:t>
            </w:r>
          </w:p>
        </w:tc>
      </w:tr>
      <w:tr>
        <w:trPr>
          <w:trHeight w:val="198"/>
        </w:trPr>
        <w:tc>
          <w:tcPr>
            <w:tcW w:w="814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Products, transferred point in time</w:t>
            </w:r>
          </w:p>
        </w:tc>
        <w:tc>
          <w:tcPr>
            <w:tcW w:w="1140" w:type="dxa"/>
            <w:vAlign w:val="bottom"/>
            <w:tcBorders>
              <w:bottom w:val="single" w:sz="8" w:color="888B8D"/>
            </w:tcBorders>
          </w:tcPr>
          <w:p>
            <w:pPr>
              <w:jc w:val="right"/>
              <w:ind w:right="208"/>
              <w:spacing w:after="0"/>
              <w:rPr>
                <w:sz w:val="20"/>
                <w:szCs w:val="20"/>
                <w:color w:val="auto"/>
              </w:rPr>
            </w:pPr>
            <w:r>
              <w:rPr>
                <w:rFonts w:ascii="Arial" w:cs="Arial" w:eastAsia="Arial" w:hAnsi="Arial"/>
                <w:sz w:val="14"/>
                <w:szCs w:val="14"/>
                <w:color w:val="auto"/>
              </w:rPr>
              <w:t>57 %</w:t>
            </w:r>
          </w:p>
        </w:tc>
        <w:tc>
          <w:tcPr>
            <w:tcW w:w="1340" w:type="dxa"/>
            <w:vAlign w:val="bottom"/>
            <w:tcBorders>
              <w:bottom w:val="single" w:sz="8" w:color="888B8D"/>
            </w:tcBorders>
          </w:tcPr>
          <w:p>
            <w:pPr>
              <w:jc w:val="right"/>
              <w:ind w:right="428"/>
              <w:spacing w:after="0"/>
              <w:rPr>
                <w:sz w:val="20"/>
                <w:szCs w:val="20"/>
                <w:color w:val="auto"/>
              </w:rPr>
            </w:pPr>
            <w:r>
              <w:rPr>
                <w:rFonts w:ascii="Arial" w:cs="Arial" w:eastAsia="Arial" w:hAnsi="Arial"/>
                <w:sz w:val="14"/>
                <w:szCs w:val="14"/>
                <w:color w:val="auto"/>
              </w:rPr>
              <w:t>58 %</w:t>
            </w:r>
          </w:p>
        </w:tc>
        <w:tc>
          <w:tcPr>
            <w:tcW w:w="62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59 %</w:t>
            </w:r>
          </w:p>
        </w:tc>
      </w:tr>
      <w:tr>
        <w:trPr>
          <w:trHeight w:val="196"/>
        </w:trPr>
        <w:tc>
          <w:tcPr>
            <w:tcW w:w="814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Products, transferred over time</w:t>
            </w:r>
          </w:p>
        </w:tc>
        <w:tc>
          <w:tcPr>
            <w:tcW w:w="1140" w:type="dxa"/>
            <w:vAlign w:val="bottom"/>
            <w:tcBorders>
              <w:bottom w:val="single" w:sz="8" w:color="D7282F"/>
            </w:tcBorders>
          </w:tcPr>
          <w:p>
            <w:pPr>
              <w:jc w:val="right"/>
              <w:ind w:right="368"/>
              <w:spacing w:after="0"/>
              <w:rPr>
                <w:sz w:val="20"/>
                <w:szCs w:val="20"/>
                <w:color w:val="auto"/>
              </w:rPr>
            </w:pPr>
            <w:r>
              <w:rPr>
                <w:rFonts w:ascii="Arial" w:cs="Arial" w:eastAsia="Arial" w:hAnsi="Arial"/>
                <w:sz w:val="14"/>
                <w:szCs w:val="14"/>
                <w:color w:val="auto"/>
              </w:rPr>
              <w:t>11</w:t>
            </w:r>
          </w:p>
        </w:tc>
        <w:tc>
          <w:tcPr>
            <w:tcW w:w="1340" w:type="dxa"/>
            <w:vAlign w:val="bottom"/>
            <w:tcBorders>
              <w:bottom w:val="single" w:sz="8" w:color="D7282F"/>
            </w:tcBorders>
          </w:tcPr>
          <w:p>
            <w:pPr>
              <w:jc w:val="right"/>
              <w:ind w:right="608"/>
              <w:spacing w:after="0"/>
              <w:rPr>
                <w:sz w:val="20"/>
                <w:szCs w:val="20"/>
                <w:color w:val="auto"/>
              </w:rPr>
            </w:pPr>
            <w:r>
              <w:rPr>
                <w:rFonts w:ascii="Arial" w:cs="Arial" w:eastAsia="Arial" w:hAnsi="Arial"/>
                <w:sz w:val="14"/>
                <w:szCs w:val="14"/>
                <w:color w:val="auto"/>
              </w:rPr>
              <w:t>12</w:t>
            </w:r>
          </w:p>
        </w:tc>
        <w:tc>
          <w:tcPr>
            <w:tcW w:w="6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14</w:t>
            </w:r>
          </w:p>
        </w:tc>
      </w:tr>
      <w:tr>
        <w:trPr>
          <w:trHeight w:val="199"/>
        </w:trPr>
        <w:tc>
          <w:tcPr>
            <w:tcW w:w="814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Net product sales</w:t>
            </w:r>
          </w:p>
        </w:tc>
        <w:tc>
          <w:tcPr>
            <w:tcW w:w="1140" w:type="dxa"/>
            <w:vAlign w:val="bottom"/>
            <w:tcBorders>
              <w:bottom w:val="single" w:sz="8" w:color="D7282F"/>
            </w:tcBorders>
          </w:tcPr>
          <w:p>
            <w:pPr>
              <w:jc w:val="right"/>
              <w:ind w:right="368"/>
              <w:spacing w:after="0"/>
              <w:rPr>
                <w:sz w:val="20"/>
                <w:szCs w:val="20"/>
                <w:color w:val="auto"/>
              </w:rPr>
            </w:pPr>
            <w:r>
              <w:rPr>
                <w:rFonts w:ascii="Arial" w:cs="Arial" w:eastAsia="Arial" w:hAnsi="Arial"/>
                <w:sz w:val="14"/>
                <w:szCs w:val="14"/>
                <w:b w:val="1"/>
                <w:bCs w:val="1"/>
                <w:color w:val="auto"/>
              </w:rPr>
              <w:t>68</w:t>
            </w:r>
          </w:p>
        </w:tc>
        <w:tc>
          <w:tcPr>
            <w:tcW w:w="1340" w:type="dxa"/>
            <w:vAlign w:val="bottom"/>
            <w:tcBorders>
              <w:bottom w:val="single" w:sz="8" w:color="D7282F"/>
            </w:tcBorders>
          </w:tcPr>
          <w:p>
            <w:pPr>
              <w:jc w:val="right"/>
              <w:ind w:right="608"/>
              <w:spacing w:after="0"/>
              <w:rPr>
                <w:sz w:val="20"/>
                <w:szCs w:val="20"/>
                <w:color w:val="auto"/>
              </w:rPr>
            </w:pPr>
            <w:r>
              <w:rPr>
                <w:rFonts w:ascii="Arial" w:cs="Arial" w:eastAsia="Arial" w:hAnsi="Arial"/>
                <w:sz w:val="14"/>
                <w:szCs w:val="14"/>
                <w:b w:val="1"/>
                <w:bCs w:val="1"/>
                <w:color w:val="auto"/>
              </w:rPr>
              <w:t>70</w:t>
            </w:r>
          </w:p>
        </w:tc>
        <w:tc>
          <w:tcPr>
            <w:tcW w:w="6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73</w:t>
            </w:r>
          </w:p>
        </w:tc>
      </w:tr>
      <w:tr>
        <w:trPr>
          <w:trHeight w:val="193"/>
        </w:trPr>
        <w:tc>
          <w:tcPr>
            <w:tcW w:w="814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Services, transferred point in time</w:t>
            </w:r>
          </w:p>
        </w:tc>
        <w:tc>
          <w:tcPr>
            <w:tcW w:w="1140" w:type="dxa"/>
            <w:vAlign w:val="bottom"/>
            <w:tcBorders>
              <w:bottom w:val="single" w:sz="8" w:color="888B8D"/>
            </w:tcBorders>
          </w:tcPr>
          <w:p>
            <w:pPr>
              <w:jc w:val="right"/>
              <w:ind w:right="368"/>
              <w:spacing w:after="0"/>
              <w:rPr>
                <w:sz w:val="20"/>
                <w:szCs w:val="20"/>
                <w:color w:val="auto"/>
              </w:rPr>
            </w:pPr>
            <w:r>
              <w:rPr>
                <w:rFonts w:ascii="Arial" w:cs="Arial" w:eastAsia="Arial" w:hAnsi="Arial"/>
                <w:sz w:val="14"/>
                <w:szCs w:val="14"/>
                <w:color w:val="auto"/>
              </w:rPr>
              <w:t>4</w:t>
            </w:r>
          </w:p>
        </w:tc>
        <w:tc>
          <w:tcPr>
            <w:tcW w:w="1340" w:type="dxa"/>
            <w:vAlign w:val="bottom"/>
            <w:tcBorders>
              <w:bottom w:val="single" w:sz="8" w:color="888B8D"/>
            </w:tcBorders>
          </w:tcPr>
          <w:p>
            <w:pPr>
              <w:jc w:val="right"/>
              <w:ind w:right="608"/>
              <w:spacing w:after="0"/>
              <w:rPr>
                <w:sz w:val="20"/>
                <w:szCs w:val="20"/>
                <w:color w:val="auto"/>
              </w:rPr>
            </w:pPr>
            <w:r>
              <w:rPr>
                <w:rFonts w:ascii="Arial" w:cs="Arial" w:eastAsia="Arial" w:hAnsi="Arial"/>
                <w:sz w:val="14"/>
                <w:szCs w:val="14"/>
                <w:color w:val="auto"/>
              </w:rPr>
              <w:t>10</w:t>
            </w:r>
          </w:p>
        </w:tc>
        <w:tc>
          <w:tcPr>
            <w:tcW w:w="6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8</w:t>
            </w:r>
          </w:p>
        </w:tc>
      </w:tr>
      <w:tr>
        <w:trPr>
          <w:trHeight w:val="196"/>
        </w:trPr>
        <w:tc>
          <w:tcPr>
            <w:tcW w:w="814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Services, transferred over time</w:t>
            </w:r>
          </w:p>
        </w:tc>
        <w:tc>
          <w:tcPr>
            <w:tcW w:w="1140" w:type="dxa"/>
            <w:vAlign w:val="bottom"/>
            <w:tcBorders>
              <w:bottom w:val="single" w:sz="8" w:color="D7282F"/>
            </w:tcBorders>
          </w:tcPr>
          <w:p>
            <w:pPr>
              <w:jc w:val="right"/>
              <w:ind w:right="368"/>
              <w:spacing w:after="0"/>
              <w:rPr>
                <w:sz w:val="20"/>
                <w:szCs w:val="20"/>
                <w:color w:val="auto"/>
              </w:rPr>
            </w:pPr>
            <w:r>
              <w:rPr>
                <w:rFonts w:ascii="Arial" w:cs="Arial" w:eastAsia="Arial" w:hAnsi="Arial"/>
                <w:sz w:val="14"/>
                <w:szCs w:val="14"/>
                <w:color w:val="auto"/>
              </w:rPr>
              <w:t>28</w:t>
            </w:r>
          </w:p>
        </w:tc>
        <w:tc>
          <w:tcPr>
            <w:tcW w:w="1340" w:type="dxa"/>
            <w:vAlign w:val="bottom"/>
            <w:tcBorders>
              <w:bottom w:val="single" w:sz="8" w:color="D7282F"/>
            </w:tcBorders>
          </w:tcPr>
          <w:p>
            <w:pPr>
              <w:jc w:val="right"/>
              <w:ind w:right="608"/>
              <w:spacing w:after="0"/>
              <w:rPr>
                <w:sz w:val="20"/>
                <w:szCs w:val="20"/>
                <w:color w:val="auto"/>
              </w:rPr>
            </w:pPr>
            <w:r>
              <w:rPr>
                <w:rFonts w:ascii="Arial" w:cs="Arial" w:eastAsia="Arial" w:hAnsi="Arial"/>
                <w:sz w:val="14"/>
                <w:szCs w:val="14"/>
                <w:color w:val="auto"/>
              </w:rPr>
              <w:t>20</w:t>
            </w:r>
          </w:p>
        </w:tc>
        <w:tc>
          <w:tcPr>
            <w:tcW w:w="6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19</w:t>
            </w:r>
          </w:p>
        </w:tc>
      </w:tr>
      <w:tr>
        <w:trPr>
          <w:trHeight w:val="199"/>
        </w:trPr>
        <w:tc>
          <w:tcPr>
            <w:tcW w:w="814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Net service sales</w:t>
            </w:r>
          </w:p>
        </w:tc>
        <w:tc>
          <w:tcPr>
            <w:tcW w:w="1140" w:type="dxa"/>
            <w:vAlign w:val="bottom"/>
            <w:tcBorders>
              <w:bottom w:val="single" w:sz="8" w:color="D7282F"/>
            </w:tcBorders>
          </w:tcPr>
          <w:p>
            <w:pPr>
              <w:jc w:val="right"/>
              <w:ind w:right="368"/>
              <w:spacing w:after="0"/>
              <w:rPr>
                <w:sz w:val="20"/>
                <w:szCs w:val="20"/>
                <w:color w:val="auto"/>
              </w:rPr>
            </w:pPr>
            <w:r>
              <w:rPr>
                <w:rFonts w:ascii="Arial" w:cs="Arial" w:eastAsia="Arial" w:hAnsi="Arial"/>
                <w:sz w:val="14"/>
                <w:szCs w:val="14"/>
                <w:b w:val="1"/>
                <w:bCs w:val="1"/>
                <w:color w:val="auto"/>
              </w:rPr>
              <w:t>32</w:t>
            </w:r>
          </w:p>
        </w:tc>
        <w:tc>
          <w:tcPr>
            <w:tcW w:w="1340" w:type="dxa"/>
            <w:vAlign w:val="bottom"/>
            <w:tcBorders>
              <w:bottom w:val="single" w:sz="8" w:color="D7282F"/>
            </w:tcBorders>
          </w:tcPr>
          <w:p>
            <w:pPr>
              <w:jc w:val="right"/>
              <w:ind w:right="608"/>
              <w:spacing w:after="0"/>
              <w:rPr>
                <w:sz w:val="20"/>
                <w:szCs w:val="20"/>
                <w:color w:val="auto"/>
              </w:rPr>
            </w:pPr>
            <w:r>
              <w:rPr>
                <w:rFonts w:ascii="Arial" w:cs="Arial" w:eastAsia="Arial" w:hAnsi="Arial"/>
                <w:sz w:val="14"/>
                <w:szCs w:val="14"/>
                <w:b w:val="1"/>
                <w:bCs w:val="1"/>
                <w:color w:val="auto"/>
              </w:rPr>
              <w:t>30</w:t>
            </w:r>
          </w:p>
        </w:tc>
        <w:tc>
          <w:tcPr>
            <w:tcW w:w="6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27</w:t>
            </w:r>
          </w:p>
        </w:tc>
      </w:tr>
      <w:tr>
        <w:trPr>
          <w:trHeight w:val="196"/>
        </w:trPr>
        <w:tc>
          <w:tcPr>
            <w:tcW w:w="814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Net sales</w:t>
            </w:r>
          </w:p>
        </w:tc>
        <w:tc>
          <w:tcPr>
            <w:tcW w:w="114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100 %</w:t>
            </w:r>
          </w:p>
        </w:tc>
        <w:tc>
          <w:tcPr>
            <w:tcW w:w="1340" w:type="dxa"/>
            <w:vAlign w:val="bottom"/>
            <w:tcBorders>
              <w:bottom w:val="single" w:sz="8" w:color="D7282F"/>
            </w:tcBorders>
          </w:tcPr>
          <w:p>
            <w:pPr>
              <w:jc w:val="right"/>
              <w:ind w:right="428"/>
              <w:spacing w:after="0"/>
              <w:rPr>
                <w:sz w:val="20"/>
                <w:szCs w:val="20"/>
                <w:color w:val="auto"/>
              </w:rPr>
            </w:pPr>
            <w:r>
              <w:rPr>
                <w:rFonts w:ascii="Arial" w:cs="Arial" w:eastAsia="Arial" w:hAnsi="Arial"/>
                <w:sz w:val="14"/>
                <w:szCs w:val="14"/>
                <w:b w:val="1"/>
                <w:bCs w:val="1"/>
                <w:color w:val="auto"/>
              </w:rPr>
              <w:t>100 %</w:t>
            </w: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100 %</w:t>
            </w:r>
          </w:p>
        </w:tc>
      </w:tr>
    </w:tbl>
    <w:p>
      <w:pPr>
        <w:spacing w:after="0" w:line="31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CONTRACT BALANCES</w:t>
      </w:r>
    </w:p>
    <w:p>
      <w:pPr>
        <w:spacing w:after="0" w:line="141"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 Company tracks progress on satisfying performance obligations under contracts with customers. The related billings and cash collections are recorded in the Consolidated Balance Sheet in Accounts receivable—net and Other assets (unbilled receivables (contract assets) and billed receivables), and Accrued liabilities and Other liabilities (customer advances and deposits (contract liabilities)). Unbilled receivables arise when the timing of cash collected from customers differs from the timing of revenue recognition, such as when contract provisions require specific milestones to be met before a customer can be billed. Contract assets are recognized when the revenue associated with the contract is recognized prior to billing and derecognized when billed in accordance with the terms of the contract. Contract liabilities are recorded when customers remit contractual cash payments in advance of the Company satisfying performance obligations under contractual arrangements, including those with performance obligations to be satisfied over a period of time. Contract liabilities are derecognized when revenue is recorded, either when a milestone is met triggering the contractual right to bill or when the performance obligation is satisfied.</w:t>
      </w:r>
    </w:p>
    <w:p>
      <w:pPr>
        <w:spacing w:after="0" w:line="200" w:lineRule="exact"/>
        <w:rPr>
          <w:sz w:val="20"/>
          <w:szCs w:val="20"/>
          <w:color w:val="auto"/>
        </w:rPr>
      </w:pPr>
    </w:p>
    <w:p>
      <w:pPr>
        <w:spacing w:after="0" w:line="209" w:lineRule="exact"/>
        <w:rPr>
          <w:sz w:val="20"/>
          <w:szCs w:val="20"/>
          <w:color w:val="auto"/>
        </w:rPr>
      </w:pPr>
    </w:p>
    <w:p>
      <w:pPr>
        <w:ind w:left="400" w:hanging="392"/>
        <w:spacing w:after="0"/>
        <w:tabs>
          <w:tab w:leader="none" w:pos="400" w:val="left"/>
        </w:tabs>
        <w:numPr>
          <w:ilvl w:val="0"/>
          <w:numId w:val="117"/>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69" w:name="page70"/>
    <w:bookmarkEnd w:id="69"/>
    <w:p>
      <w:pPr>
        <w:ind w:left="20"/>
        <w:spacing w:after="0"/>
        <w:tabs>
          <w:tab w:leader="none" w:pos="784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FINANCIAL STATEMENTS AND SUPPLEMENTARY DATA</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Contract balances are classified as assets or liabilities on a contract-by-contract basis at the end of each reporting period.</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Company's contract assets and liabilities balances: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540" w:type="dxa"/>
            <w:vAlign w:val="bottom"/>
            <w:tcBorders>
              <w:bottom w:val="single" w:sz="8" w:color="D7282F"/>
            </w:tcBorders>
          </w:tcPr>
          <w:p>
            <w:pPr>
              <w:spacing w:after="0"/>
              <w:rPr>
                <w:sz w:val="17"/>
                <w:szCs w:val="17"/>
                <w:color w:val="auto"/>
              </w:rPr>
            </w:pPr>
          </w:p>
        </w:tc>
        <w:tc>
          <w:tcPr>
            <w:tcW w:w="310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2024</w:t>
            </w:r>
          </w:p>
        </w:tc>
        <w:tc>
          <w:tcPr>
            <w:tcW w:w="28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2023</w:t>
            </w:r>
          </w:p>
        </w:tc>
      </w:tr>
      <w:tr>
        <w:trPr>
          <w:trHeight w:val="198"/>
        </w:trPr>
        <w:tc>
          <w:tcPr>
            <w:tcW w:w="65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Contract assets—January 1</w:t>
            </w:r>
          </w:p>
        </w:tc>
        <w:tc>
          <w:tcPr>
            <w:tcW w:w="31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2,013</w:t>
            </w:r>
          </w:p>
        </w:tc>
        <w:tc>
          <w:tcPr>
            <w:tcW w:w="2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2,294</w:t>
            </w:r>
          </w:p>
        </w:tc>
      </w:tr>
      <w:tr>
        <w:trPr>
          <w:trHeight w:val="200"/>
        </w:trPr>
        <w:tc>
          <w:tcPr>
            <w:tcW w:w="6540" w:type="dxa"/>
            <w:vAlign w:val="bottom"/>
            <w:tcBorders>
              <w:bottom w:val="single" w:sz="8" w:color="D7282F"/>
            </w:tcBorders>
          </w:tcPr>
          <w:p>
            <w:pPr>
              <w:ind w:left="20"/>
              <w:spacing w:after="0" w:line="200" w:lineRule="exact"/>
              <w:rPr>
                <w:sz w:val="20"/>
                <w:szCs w:val="20"/>
                <w:color w:val="auto"/>
              </w:rPr>
            </w:pPr>
            <w:r>
              <w:rPr>
                <w:rFonts w:ascii="Arial" w:cs="Arial" w:eastAsia="Arial" w:hAnsi="Arial"/>
                <w:sz w:val="14"/>
                <w:szCs w:val="14"/>
                <w:color w:val="auto"/>
              </w:rPr>
              <w:t>Contract assets—December 31</w:t>
            </w:r>
            <w:r>
              <w:rPr>
                <w:rFonts w:ascii="Arial" w:cs="Arial" w:eastAsia="Arial" w:hAnsi="Arial"/>
                <w:sz w:val="18"/>
                <w:szCs w:val="18"/>
                <w:color w:val="auto"/>
                <w:vertAlign w:val="superscript"/>
              </w:rPr>
              <w:t>1</w:t>
            </w:r>
          </w:p>
        </w:tc>
        <w:tc>
          <w:tcPr>
            <w:tcW w:w="310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2,207</w:t>
            </w:r>
          </w:p>
        </w:tc>
        <w:tc>
          <w:tcPr>
            <w:tcW w:w="28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2,013</w:t>
            </w:r>
          </w:p>
        </w:tc>
      </w:tr>
      <w:tr>
        <w:trPr>
          <w:trHeight w:val="195"/>
        </w:trPr>
        <w:tc>
          <w:tcPr>
            <w:tcW w:w="654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Change in contract assets—increase (decrease)</w:t>
            </w:r>
          </w:p>
        </w:tc>
        <w:tc>
          <w:tcPr>
            <w:tcW w:w="3100" w:type="dxa"/>
            <w:vAlign w:val="bottom"/>
            <w:tcBorders>
              <w:bottom w:val="single" w:sz="8" w:color="D7282F"/>
            </w:tcBorders>
          </w:tcPr>
          <w:p>
            <w:pPr>
              <w:spacing w:after="0"/>
              <w:rPr>
                <w:sz w:val="16"/>
                <w:szCs w:val="16"/>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194</w:t>
            </w:r>
          </w:p>
        </w:tc>
        <w:tc>
          <w:tcPr>
            <w:tcW w:w="280" w:type="dxa"/>
            <w:vAlign w:val="bottom"/>
            <w:tcBorders>
              <w:bottom w:val="single" w:sz="8" w:color="D7282F"/>
            </w:tcBorders>
          </w:tcPr>
          <w:p>
            <w:pPr>
              <w:spacing w:after="0"/>
              <w:rPr>
                <w:sz w:val="16"/>
                <w:szCs w:val="16"/>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(281)</w:t>
            </w:r>
          </w:p>
        </w:tc>
      </w:tr>
      <w:tr>
        <w:trPr>
          <w:trHeight w:val="193"/>
        </w:trPr>
        <w:tc>
          <w:tcPr>
            <w:tcW w:w="65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Contract liabilities—January 1</w:t>
            </w:r>
          </w:p>
        </w:tc>
        <w:tc>
          <w:tcPr>
            <w:tcW w:w="3100" w:type="dxa"/>
            <w:vAlign w:val="bottom"/>
            <w:tcBorders>
              <w:bottom w:val="single" w:sz="8" w:color="61656A"/>
            </w:tcBorders>
          </w:tcPr>
          <w:p>
            <w:pPr>
              <w:spacing w:after="0"/>
              <w:rPr>
                <w:sz w:val="16"/>
                <w:szCs w:val="16"/>
                <w:color w:val="auto"/>
              </w:rPr>
            </w:pPr>
          </w:p>
        </w:tc>
        <w:tc>
          <w:tcPr>
            <w:tcW w:w="7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(4,326)</w:t>
            </w:r>
          </w:p>
        </w:tc>
        <w:tc>
          <w:tcPr>
            <w:tcW w:w="280" w:type="dxa"/>
            <w:vAlign w:val="bottom"/>
            <w:tcBorders>
              <w:bottom w:val="single" w:sz="8" w:color="61656A"/>
            </w:tcBorders>
          </w:tcPr>
          <w:p>
            <w:pPr>
              <w:spacing w:after="0"/>
              <w:rPr>
                <w:sz w:val="16"/>
                <w:szCs w:val="16"/>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(4,583)</w:t>
            </w:r>
          </w:p>
        </w:tc>
      </w:tr>
      <w:tr>
        <w:trPr>
          <w:trHeight w:val="200"/>
        </w:trPr>
        <w:tc>
          <w:tcPr>
            <w:tcW w:w="6540" w:type="dxa"/>
            <w:vAlign w:val="bottom"/>
            <w:tcBorders>
              <w:bottom w:val="single" w:sz="8" w:color="D7282F"/>
            </w:tcBorders>
          </w:tcPr>
          <w:p>
            <w:pPr>
              <w:ind w:left="20"/>
              <w:spacing w:after="0" w:line="200" w:lineRule="exact"/>
              <w:rPr>
                <w:sz w:val="20"/>
                <w:szCs w:val="20"/>
                <w:color w:val="auto"/>
              </w:rPr>
            </w:pPr>
            <w:r>
              <w:rPr>
                <w:rFonts w:ascii="Arial" w:cs="Arial" w:eastAsia="Arial" w:hAnsi="Arial"/>
                <w:sz w:val="14"/>
                <w:szCs w:val="14"/>
                <w:color w:val="auto"/>
              </w:rPr>
              <w:t>Contract liabilities—December 31</w:t>
            </w:r>
            <w:r>
              <w:rPr>
                <w:rFonts w:ascii="Arial" w:cs="Arial" w:eastAsia="Arial" w:hAnsi="Arial"/>
                <w:sz w:val="18"/>
                <w:szCs w:val="18"/>
                <w:color w:val="auto"/>
                <w:vertAlign w:val="superscript"/>
              </w:rPr>
              <w:t>2</w:t>
            </w:r>
          </w:p>
        </w:tc>
        <w:tc>
          <w:tcPr>
            <w:tcW w:w="310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(4,220)</w:t>
            </w:r>
          </w:p>
        </w:tc>
        <w:tc>
          <w:tcPr>
            <w:tcW w:w="28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(4,326)</w:t>
            </w:r>
          </w:p>
        </w:tc>
      </w:tr>
      <w:tr>
        <w:trPr>
          <w:trHeight w:val="195"/>
        </w:trPr>
        <w:tc>
          <w:tcPr>
            <w:tcW w:w="654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Change in contract liabilities—decrease (increase)</w:t>
            </w:r>
          </w:p>
        </w:tc>
        <w:tc>
          <w:tcPr>
            <w:tcW w:w="3100" w:type="dxa"/>
            <w:vAlign w:val="bottom"/>
            <w:tcBorders>
              <w:bottom w:val="single" w:sz="8" w:color="D7282F"/>
            </w:tcBorders>
          </w:tcPr>
          <w:p>
            <w:pPr>
              <w:spacing w:after="0"/>
              <w:rPr>
                <w:sz w:val="16"/>
                <w:szCs w:val="16"/>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106</w:t>
            </w:r>
          </w:p>
        </w:tc>
        <w:tc>
          <w:tcPr>
            <w:tcW w:w="280" w:type="dxa"/>
            <w:vAlign w:val="bottom"/>
            <w:tcBorders>
              <w:bottom w:val="single" w:sz="8" w:color="D7282F"/>
            </w:tcBorders>
          </w:tcPr>
          <w:p>
            <w:pPr>
              <w:spacing w:after="0"/>
              <w:rPr>
                <w:sz w:val="16"/>
                <w:szCs w:val="16"/>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257</w:t>
            </w:r>
          </w:p>
        </w:tc>
      </w:tr>
      <w:tr>
        <w:trPr>
          <w:trHeight w:val="196"/>
        </w:trPr>
        <w:tc>
          <w:tcPr>
            <w:tcW w:w="654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Net change</w:t>
            </w:r>
          </w:p>
        </w:tc>
        <w:tc>
          <w:tcPr>
            <w:tcW w:w="31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300</w:t>
            </w:r>
          </w:p>
        </w:tc>
        <w:tc>
          <w:tcPr>
            <w:tcW w:w="2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(24)</w:t>
            </w:r>
          </w:p>
        </w:tc>
      </w:tr>
    </w:tbl>
    <w:p>
      <w:pPr>
        <w:spacing w:after="0" w:line="198" w:lineRule="exact"/>
        <w:rPr>
          <w:sz w:val="20"/>
          <w:szCs w:val="20"/>
          <w:color w:val="auto"/>
        </w:rPr>
      </w:pPr>
    </w:p>
    <w:p>
      <w:pPr>
        <w:ind w:left="460" w:right="20" w:hanging="324"/>
        <w:spacing w:after="0" w:line="182" w:lineRule="auto"/>
        <w:tabs>
          <w:tab w:leader="none" w:pos="460" w:val="left"/>
        </w:tabs>
        <w:numPr>
          <w:ilvl w:val="0"/>
          <w:numId w:val="118"/>
        </w:numPr>
        <w:rPr>
          <w:rFonts w:ascii="Arial" w:cs="Arial" w:eastAsia="Arial" w:hAnsi="Arial"/>
          <w:sz w:val="24"/>
          <w:szCs w:val="24"/>
          <w:color w:val="auto"/>
          <w:vertAlign w:val="superscript"/>
        </w:rPr>
      </w:pPr>
      <w:r>
        <w:rPr>
          <w:rFonts w:ascii="Arial" w:cs="Arial" w:eastAsia="Arial" w:hAnsi="Arial"/>
          <w:sz w:val="12"/>
          <w:szCs w:val="12"/>
          <w:color w:val="auto"/>
        </w:rPr>
        <w:t xml:space="preserve">As of December 31, 2024, contract assets excludes $3 million that are included in Assets held for sale in the Consolidated Balance Sheet. Refer to Note 2 </w:t>
      </w:r>
      <w:r>
        <w:rPr>
          <w:rFonts w:ascii="Arial" w:cs="Arial" w:eastAsia="Arial" w:hAnsi="Arial"/>
          <w:sz w:val="12"/>
          <w:szCs w:val="12"/>
          <w:u w:val="single" w:color="auto"/>
          <w:color w:val="0000FF"/>
        </w:rPr>
        <w:t>Acquisitions, Divestitures, and Assets</w:t>
      </w:r>
      <w:r>
        <w:rPr>
          <w:rFonts w:ascii="Arial" w:cs="Arial" w:eastAsia="Arial" w:hAnsi="Arial"/>
          <w:sz w:val="12"/>
          <w:szCs w:val="12"/>
          <w:color w:val="auto"/>
        </w:rPr>
        <w:t xml:space="preserve"> </w:t>
      </w:r>
      <w:r>
        <w:rPr>
          <w:rFonts w:ascii="Arial" w:cs="Arial" w:eastAsia="Arial" w:hAnsi="Arial"/>
          <w:sz w:val="12"/>
          <w:szCs w:val="12"/>
          <w:u w:val="single" w:color="auto"/>
          <w:color w:val="0000FF"/>
        </w:rPr>
        <w:t>and Liabilities Held for Sale</w:t>
      </w:r>
      <w:r>
        <w:rPr>
          <w:rFonts w:ascii="Arial" w:cs="Arial" w:eastAsia="Arial" w:hAnsi="Arial"/>
          <w:sz w:val="12"/>
          <w:szCs w:val="12"/>
          <w:color w:val="000000"/>
        </w:rPr>
        <w:t>.</w:t>
      </w:r>
    </w:p>
    <w:p>
      <w:pPr>
        <w:spacing w:after="0" w:line="186" w:lineRule="exact"/>
        <w:rPr>
          <w:sz w:val="20"/>
          <w:szCs w:val="20"/>
          <w:color w:val="auto"/>
        </w:rPr>
      </w:pPr>
    </w:p>
    <w:p>
      <w:pPr>
        <w:ind w:left="460" w:right="20" w:hanging="324"/>
        <w:spacing w:after="0" w:line="182" w:lineRule="auto"/>
        <w:tabs>
          <w:tab w:leader="none" w:pos="460" w:val="left"/>
        </w:tabs>
        <w:numPr>
          <w:ilvl w:val="0"/>
          <w:numId w:val="119"/>
        </w:numPr>
        <w:rPr>
          <w:rFonts w:ascii="Arial" w:cs="Arial" w:eastAsia="Arial" w:hAnsi="Arial"/>
          <w:sz w:val="24"/>
          <w:szCs w:val="24"/>
          <w:color w:val="auto"/>
          <w:vertAlign w:val="superscript"/>
        </w:rPr>
      </w:pPr>
      <w:r>
        <w:rPr>
          <w:rFonts w:ascii="Arial" w:cs="Arial" w:eastAsia="Arial" w:hAnsi="Arial"/>
          <w:sz w:val="12"/>
          <w:szCs w:val="12"/>
          <w:color w:val="auto"/>
        </w:rPr>
        <w:t xml:space="preserve">As of December 31, 2024, contract liabilities excludes $21 million that are included in Liabilities held for sale in the Consolidated Balance Sheet. Refer to Note 2 </w:t>
      </w:r>
      <w:r>
        <w:rPr>
          <w:rFonts w:ascii="Arial" w:cs="Arial" w:eastAsia="Arial" w:hAnsi="Arial"/>
          <w:sz w:val="12"/>
          <w:szCs w:val="12"/>
          <w:u w:val="single" w:color="auto"/>
          <w:color w:val="0000FF"/>
        </w:rPr>
        <w:t>Acquisitions, Divestitures, and</w:t>
      </w:r>
      <w:r>
        <w:rPr>
          <w:rFonts w:ascii="Arial" w:cs="Arial" w:eastAsia="Arial" w:hAnsi="Arial"/>
          <w:sz w:val="12"/>
          <w:szCs w:val="12"/>
          <w:color w:val="auto"/>
        </w:rPr>
        <w:t xml:space="preserve"> </w:t>
      </w:r>
      <w:r>
        <w:rPr>
          <w:rFonts w:ascii="Arial" w:cs="Arial" w:eastAsia="Arial" w:hAnsi="Arial"/>
          <w:sz w:val="12"/>
          <w:szCs w:val="12"/>
          <w:u w:val="single" w:color="auto"/>
          <w:color w:val="0000FF"/>
        </w:rPr>
        <w:t>Assets and Liabilities Held for Sale</w:t>
      </w:r>
      <w:r>
        <w:rPr>
          <w:rFonts w:ascii="Arial" w:cs="Arial" w:eastAsia="Arial" w:hAnsi="Arial"/>
          <w:sz w:val="12"/>
          <w:szCs w:val="12"/>
          <w:color w:val="000000"/>
        </w:rPr>
        <w:t>.</w:t>
      </w:r>
    </w:p>
    <w:p>
      <w:pPr>
        <w:spacing w:after="0" w:line="28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For the years ended December 31, 2024, and 2023, the Company recognized revenue of $2,140 million and $2,070 million, respectively, that was previously included in the beginning balance of contract liabilities.</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Contract assets included $2,139 million and $1,949 million of unbilled balances under long-term contracts as of December 31, 2024, and 2023, respectively.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These amounts are billed in accordance with the terms of customer contracts to which they relate.</w:t>
      </w:r>
    </w:p>
    <w:p>
      <w:pPr>
        <w:spacing w:after="0" w:line="11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When contracts are modified to account for changes in contract specifications and requirements, the Company considers whether the modification either creates new or changes the existing enforceable rights and obligations. Contract modifications for goods or services and not distinct from the existing contract, due to the significant integration with the original good or service provided, are accounted for as if they were part of that existing contract. The effect of a contract modification on the transaction price and the Company's measure of progress for the performance obligation to which it relates, is recognized as an adjustment to revenue (either as an increase in or a reduction of revenue) on a cumulative catch-up basis. When the modifications include additional performance obligations that are distinct and at relative stand-alone selling price, they are accounted for as a new contract and performance obligation, which are recognized prospectively.</w:t>
      </w:r>
    </w:p>
    <w:p>
      <w:pPr>
        <w:spacing w:after="0" w:line="20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PERFORMANCE OBLIGATIONS</w:t>
      </w:r>
    </w:p>
    <w:p>
      <w:pPr>
        <w:spacing w:after="0" w:line="12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 performance obligation is a promise in a contract to transfer a distinct good or service to the customer and is defined as the unit of account. A contract’s transaction price is allocated to each distinct performance obligation and recognized as revenue when, or as, the performance obligation is satisfied. When the Company's contracts with customers require highly complex integration or manufacturing services that are not separately identifiable from other promises in the contracts and, therefore, not distinct, then the entire contract is accounted for as a single performance obligation. In situations when the Company's contracts include distinct goods or services that are substantially the same and have the same pattern of transfer to the customer over time, they are recognized as a series of distinct goods or services. For any contracts with multiple performance obligations, the Company allocates the contract’s transaction price to each performance obligation based on the estimated relative stand-alone selling price of each distinct good or service in the contract. For product sales, each product sold to a customer typically represents a distinct performance obligation. In such cases, the observable stand-alone sales are used to determine the stand-alone selling price.</w:t>
      </w:r>
    </w:p>
    <w:p>
      <w:pPr>
        <w:spacing w:after="0" w:line="6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Performance obligations are satisfied as of a point in time or over time. Performance obligations are supported by contracts with customers, providing a framework for the nature of the distinct goods, services or bundle of goods and services. The timing of satisfying the performance obligation is typically indicated by the terms of the contract.</w:t>
      </w:r>
    </w:p>
    <w:p>
      <w:pPr>
        <w:spacing w:after="0" w:line="395" w:lineRule="exact"/>
        <w:rPr>
          <w:sz w:val="20"/>
          <w:szCs w:val="20"/>
          <w:color w:val="auto"/>
        </w:rPr>
      </w:pPr>
    </w:p>
    <w:p>
      <w:pPr>
        <w:ind w:left="400" w:hanging="392"/>
        <w:spacing w:after="0"/>
        <w:tabs>
          <w:tab w:leader="none" w:pos="400" w:val="left"/>
        </w:tabs>
        <w:numPr>
          <w:ilvl w:val="0"/>
          <w:numId w:val="120"/>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70" w:name="page71"/>
    <w:bookmarkEnd w:id="70"/>
    <w:p>
      <w:pPr>
        <w:ind w:left="20"/>
        <w:spacing w:after="0"/>
        <w:tabs>
          <w:tab w:leader="none" w:pos="784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FINANCIAL STATEMENTS AND SUPPLEMENTARY DATA</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outlines the Company's remaining performance obligations disaggregated by reportable business segment: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940" w:type="dxa"/>
            <w:vAlign w:val="bottom"/>
            <w:tcBorders>
              <w:bottom w:val="single" w:sz="8" w:color="D7282F"/>
            </w:tcBorders>
          </w:tcPr>
          <w:p>
            <w:pPr>
              <w:spacing w:after="0"/>
              <w:rPr>
                <w:sz w:val="17"/>
                <w:szCs w:val="17"/>
                <w:color w:val="auto"/>
              </w:rPr>
            </w:pPr>
          </w:p>
        </w:tc>
        <w:tc>
          <w:tcPr>
            <w:tcW w:w="3780" w:type="dxa"/>
            <w:vAlign w:val="bottom"/>
            <w:tcBorders>
              <w:bottom w:val="single" w:sz="8" w:color="D7282F"/>
            </w:tcBorders>
          </w:tcPr>
          <w:p>
            <w:pPr>
              <w:spacing w:after="0"/>
              <w:rPr>
                <w:sz w:val="17"/>
                <w:szCs w:val="17"/>
                <w:color w:val="auto"/>
              </w:rPr>
            </w:pPr>
          </w:p>
        </w:tc>
        <w:tc>
          <w:tcPr>
            <w:tcW w:w="15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December 31, 2024</w:t>
            </w:r>
          </w:p>
        </w:tc>
      </w:tr>
      <w:tr>
        <w:trPr>
          <w:trHeight w:val="198"/>
        </w:trPr>
        <w:tc>
          <w:tcPr>
            <w:tcW w:w="594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Aerospace Technologies</w:t>
            </w:r>
          </w:p>
        </w:tc>
        <w:tc>
          <w:tcPr>
            <w:tcW w:w="378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15,447</w:t>
            </w:r>
          </w:p>
        </w:tc>
      </w:tr>
      <w:tr>
        <w:trPr>
          <w:trHeight w:val="196"/>
        </w:trPr>
        <w:tc>
          <w:tcPr>
            <w:tcW w:w="594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Industrial Automation</w:t>
            </w:r>
          </w:p>
        </w:tc>
        <w:tc>
          <w:tcPr>
            <w:tcW w:w="3780" w:type="dxa"/>
            <w:vAlign w:val="bottom"/>
            <w:tcBorders>
              <w:bottom w:val="single" w:sz="8" w:color="888B8D"/>
            </w:tcBorders>
          </w:tcPr>
          <w:p>
            <w:pPr>
              <w:spacing w:after="0"/>
              <w:rPr>
                <w:sz w:val="17"/>
                <w:szCs w:val="17"/>
                <w:color w:val="auto"/>
              </w:rPr>
            </w:pPr>
          </w:p>
        </w:tc>
        <w:tc>
          <w:tcPr>
            <w:tcW w:w="152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5,519</w:t>
            </w:r>
          </w:p>
        </w:tc>
      </w:tr>
      <w:tr>
        <w:trPr>
          <w:trHeight w:val="196"/>
        </w:trPr>
        <w:tc>
          <w:tcPr>
            <w:tcW w:w="594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Building Automation</w:t>
            </w:r>
          </w:p>
        </w:tc>
        <w:tc>
          <w:tcPr>
            <w:tcW w:w="3780" w:type="dxa"/>
            <w:vAlign w:val="bottom"/>
            <w:tcBorders>
              <w:bottom w:val="single" w:sz="8" w:color="888B8D"/>
            </w:tcBorders>
          </w:tcPr>
          <w:p>
            <w:pPr>
              <w:spacing w:after="0"/>
              <w:rPr>
                <w:sz w:val="17"/>
                <w:szCs w:val="17"/>
                <w:color w:val="auto"/>
              </w:rPr>
            </w:pPr>
          </w:p>
        </w:tc>
        <w:tc>
          <w:tcPr>
            <w:tcW w:w="152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8,257</w:t>
            </w:r>
          </w:p>
        </w:tc>
      </w:tr>
      <w:tr>
        <w:trPr>
          <w:trHeight w:val="196"/>
        </w:trPr>
        <w:tc>
          <w:tcPr>
            <w:tcW w:w="594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Energy and Sustainability Solutions</w:t>
            </w:r>
          </w:p>
        </w:tc>
        <w:tc>
          <w:tcPr>
            <w:tcW w:w="3780" w:type="dxa"/>
            <w:vAlign w:val="bottom"/>
            <w:tcBorders>
              <w:bottom w:val="single" w:sz="8" w:color="888B8D"/>
            </w:tcBorders>
          </w:tcPr>
          <w:p>
            <w:pPr>
              <w:spacing w:after="0"/>
              <w:rPr>
                <w:sz w:val="17"/>
                <w:szCs w:val="17"/>
                <w:color w:val="auto"/>
              </w:rPr>
            </w:pPr>
          </w:p>
        </w:tc>
        <w:tc>
          <w:tcPr>
            <w:tcW w:w="152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6,030</w:t>
            </w:r>
          </w:p>
        </w:tc>
      </w:tr>
      <w:tr>
        <w:trPr>
          <w:trHeight w:val="196"/>
        </w:trPr>
        <w:tc>
          <w:tcPr>
            <w:tcW w:w="594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Corporate and All Other</w:t>
            </w:r>
            <w:r>
              <w:rPr>
                <w:rFonts w:ascii="Arial" w:cs="Arial" w:eastAsia="Arial" w:hAnsi="Arial"/>
                <w:sz w:val="9"/>
                <w:szCs w:val="9"/>
                <w:color w:val="auto"/>
              </w:rPr>
              <w:t>1</w:t>
            </w:r>
          </w:p>
        </w:tc>
        <w:tc>
          <w:tcPr>
            <w:tcW w:w="3780" w:type="dxa"/>
            <w:vAlign w:val="bottom"/>
            <w:tcBorders>
              <w:bottom w:val="single" w:sz="8" w:color="D7282F"/>
            </w:tcBorders>
          </w:tcPr>
          <w:p>
            <w:pPr>
              <w:spacing w:after="0"/>
              <w:rPr>
                <w:sz w:val="17"/>
                <w:szCs w:val="17"/>
                <w:color w:val="auto"/>
              </w:rPr>
            </w:pPr>
          </w:p>
        </w:tc>
        <w:tc>
          <w:tcPr>
            <w:tcW w:w="15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24</w:t>
            </w:r>
          </w:p>
        </w:tc>
      </w:tr>
      <w:tr>
        <w:trPr>
          <w:trHeight w:val="199"/>
        </w:trPr>
        <w:tc>
          <w:tcPr>
            <w:tcW w:w="594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performance obligations</w:t>
            </w:r>
          </w:p>
        </w:tc>
        <w:tc>
          <w:tcPr>
            <w:tcW w:w="37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5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35,277</w:t>
            </w:r>
          </w:p>
        </w:tc>
      </w:tr>
    </w:tbl>
    <w:p>
      <w:pPr>
        <w:spacing w:after="0" w:line="50" w:lineRule="exact"/>
        <w:rPr>
          <w:sz w:val="20"/>
          <w:szCs w:val="20"/>
          <w:color w:val="auto"/>
        </w:rPr>
      </w:pPr>
    </w:p>
    <w:p>
      <w:pPr>
        <w:ind w:left="480" w:hanging="344"/>
        <w:spacing w:after="0"/>
        <w:tabs>
          <w:tab w:leader="none" w:pos="480" w:val="left"/>
        </w:tabs>
        <w:numPr>
          <w:ilvl w:val="0"/>
          <w:numId w:val="121"/>
        </w:numPr>
        <w:rPr>
          <w:rFonts w:ascii="Arial" w:cs="Arial" w:eastAsia="Arial" w:hAnsi="Arial"/>
          <w:sz w:val="25"/>
          <w:szCs w:val="25"/>
          <w:color w:val="auto"/>
          <w:vertAlign w:val="superscript"/>
        </w:rPr>
      </w:pPr>
      <w:r>
        <w:rPr>
          <w:rFonts w:ascii="Arial" w:cs="Arial" w:eastAsia="Arial" w:hAnsi="Arial"/>
          <w:sz w:val="13"/>
          <w:szCs w:val="13"/>
          <w:color w:val="auto"/>
        </w:rPr>
        <w:t>The remaining performance obligations within Corporate and All Other relate to the Quantinuum business.</w:t>
      </w:r>
    </w:p>
    <w:p>
      <w:pPr>
        <w:spacing w:after="0" w:line="28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Performance obligations recognized as of December 31, 2024, will be satisfied over the course of future periods. The Company's disclosure of the timing for satisfying the performance obligation is based on the requirements of contracts with customers. However, from time to time, these contracts may be subject to modifications, impacting the timing of satisfying the performance obligations. Performance obligations expected to be satisfied within one year and greater than one year are 54% and 46%, respectively.</w:t>
      </w:r>
    </w:p>
    <w:p>
      <w:pPr>
        <w:spacing w:after="0" w:line="6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timing of satisfaction of the Company's performance obligations does not significantly vary from the typical timing of payment. Typical payment terms of the Company's fixed price over time contracts include progress payments based on specified events or milestones or based on project progress. For some contracts, the Company may be entitled to receive an advance payment.</w:t>
      </w:r>
    </w:p>
    <w:p>
      <w:pPr>
        <w:spacing w:after="0" w:line="5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Company applied the practical expedient for certain revenue streams to exclude the value of remaining performance obligations for (i) contracts with an original expected term of one year or less or (ii) contracts for which the Company recognizes revenue in proportion to the amount the Company has the right to invoice for services performed.</w:t>
      </w:r>
    </w:p>
    <w:p>
      <w:pPr>
        <w:spacing w:after="0" w:line="227" w:lineRule="exact"/>
        <w:rPr>
          <w:sz w:val="20"/>
          <w:szCs w:val="20"/>
          <w:color w:val="auto"/>
        </w:rPr>
      </w:pPr>
    </w:p>
    <w:p>
      <w:pPr>
        <w:spacing w:after="0"/>
        <w:rPr>
          <w:sz w:val="20"/>
          <w:szCs w:val="20"/>
          <w:color w:val="auto"/>
        </w:rPr>
      </w:pPr>
      <w:r>
        <w:rPr>
          <w:rFonts w:ascii="Arial" w:cs="Arial" w:eastAsia="Arial" w:hAnsi="Arial"/>
          <w:sz w:val="29"/>
          <w:szCs w:val="29"/>
          <w:color w:val="D7282F"/>
        </w:rPr>
        <w:t>NOTE 4. REPOSITIONING AND OTHER CHARGES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A summary of net repositioning and other charges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480" w:type="dxa"/>
            <w:vAlign w:val="bottom"/>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2600" w:type="dxa"/>
            <w:vAlign w:val="bottom"/>
            <w:tcBorders>
              <w:bottom w:val="single" w:sz="8" w:color="D7282F"/>
            </w:tcBorders>
            <w:gridSpan w:val="5"/>
          </w:tcPr>
          <w:p>
            <w:pPr>
              <w:jc w:val="right"/>
              <w:ind w:right="388"/>
              <w:spacing w:after="0"/>
              <w:rPr>
                <w:sz w:val="20"/>
                <w:szCs w:val="20"/>
                <w:color w:val="auto"/>
              </w:rPr>
            </w:pPr>
            <w:r>
              <w:rPr>
                <w:rFonts w:ascii="Arial" w:cs="Arial" w:eastAsia="Arial" w:hAnsi="Arial"/>
                <w:sz w:val="14"/>
                <w:szCs w:val="14"/>
                <w:b w:val="1"/>
                <w:bCs w:val="1"/>
                <w:color w:val="auto"/>
              </w:rPr>
              <w:t>Years Ended December 31,</w:t>
            </w:r>
          </w:p>
        </w:tc>
      </w:tr>
      <w:tr>
        <w:trPr>
          <w:trHeight w:val="237"/>
        </w:trPr>
        <w:tc>
          <w:tcPr>
            <w:tcW w:w="8480" w:type="dxa"/>
            <w:vAlign w:val="bottom"/>
            <w:tcBorders>
              <w:bottom w:val="single" w:sz="8" w:color="D7282F"/>
            </w:tcBorders>
          </w:tcPr>
          <w:p>
            <w:pPr>
              <w:spacing w:after="0"/>
              <w:rPr>
                <w:sz w:val="20"/>
                <w:szCs w:val="20"/>
                <w:color w:val="auto"/>
              </w:rPr>
            </w:pPr>
          </w:p>
        </w:tc>
        <w:tc>
          <w:tcPr>
            <w:tcW w:w="160" w:type="dxa"/>
            <w:vAlign w:val="bottom"/>
            <w:tcBorders>
              <w:bottom w:val="single" w:sz="8" w:color="D7282F"/>
            </w:tcBorders>
          </w:tcPr>
          <w:p>
            <w:pPr>
              <w:spacing w:after="0"/>
              <w:rPr>
                <w:sz w:val="20"/>
                <w:szCs w:val="20"/>
                <w:color w:val="auto"/>
              </w:rPr>
            </w:pPr>
          </w:p>
        </w:tc>
        <w:tc>
          <w:tcPr>
            <w:tcW w:w="72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2024</w:t>
            </w:r>
          </w:p>
        </w:tc>
        <w:tc>
          <w:tcPr>
            <w:tcW w:w="280" w:type="dxa"/>
            <w:vAlign w:val="bottom"/>
            <w:tcBorders>
              <w:bottom w:val="single" w:sz="8" w:color="D7282F"/>
            </w:tcBorders>
          </w:tcPr>
          <w:p>
            <w:pPr>
              <w:spacing w:after="0"/>
              <w:rPr>
                <w:sz w:val="20"/>
                <w:szCs w:val="20"/>
                <w:color w:val="auto"/>
              </w:rPr>
            </w:pPr>
          </w:p>
        </w:tc>
        <w:tc>
          <w:tcPr>
            <w:tcW w:w="72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2023</w:t>
            </w:r>
          </w:p>
        </w:tc>
        <w:tc>
          <w:tcPr>
            <w:tcW w:w="280" w:type="dxa"/>
            <w:vAlign w:val="bottom"/>
            <w:tcBorders>
              <w:bottom w:val="single" w:sz="8" w:color="D7282F"/>
            </w:tcBorders>
          </w:tcPr>
          <w:p>
            <w:pPr>
              <w:spacing w:after="0"/>
              <w:rPr>
                <w:sz w:val="20"/>
                <w:szCs w:val="20"/>
                <w:color w:val="auto"/>
              </w:rPr>
            </w:pPr>
          </w:p>
        </w:tc>
        <w:tc>
          <w:tcPr>
            <w:tcW w:w="60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2022</w:t>
            </w:r>
          </w:p>
        </w:tc>
      </w:tr>
      <w:tr>
        <w:trPr>
          <w:trHeight w:val="193"/>
        </w:trPr>
        <w:tc>
          <w:tcPr>
            <w:tcW w:w="8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Severance</w:t>
            </w:r>
          </w:p>
        </w:tc>
        <w:tc>
          <w:tcPr>
            <w:tcW w:w="1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136</w:t>
            </w:r>
          </w:p>
        </w:tc>
        <w:tc>
          <w:tcPr>
            <w:tcW w:w="280" w:type="dxa"/>
            <w:vAlign w:val="bottom"/>
            <w:tcBorders>
              <w:bottom w:val="single" w:sz="8" w:color="888B8D"/>
            </w:tcBorders>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162</w:t>
            </w:r>
          </w:p>
        </w:tc>
        <w:tc>
          <w:tcPr>
            <w:tcW w:w="280" w:type="dxa"/>
            <w:vAlign w:val="bottom"/>
            <w:tcBorders>
              <w:bottom w:val="single" w:sz="8" w:color="888B8D"/>
            </w:tcBorders>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122</w:t>
            </w:r>
          </w:p>
        </w:tc>
      </w:tr>
      <w:tr>
        <w:trPr>
          <w:trHeight w:val="196"/>
        </w:trPr>
        <w:tc>
          <w:tcPr>
            <w:tcW w:w="8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Asset impairments</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22</w:t>
            </w:r>
          </w:p>
        </w:tc>
        <w:tc>
          <w:tcPr>
            <w:tcW w:w="28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41</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176</w:t>
            </w:r>
          </w:p>
        </w:tc>
      </w:tr>
      <w:tr>
        <w:trPr>
          <w:trHeight w:val="196"/>
        </w:trPr>
        <w:tc>
          <w:tcPr>
            <w:tcW w:w="8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Exit costs</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68</w:t>
            </w:r>
          </w:p>
        </w:tc>
        <w:tc>
          <w:tcPr>
            <w:tcW w:w="28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139</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122</w:t>
            </w:r>
          </w:p>
        </w:tc>
      </w:tr>
      <w:tr>
        <w:trPr>
          <w:trHeight w:val="196"/>
        </w:trPr>
        <w:tc>
          <w:tcPr>
            <w:tcW w:w="84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Reserve adjustments</w:t>
            </w:r>
          </w:p>
        </w:tc>
        <w:tc>
          <w:tcPr>
            <w:tcW w:w="1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(97)</w:t>
            </w:r>
          </w:p>
        </w:tc>
        <w:tc>
          <w:tcPr>
            <w:tcW w:w="28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(56)</w:t>
            </w:r>
          </w:p>
        </w:tc>
        <w:tc>
          <w:tcPr>
            <w:tcW w:w="28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(56)</w:t>
            </w:r>
          </w:p>
        </w:tc>
      </w:tr>
      <w:tr>
        <w:trPr>
          <w:trHeight w:val="199"/>
        </w:trPr>
        <w:tc>
          <w:tcPr>
            <w:tcW w:w="848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net repositioning charges</w:t>
            </w:r>
          </w:p>
        </w:tc>
        <w:tc>
          <w:tcPr>
            <w:tcW w:w="1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129</w:t>
            </w:r>
          </w:p>
        </w:tc>
        <w:tc>
          <w:tcPr>
            <w:tcW w:w="28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286</w:t>
            </w:r>
          </w:p>
        </w:tc>
        <w:tc>
          <w:tcPr>
            <w:tcW w:w="28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364</w:t>
            </w:r>
          </w:p>
        </w:tc>
      </w:tr>
      <w:tr>
        <w:trPr>
          <w:trHeight w:val="193"/>
        </w:trPr>
        <w:tc>
          <w:tcPr>
            <w:tcW w:w="8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Asbestos-related charges, net of insurance and reimbursements</w:t>
            </w:r>
          </w:p>
        </w:tc>
        <w:tc>
          <w:tcPr>
            <w:tcW w:w="160" w:type="dxa"/>
            <w:vAlign w:val="bottom"/>
            <w:tcBorders>
              <w:bottom w:val="single" w:sz="8" w:color="888B8D"/>
            </w:tcBorders>
          </w:tcPr>
          <w:p>
            <w:pPr>
              <w:spacing w:after="0"/>
              <w:rPr>
                <w:sz w:val="16"/>
                <w:szCs w:val="16"/>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61</w:t>
            </w:r>
          </w:p>
        </w:tc>
        <w:tc>
          <w:tcPr>
            <w:tcW w:w="280" w:type="dxa"/>
            <w:vAlign w:val="bottom"/>
            <w:tcBorders>
              <w:bottom w:val="single" w:sz="8" w:color="888B8D"/>
            </w:tcBorders>
          </w:tcPr>
          <w:p>
            <w:pPr>
              <w:spacing w:after="0"/>
              <w:rPr>
                <w:sz w:val="16"/>
                <w:szCs w:val="16"/>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534</w:t>
            </w:r>
          </w:p>
        </w:tc>
        <w:tc>
          <w:tcPr>
            <w:tcW w:w="280" w:type="dxa"/>
            <w:vAlign w:val="bottom"/>
            <w:tcBorders>
              <w:bottom w:val="single" w:sz="8" w:color="888B8D"/>
            </w:tcBorders>
          </w:tcPr>
          <w:p>
            <w:pPr>
              <w:spacing w:after="0"/>
              <w:rPr>
                <w:sz w:val="16"/>
                <w:szCs w:val="16"/>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532</w:t>
            </w:r>
          </w:p>
        </w:tc>
      </w:tr>
      <w:tr>
        <w:trPr>
          <w:trHeight w:val="196"/>
        </w:trPr>
        <w:tc>
          <w:tcPr>
            <w:tcW w:w="8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Probable and reasonably estimable environmental liabilities, net of reimbursements</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37</w:t>
            </w:r>
          </w:p>
        </w:tc>
        <w:tc>
          <w:tcPr>
            <w:tcW w:w="28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44</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28</w:t>
            </w:r>
          </w:p>
        </w:tc>
      </w:tr>
      <w:tr>
        <w:trPr>
          <w:trHeight w:val="196"/>
        </w:trPr>
        <w:tc>
          <w:tcPr>
            <w:tcW w:w="84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Other charges</w:t>
            </w:r>
          </w:p>
        </w:tc>
        <w:tc>
          <w:tcPr>
            <w:tcW w:w="1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17</w:t>
            </w:r>
          </w:p>
        </w:tc>
        <w:tc>
          <w:tcPr>
            <w:tcW w:w="28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(4)</w:t>
            </w:r>
          </w:p>
        </w:tc>
        <w:tc>
          <w:tcPr>
            <w:tcW w:w="28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342</w:t>
            </w:r>
          </w:p>
        </w:tc>
      </w:tr>
      <w:tr>
        <w:trPr>
          <w:trHeight w:val="199"/>
        </w:trPr>
        <w:tc>
          <w:tcPr>
            <w:tcW w:w="848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net repositioning and other charges</w:t>
            </w: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244</w:t>
            </w:r>
          </w:p>
        </w:tc>
        <w:tc>
          <w:tcPr>
            <w:tcW w:w="2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860</w:t>
            </w:r>
          </w:p>
        </w:tc>
        <w:tc>
          <w:tcPr>
            <w:tcW w:w="2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1,266</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pre-tax distribution of total net repositioning and other charges by classification in the Consolidated Statement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Operations: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480" w:type="dxa"/>
            <w:vAlign w:val="bottom"/>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2600" w:type="dxa"/>
            <w:vAlign w:val="bottom"/>
            <w:tcBorders>
              <w:bottom w:val="single" w:sz="8" w:color="D7282F"/>
            </w:tcBorders>
            <w:gridSpan w:val="5"/>
          </w:tcPr>
          <w:p>
            <w:pPr>
              <w:jc w:val="right"/>
              <w:ind w:right="388"/>
              <w:spacing w:after="0"/>
              <w:rPr>
                <w:sz w:val="20"/>
                <w:szCs w:val="20"/>
                <w:color w:val="auto"/>
              </w:rPr>
            </w:pPr>
            <w:r>
              <w:rPr>
                <w:rFonts w:ascii="Arial" w:cs="Arial" w:eastAsia="Arial" w:hAnsi="Arial"/>
                <w:sz w:val="14"/>
                <w:szCs w:val="14"/>
                <w:b w:val="1"/>
                <w:bCs w:val="1"/>
                <w:color w:val="auto"/>
              </w:rPr>
              <w:t>Years Ended December 31,</w:t>
            </w:r>
          </w:p>
        </w:tc>
      </w:tr>
      <w:tr>
        <w:trPr>
          <w:trHeight w:val="237"/>
        </w:trPr>
        <w:tc>
          <w:tcPr>
            <w:tcW w:w="8480" w:type="dxa"/>
            <w:vAlign w:val="bottom"/>
            <w:tcBorders>
              <w:bottom w:val="single" w:sz="8" w:color="D7282F"/>
            </w:tcBorders>
          </w:tcPr>
          <w:p>
            <w:pPr>
              <w:spacing w:after="0"/>
              <w:rPr>
                <w:sz w:val="20"/>
                <w:szCs w:val="20"/>
                <w:color w:val="auto"/>
              </w:rPr>
            </w:pPr>
          </w:p>
        </w:tc>
        <w:tc>
          <w:tcPr>
            <w:tcW w:w="160" w:type="dxa"/>
            <w:vAlign w:val="bottom"/>
            <w:tcBorders>
              <w:bottom w:val="single" w:sz="8" w:color="D7282F"/>
            </w:tcBorders>
          </w:tcPr>
          <w:p>
            <w:pPr>
              <w:spacing w:after="0"/>
              <w:rPr>
                <w:sz w:val="20"/>
                <w:szCs w:val="20"/>
                <w:color w:val="auto"/>
              </w:rPr>
            </w:pPr>
          </w:p>
        </w:tc>
        <w:tc>
          <w:tcPr>
            <w:tcW w:w="700" w:type="dxa"/>
            <w:vAlign w:val="bottom"/>
            <w:tcBorders>
              <w:bottom w:val="single" w:sz="8" w:color="D7282F"/>
            </w:tcBorders>
          </w:tcPr>
          <w:p>
            <w:pPr>
              <w:jc w:val="right"/>
              <w:ind w:right="248"/>
              <w:spacing w:after="0"/>
              <w:rPr>
                <w:sz w:val="20"/>
                <w:szCs w:val="20"/>
                <w:color w:val="auto"/>
              </w:rPr>
            </w:pPr>
            <w:r>
              <w:rPr>
                <w:rFonts w:ascii="Arial" w:cs="Arial" w:eastAsia="Arial" w:hAnsi="Arial"/>
                <w:sz w:val="14"/>
                <w:szCs w:val="14"/>
                <w:b w:val="1"/>
                <w:bCs w:val="1"/>
                <w:color w:val="auto"/>
              </w:rPr>
              <w:t>2024</w:t>
            </w:r>
          </w:p>
        </w:tc>
        <w:tc>
          <w:tcPr>
            <w:tcW w:w="300" w:type="dxa"/>
            <w:vAlign w:val="bottom"/>
            <w:tcBorders>
              <w:bottom w:val="single" w:sz="8" w:color="D7282F"/>
            </w:tcBorders>
          </w:tcPr>
          <w:p>
            <w:pPr>
              <w:spacing w:after="0"/>
              <w:rPr>
                <w:sz w:val="20"/>
                <w:szCs w:val="20"/>
                <w:color w:val="auto"/>
              </w:rPr>
            </w:pPr>
          </w:p>
        </w:tc>
        <w:tc>
          <w:tcPr>
            <w:tcW w:w="700" w:type="dxa"/>
            <w:vAlign w:val="bottom"/>
            <w:tcBorders>
              <w:bottom w:val="single" w:sz="8" w:color="D7282F"/>
            </w:tcBorders>
          </w:tcPr>
          <w:p>
            <w:pPr>
              <w:jc w:val="right"/>
              <w:ind w:right="248"/>
              <w:spacing w:after="0"/>
              <w:rPr>
                <w:sz w:val="20"/>
                <w:szCs w:val="20"/>
                <w:color w:val="auto"/>
              </w:rPr>
            </w:pPr>
            <w:r>
              <w:rPr>
                <w:rFonts w:ascii="Arial" w:cs="Arial" w:eastAsia="Arial" w:hAnsi="Arial"/>
                <w:sz w:val="14"/>
                <w:szCs w:val="14"/>
                <w:b w:val="1"/>
                <w:bCs w:val="1"/>
                <w:color w:val="auto"/>
              </w:rPr>
              <w:t>2023</w:t>
            </w:r>
          </w:p>
        </w:tc>
        <w:tc>
          <w:tcPr>
            <w:tcW w:w="300" w:type="dxa"/>
            <w:vAlign w:val="bottom"/>
            <w:tcBorders>
              <w:bottom w:val="single" w:sz="8" w:color="D7282F"/>
            </w:tcBorders>
          </w:tcPr>
          <w:p>
            <w:pPr>
              <w:spacing w:after="0"/>
              <w:rPr>
                <w:sz w:val="20"/>
                <w:szCs w:val="20"/>
                <w:color w:val="auto"/>
              </w:rPr>
            </w:pPr>
          </w:p>
        </w:tc>
        <w:tc>
          <w:tcPr>
            <w:tcW w:w="60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2022</w:t>
            </w:r>
          </w:p>
        </w:tc>
      </w:tr>
      <w:tr>
        <w:trPr>
          <w:trHeight w:val="198"/>
        </w:trPr>
        <w:tc>
          <w:tcPr>
            <w:tcW w:w="8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Cost of products and services sold</w:t>
            </w:r>
          </w:p>
        </w:tc>
        <w:tc>
          <w:tcPr>
            <w:tcW w:w="1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109</w:t>
            </w:r>
          </w:p>
        </w:tc>
        <w:tc>
          <w:tcPr>
            <w:tcW w:w="3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680</w:t>
            </w:r>
          </w:p>
        </w:tc>
        <w:tc>
          <w:tcPr>
            <w:tcW w:w="3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572</w:t>
            </w:r>
          </w:p>
        </w:tc>
      </w:tr>
      <w:tr>
        <w:trPr>
          <w:trHeight w:val="196"/>
        </w:trPr>
        <w:tc>
          <w:tcPr>
            <w:tcW w:w="8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Selling, general and administrative expenses</w:t>
            </w:r>
          </w:p>
        </w:tc>
        <w:tc>
          <w:tcPr>
            <w:tcW w:w="160" w:type="dxa"/>
            <w:vAlign w:val="bottom"/>
            <w:tcBorders>
              <w:bottom w:val="single" w:sz="8" w:color="61656A"/>
            </w:tcBorders>
          </w:tcPr>
          <w:p>
            <w:pPr>
              <w:spacing w:after="0"/>
              <w:rPr>
                <w:sz w:val="17"/>
                <w:szCs w:val="17"/>
                <w:color w:val="auto"/>
              </w:rPr>
            </w:pPr>
          </w:p>
        </w:tc>
        <w:tc>
          <w:tcPr>
            <w:tcW w:w="70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118</w:t>
            </w:r>
          </w:p>
        </w:tc>
        <w:tc>
          <w:tcPr>
            <w:tcW w:w="300" w:type="dxa"/>
            <w:vAlign w:val="bottom"/>
            <w:tcBorders>
              <w:bottom w:val="single" w:sz="8" w:color="61656A"/>
            </w:tcBorders>
          </w:tcPr>
          <w:p>
            <w:pPr>
              <w:spacing w:after="0"/>
              <w:rPr>
                <w:sz w:val="17"/>
                <w:szCs w:val="17"/>
                <w:color w:val="auto"/>
              </w:rPr>
            </w:pPr>
          </w:p>
        </w:tc>
        <w:tc>
          <w:tcPr>
            <w:tcW w:w="70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172</w:t>
            </w:r>
          </w:p>
        </w:tc>
        <w:tc>
          <w:tcPr>
            <w:tcW w:w="30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309</w:t>
            </w:r>
          </w:p>
        </w:tc>
      </w:tr>
      <w:tr>
        <w:trPr>
          <w:trHeight w:val="196"/>
        </w:trPr>
        <w:tc>
          <w:tcPr>
            <w:tcW w:w="84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Other (income) expense</w:t>
            </w:r>
          </w:p>
        </w:tc>
        <w:tc>
          <w:tcPr>
            <w:tcW w:w="16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17</w:t>
            </w:r>
          </w:p>
        </w:tc>
        <w:tc>
          <w:tcPr>
            <w:tcW w:w="30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8</w:t>
            </w:r>
          </w:p>
        </w:tc>
        <w:tc>
          <w:tcPr>
            <w:tcW w:w="30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385</w:t>
            </w:r>
          </w:p>
        </w:tc>
      </w:tr>
      <w:tr>
        <w:trPr>
          <w:trHeight w:val="199"/>
        </w:trPr>
        <w:tc>
          <w:tcPr>
            <w:tcW w:w="848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net repositioning and other charges</w:t>
            </w: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244</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860</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1,266</w:t>
            </w:r>
          </w:p>
        </w:tc>
      </w:tr>
    </w:tbl>
    <w:p>
      <w:pPr>
        <w:spacing w:after="0" w:line="200" w:lineRule="exact"/>
        <w:rPr>
          <w:sz w:val="20"/>
          <w:szCs w:val="20"/>
          <w:color w:val="auto"/>
        </w:rPr>
      </w:pPr>
    </w:p>
    <w:p>
      <w:pPr>
        <w:spacing w:after="0" w:line="30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D7282F"/>
        </w:rPr>
        <w:t>69</w:t>
      </w:r>
      <w:r>
        <w:rPr>
          <w:sz w:val="20"/>
          <w:szCs w:val="20"/>
          <w:color w:val="auto"/>
        </w:rPr>
        <w:tab/>
      </w: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71" w:name="page72"/>
    <w:bookmarkEnd w:id="71"/>
    <w:p>
      <w:pPr>
        <w:ind w:left="20"/>
        <w:spacing w:after="0"/>
        <w:tabs>
          <w:tab w:leader="none" w:pos="784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FINANCIAL STATEMENTS AND SUPPLEMENTARY DATA</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The following table summarizes the pre-tax amount of total net repositioning and other charges by reportable business segment. These amounts are excluded from segment profit as described in Note 22 </w:t>
      </w:r>
      <w:r>
        <w:rPr>
          <w:rFonts w:ascii="Arial" w:cs="Arial" w:eastAsia="Arial" w:hAnsi="Arial"/>
          <w:sz w:val="16"/>
          <w:szCs w:val="16"/>
          <w:u w:val="single" w:color="auto"/>
          <w:color w:val="0000FF"/>
        </w:rPr>
        <w:t>Segment Financial Data</w:t>
      </w:r>
      <w:r>
        <w:rPr>
          <w:rFonts w:ascii="Arial" w:cs="Arial" w:eastAsia="Arial" w:hAnsi="Arial"/>
          <w:sz w:val="16"/>
          <w:szCs w:val="16"/>
          <w:color w:val="auto"/>
        </w:rPr>
        <w:t>:</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480" w:type="dxa"/>
            <w:vAlign w:val="bottom"/>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2600" w:type="dxa"/>
            <w:vAlign w:val="bottom"/>
            <w:tcBorders>
              <w:bottom w:val="single" w:sz="8" w:color="D7282F"/>
            </w:tcBorders>
            <w:gridSpan w:val="5"/>
          </w:tcPr>
          <w:p>
            <w:pPr>
              <w:jc w:val="right"/>
              <w:ind w:right="388"/>
              <w:spacing w:after="0"/>
              <w:rPr>
                <w:sz w:val="20"/>
                <w:szCs w:val="20"/>
                <w:color w:val="auto"/>
              </w:rPr>
            </w:pPr>
            <w:r>
              <w:rPr>
                <w:rFonts w:ascii="Arial" w:cs="Arial" w:eastAsia="Arial" w:hAnsi="Arial"/>
                <w:sz w:val="14"/>
                <w:szCs w:val="14"/>
                <w:b w:val="1"/>
                <w:bCs w:val="1"/>
                <w:color w:val="auto"/>
              </w:rPr>
              <w:t>Years Ended December 31,</w:t>
            </w:r>
          </w:p>
        </w:tc>
      </w:tr>
      <w:tr>
        <w:trPr>
          <w:trHeight w:val="236"/>
        </w:trPr>
        <w:tc>
          <w:tcPr>
            <w:tcW w:w="8480" w:type="dxa"/>
            <w:vAlign w:val="bottom"/>
            <w:tcBorders>
              <w:bottom w:val="single" w:sz="8" w:color="D7282F"/>
            </w:tcBorders>
          </w:tcPr>
          <w:p>
            <w:pPr>
              <w:spacing w:after="0"/>
              <w:rPr>
                <w:sz w:val="20"/>
                <w:szCs w:val="20"/>
                <w:color w:val="auto"/>
              </w:rPr>
            </w:pPr>
          </w:p>
        </w:tc>
        <w:tc>
          <w:tcPr>
            <w:tcW w:w="160" w:type="dxa"/>
            <w:vAlign w:val="bottom"/>
            <w:tcBorders>
              <w:bottom w:val="single" w:sz="8" w:color="D7282F"/>
            </w:tcBorders>
          </w:tcPr>
          <w:p>
            <w:pPr>
              <w:spacing w:after="0"/>
              <w:rPr>
                <w:sz w:val="20"/>
                <w:szCs w:val="20"/>
                <w:color w:val="auto"/>
              </w:rPr>
            </w:pPr>
          </w:p>
        </w:tc>
        <w:tc>
          <w:tcPr>
            <w:tcW w:w="72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2024</w:t>
            </w:r>
          </w:p>
        </w:tc>
        <w:tc>
          <w:tcPr>
            <w:tcW w:w="280" w:type="dxa"/>
            <w:vAlign w:val="bottom"/>
            <w:tcBorders>
              <w:bottom w:val="single" w:sz="8" w:color="D7282F"/>
            </w:tcBorders>
          </w:tcPr>
          <w:p>
            <w:pPr>
              <w:spacing w:after="0"/>
              <w:rPr>
                <w:sz w:val="20"/>
                <w:szCs w:val="20"/>
                <w:color w:val="auto"/>
              </w:rPr>
            </w:pPr>
          </w:p>
        </w:tc>
        <w:tc>
          <w:tcPr>
            <w:tcW w:w="700" w:type="dxa"/>
            <w:vAlign w:val="bottom"/>
            <w:tcBorders>
              <w:bottom w:val="single" w:sz="8" w:color="D7282F"/>
            </w:tcBorders>
          </w:tcPr>
          <w:p>
            <w:pPr>
              <w:jc w:val="right"/>
              <w:ind w:right="248"/>
              <w:spacing w:after="0"/>
              <w:rPr>
                <w:sz w:val="20"/>
                <w:szCs w:val="20"/>
                <w:color w:val="auto"/>
              </w:rPr>
            </w:pPr>
            <w:r>
              <w:rPr>
                <w:rFonts w:ascii="Arial" w:cs="Arial" w:eastAsia="Arial" w:hAnsi="Arial"/>
                <w:sz w:val="14"/>
                <w:szCs w:val="14"/>
                <w:b w:val="1"/>
                <w:bCs w:val="1"/>
                <w:color w:val="auto"/>
              </w:rPr>
              <w:t>2023</w:t>
            </w:r>
          </w:p>
        </w:tc>
        <w:tc>
          <w:tcPr>
            <w:tcW w:w="300" w:type="dxa"/>
            <w:vAlign w:val="bottom"/>
            <w:tcBorders>
              <w:bottom w:val="single" w:sz="8" w:color="D7282F"/>
            </w:tcBorders>
          </w:tcPr>
          <w:p>
            <w:pPr>
              <w:spacing w:after="0"/>
              <w:rPr>
                <w:sz w:val="20"/>
                <w:szCs w:val="20"/>
                <w:color w:val="auto"/>
              </w:rPr>
            </w:pPr>
          </w:p>
        </w:tc>
        <w:tc>
          <w:tcPr>
            <w:tcW w:w="60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2022</w:t>
            </w:r>
          </w:p>
        </w:tc>
      </w:tr>
      <w:tr>
        <w:trPr>
          <w:trHeight w:val="199"/>
        </w:trPr>
        <w:tc>
          <w:tcPr>
            <w:tcW w:w="8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Aerospace Technologies</w:t>
            </w:r>
          </w:p>
        </w:tc>
        <w:tc>
          <w:tcPr>
            <w:tcW w:w="1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(3)</w:t>
            </w:r>
          </w:p>
        </w:tc>
        <w:tc>
          <w:tcPr>
            <w:tcW w:w="280" w:type="dxa"/>
            <w:vAlign w:val="bottom"/>
            <w:tcBorders>
              <w:bottom w:val="single" w:sz="8" w:color="888B8D"/>
            </w:tcBorders>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23</w:t>
            </w:r>
          </w:p>
        </w:tc>
        <w:tc>
          <w:tcPr>
            <w:tcW w:w="300" w:type="dxa"/>
            <w:vAlign w:val="bottom"/>
            <w:tcBorders>
              <w:bottom w:val="single" w:sz="8" w:color="888B8D"/>
            </w:tcBorders>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41</w:t>
            </w:r>
          </w:p>
        </w:tc>
      </w:tr>
      <w:tr>
        <w:trPr>
          <w:trHeight w:val="196"/>
        </w:trPr>
        <w:tc>
          <w:tcPr>
            <w:tcW w:w="8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Industrial Automation</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60</w:t>
            </w:r>
          </w:p>
        </w:tc>
        <w:tc>
          <w:tcPr>
            <w:tcW w:w="280" w:type="dxa"/>
            <w:vAlign w:val="bottom"/>
            <w:tcBorders>
              <w:bottom w:val="single" w:sz="8" w:color="888B8D"/>
            </w:tcBorders>
          </w:tcPr>
          <w:p>
            <w:pPr>
              <w:spacing w:after="0"/>
              <w:rPr>
                <w:sz w:val="17"/>
                <w:szCs w:val="17"/>
                <w:color w:val="auto"/>
              </w:rPr>
            </w:pPr>
          </w:p>
        </w:tc>
        <w:tc>
          <w:tcPr>
            <w:tcW w:w="70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139</w:t>
            </w:r>
          </w:p>
        </w:tc>
        <w:tc>
          <w:tcPr>
            <w:tcW w:w="30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395</w:t>
            </w:r>
          </w:p>
        </w:tc>
      </w:tr>
      <w:tr>
        <w:trPr>
          <w:trHeight w:val="196"/>
        </w:trPr>
        <w:tc>
          <w:tcPr>
            <w:tcW w:w="8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Building Automation</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25</w:t>
            </w:r>
          </w:p>
        </w:tc>
        <w:tc>
          <w:tcPr>
            <w:tcW w:w="280" w:type="dxa"/>
            <w:vAlign w:val="bottom"/>
            <w:tcBorders>
              <w:bottom w:val="single" w:sz="8" w:color="888B8D"/>
            </w:tcBorders>
          </w:tcPr>
          <w:p>
            <w:pPr>
              <w:spacing w:after="0"/>
              <w:rPr>
                <w:sz w:val="17"/>
                <w:szCs w:val="17"/>
                <w:color w:val="auto"/>
              </w:rPr>
            </w:pPr>
          </w:p>
        </w:tc>
        <w:tc>
          <w:tcPr>
            <w:tcW w:w="70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58</w:t>
            </w:r>
          </w:p>
        </w:tc>
        <w:tc>
          <w:tcPr>
            <w:tcW w:w="30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63</w:t>
            </w:r>
          </w:p>
        </w:tc>
      </w:tr>
      <w:tr>
        <w:trPr>
          <w:trHeight w:val="196"/>
        </w:trPr>
        <w:tc>
          <w:tcPr>
            <w:tcW w:w="8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Energy and Sustainability Solutions</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23</w:t>
            </w:r>
          </w:p>
        </w:tc>
        <w:tc>
          <w:tcPr>
            <w:tcW w:w="280" w:type="dxa"/>
            <w:vAlign w:val="bottom"/>
            <w:tcBorders>
              <w:bottom w:val="single" w:sz="8" w:color="888B8D"/>
            </w:tcBorders>
          </w:tcPr>
          <w:p>
            <w:pPr>
              <w:spacing w:after="0"/>
              <w:rPr>
                <w:sz w:val="17"/>
                <w:szCs w:val="17"/>
                <w:color w:val="auto"/>
              </w:rPr>
            </w:pPr>
          </w:p>
        </w:tc>
        <w:tc>
          <w:tcPr>
            <w:tcW w:w="70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23</w:t>
            </w:r>
          </w:p>
        </w:tc>
        <w:tc>
          <w:tcPr>
            <w:tcW w:w="30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125</w:t>
            </w:r>
          </w:p>
        </w:tc>
      </w:tr>
      <w:tr>
        <w:trPr>
          <w:trHeight w:val="196"/>
        </w:trPr>
        <w:tc>
          <w:tcPr>
            <w:tcW w:w="84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Corporate and All Other</w:t>
            </w:r>
          </w:p>
        </w:tc>
        <w:tc>
          <w:tcPr>
            <w:tcW w:w="1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139</w:t>
            </w:r>
          </w:p>
        </w:tc>
        <w:tc>
          <w:tcPr>
            <w:tcW w:w="28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617</w:t>
            </w:r>
          </w:p>
        </w:tc>
        <w:tc>
          <w:tcPr>
            <w:tcW w:w="30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642</w:t>
            </w:r>
          </w:p>
        </w:tc>
      </w:tr>
      <w:tr>
        <w:trPr>
          <w:trHeight w:val="199"/>
        </w:trPr>
        <w:tc>
          <w:tcPr>
            <w:tcW w:w="848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net repositioning and other charges</w:t>
            </w: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244</w:t>
            </w:r>
          </w:p>
        </w:tc>
        <w:tc>
          <w:tcPr>
            <w:tcW w:w="2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860</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1,266</w:t>
            </w:r>
          </w:p>
        </w:tc>
      </w:tr>
    </w:tbl>
    <w:p>
      <w:pPr>
        <w:spacing w:after="0" w:line="31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NET REPOSITIONING CHARGES</w:t>
      </w:r>
    </w:p>
    <w:p>
      <w:pPr>
        <w:spacing w:after="0" w:line="128"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In 2024, the Company recognized gross repositioning charges totaling $226 million, including severance costs of $136 million related to workforce reductions of 3,486 manufacturing and administrative positions mainly in the Company's Industrial Automation reportable business segment and corporate function. The workforce reductions related to productivity and ongoing functional transformation initiatives. The repositioning charges included asset impairments of $22 million related to the write-down of certain assets primarily within the Company's Building Automation reportable business segment. The repositioning charges included exit costs of $68 million related to current period costs incurred for closure obligations associated with site transitions in the Company's Industrial Automation reportable business segment and corporate function. Also, $97 million of previously established reserves, primarily for severance, were returned to income due to higher-than-expected voluntary exits and adjustments to the scope of previously announced repositioning actions.</w:t>
      </w:r>
    </w:p>
    <w:p>
      <w:pPr>
        <w:spacing w:after="0" w:line="66"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In 2023, the Company recognized gross repositioning charges totaling $342 million, including severance costs of $162 million related to workforce reductions of 5,854 manufacturing and administrative positions mainly in the Company's Industrial Automation and Building Automation reportable business segments. The workforce reductions related to productivity and ongoing functional transformation initiatives. The repositioning charges included asset impairments of $41 million related to the write-down of certain assets within the Company's Industrial Automation reportable business segment and corporate function. The repositioning charges included exit costs of $139 million related to current period costs incurred for closure obligations associated with site transitions in the Company's Industrial Automation reportable business segment. Also, $56 million of previously established reserves, primarily for severance, were returned to income due to higher-than-expected voluntary exits and adjustments to the scope of previously announced repositioning actions.</w:t>
      </w:r>
    </w:p>
    <w:p>
      <w:pPr>
        <w:spacing w:after="0" w:line="66"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In 2022, the Company recognized gross repositioning charges totaling $420 million, including severance costs of $122 million related to workforce reductions of 4,345 manufacturing and administrative positions mainly in the Company's Industrial Automation reportable business segment. The workforce reductions related to productivity and ongoing functional transformation initiatives. The repositioning charges included asset impairments of $176 million related to the write-down of certain manufacturing and other equipment, primarily related to closing and relocating the production of certain respiratory manufacturing from a U.S.-based facility to a non-U.S. facility in the Company's Industrial Automation reportable business segment. The repositioning charges included exit costs of $122 million related to current period costs incurred for closure obligations associated with site transitions in the Company's Energy and Sustainability Solutions, Aerospace Technologies, and Industrial Automation reportable business segments. Also, $56 million of previously established reserves, primarily for severance, were returned to income due to higher-than-expected voluntary exits and adjustments to the scope of previously announced repositioning actions.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0" w:hanging="392"/>
        <w:spacing w:after="0"/>
        <w:tabs>
          <w:tab w:leader="none" w:pos="400" w:val="left"/>
        </w:tabs>
        <w:numPr>
          <w:ilvl w:val="0"/>
          <w:numId w:val="122"/>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72" w:name="page73"/>
    <w:bookmarkEnd w:id="72"/>
    <w:p>
      <w:pPr>
        <w:ind w:left="20"/>
        <w:spacing w:after="0"/>
        <w:tabs>
          <w:tab w:leader="none" w:pos="784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FINANCIAL STATEMENTS AND SUPPLEMENTARY DATA</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status of the Company's total repositioning reserves: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4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100" w:type="dxa"/>
            <w:vAlign w:val="bottom"/>
          </w:tcPr>
          <w:p>
            <w:pPr>
              <w:jc w:val="right"/>
              <w:ind w:right="248"/>
              <w:spacing w:after="0"/>
              <w:rPr>
                <w:sz w:val="20"/>
                <w:szCs w:val="20"/>
                <w:color w:val="auto"/>
              </w:rPr>
            </w:pPr>
            <w:r>
              <w:rPr>
                <w:rFonts w:ascii="Arial" w:cs="Arial" w:eastAsia="Arial" w:hAnsi="Arial"/>
                <w:sz w:val="14"/>
                <w:szCs w:val="14"/>
                <w:b w:val="1"/>
                <w:bCs w:val="1"/>
                <w:color w:val="auto"/>
              </w:rPr>
              <w:t>Severance</w:t>
            </w:r>
          </w:p>
        </w:tc>
        <w:tc>
          <w:tcPr>
            <w:tcW w:w="240" w:type="dxa"/>
            <w:vAlign w:val="bottom"/>
          </w:tcPr>
          <w:p>
            <w:pPr>
              <w:spacing w:after="0"/>
              <w:rPr>
                <w:sz w:val="15"/>
                <w:szCs w:val="15"/>
                <w:color w:val="auto"/>
              </w:rPr>
            </w:pPr>
          </w:p>
        </w:tc>
        <w:tc>
          <w:tcPr>
            <w:tcW w:w="1140" w:type="dxa"/>
            <w:vAlign w:val="bottom"/>
          </w:tcPr>
          <w:p>
            <w:pPr>
              <w:jc w:val="right"/>
              <w:ind w:right="428"/>
              <w:spacing w:after="0"/>
              <w:rPr>
                <w:sz w:val="20"/>
                <w:szCs w:val="20"/>
                <w:color w:val="auto"/>
              </w:rPr>
            </w:pPr>
            <w:r>
              <w:rPr>
                <w:rFonts w:ascii="Arial" w:cs="Arial" w:eastAsia="Arial" w:hAnsi="Arial"/>
                <w:sz w:val="14"/>
                <w:szCs w:val="14"/>
                <w:b w:val="1"/>
                <w:bCs w:val="1"/>
                <w:color w:val="auto"/>
              </w:rPr>
              <w:t>Asset</w:t>
            </w:r>
          </w:p>
        </w:tc>
        <w:tc>
          <w:tcPr>
            <w:tcW w:w="360" w:type="dxa"/>
            <w:vAlign w:val="bottom"/>
          </w:tcPr>
          <w:p>
            <w:pPr>
              <w:spacing w:after="0"/>
              <w:rPr>
                <w:sz w:val="15"/>
                <w:szCs w:val="15"/>
                <w:color w:val="auto"/>
              </w:rPr>
            </w:pPr>
          </w:p>
        </w:tc>
        <w:tc>
          <w:tcPr>
            <w:tcW w:w="1020" w:type="dxa"/>
            <w:vAlign w:val="bottom"/>
          </w:tcPr>
          <w:p>
            <w:pPr>
              <w:jc w:val="right"/>
              <w:ind w:right="488"/>
              <w:spacing w:after="0"/>
              <w:rPr>
                <w:sz w:val="20"/>
                <w:szCs w:val="20"/>
                <w:color w:val="auto"/>
              </w:rPr>
            </w:pPr>
            <w:r>
              <w:rPr>
                <w:rFonts w:ascii="Arial" w:cs="Arial" w:eastAsia="Arial" w:hAnsi="Arial"/>
                <w:sz w:val="14"/>
                <w:szCs w:val="14"/>
                <w:b w:val="1"/>
                <w:bCs w:val="1"/>
                <w:color w:val="auto"/>
              </w:rPr>
              <w:t>Exit</w:t>
            </w: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05"/>
        </w:trPr>
        <w:tc>
          <w:tcPr>
            <w:tcW w:w="4400" w:type="dxa"/>
            <w:vAlign w:val="bottom"/>
            <w:tcBorders>
              <w:bottom w:val="single" w:sz="8" w:color="D7282F"/>
            </w:tcBorders>
          </w:tcPr>
          <w:p>
            <w:pPr>
              <w:spacing w:after="0"/>
              <w:rPr>
                <w:sz w:val="17"/>
                <w:szCs w:val="17"/>
                <w:color w:val="auto"/>
              </w:rPr>
            </w:pPr>
          </w:p>
        </w:tc>
        <w:tc>
          <w:tcPr>
            <w:tcW w:w="1720" w:type="dxa"/>
            <w:vAlign w:val="bottom"/>
            <w:tcBorders>
              <w:bottom w:val="single" w:sz="8" w:color="D7282F"/>
            </w:tcBorders>
          </w:tcPr>
          <w:p>
            <w:pPr>
              <w:spacing w:after="0"/>
              <w:rPr>
                <w:sz w:val="17"/>
                <w:szCs w:val="17"/>
                <w:color w:val="auto"/>
              </w:rPr>
            </w:pPr>
          </w:p>
        </w:tc>
        <w:tc>
          <w:tcPr>
            <w:tcW w:w="1100" w:type="dxa"/>
            <w:vAlign w:val="bottom"/>
            <w:tcBorders>
              <w:bottom w:val="single" w:sz="8" w:color="D7282F"/>
            </w:tcBorders>
          </w:tcPr>
          <w:p>
            <w:pPr>
              <w:jc w:val="right"/>
              <w:ind w:right="408"/>
              <w:spacing w:after="0"/>
              <w:rPr>
                <w:sz w:val="20"/>
                <w:szCs w:val="20"/>
                <w:color w:val="auto"/>
              </w:rPr>
            </w:pPr>
            <w:r>
              <w:rPr>
                <w:rFonts w:ascii="Arial" w:cs="Arial" w:eastAsia="Arial" w:hAnsi="Arial"/>
                <w:sz w:val="14"/>
                <w:szCs w:val="14"/>
                <w:b w:val="1"/>
                <w:bCs w:val="1"/>
                <w:color w:val="auto"/>
              </w:rPr>
              <w:t>Costs</w:t>
            </w:r>
          </w:p>
        </w:tc>
        <w:tc>
          <w:tcPr>
            <w:tcW w:w="240" w:type="dxa"/>
            <w:vAlign w:val="bottom"/>
            <w:tcBorders>
              <w:bottom w:val="single" w:sz="8" w:color="D7282F"/>
            </w:tcBorders>
          </w:tcPr>
          <w:p>
            <w:pPr>
              <w:spacing w:after="0"/>
              <w:rPr>
                <w:sz w:val="17"/>
                <w:szCs w:val="17"/>
                <w:color w:val="auto"/>
              </w:rPr>
            </w:pPr>
          </w:p>
        </w:tc>
        <w:tc>
          <w:tcPr>
            <w:tcW w:w="1140" w:type="dxa"/>
            <w:vAlign w:val="bottom"/>
            <w:tcBorders>
              <w:bottom w:val="single" w:sz="8" w:color="D7282F"/>
            </w:tcBorders>
          </w:tcPr>
          <w:p>
            <w:pPr>
              <w:jc w:val="right"/>
              <w:ind w:right="188"/>
              <w:spacing w:after="0"/>
              <w:rPr>
                <w:sz w:val="20"/>
                <w:szCs w:val="20"/>
                <w:color w:val="auto"/>
              </w:rPr>
            </w:pPr>
            <w:r>
              <w:rPr>
                <w:rFonts w:ascii="Arial" w:cs="Arial" w:eastAsia="Arial" w:hAnsi="Arial"/>
                <w:sz w:val="14"/>
                <w:szCs w:val="14"/>
                <w:b w:val="1"/>
                <w:bCs w:val="1"/>
                <w:color w:val="auto"/>
              </w:rPr>
              <w:t>Impairments</w:t>
            </w:r>
          </w:p>
        </w:tc>
        <w:tc>
          <w:tcPr>
            <w:tcW w:w="360" w:type="dxa"/>
            <w:vAlign w:val="bottom"/>
            <w:tcBorders>
              <w:bottom w:val="single" w:sz="8" w:color="D7282F"/>
            </w:tcBorders>
          </w:tcPr>
          <w:p>
            <w:pPr>
              <w:spacing w:after="0"/>
              <w:rPr>
                <w:sz w:val="17"/>
                <w:szCs w:val="17"/>
                <w:color w:val="auto"/>
              </w:rPr>
            </w:pPr>
          </w:p>
        </w:tc>
        <w:tc>
          <w:tcPr>
            <w:tcW w:w="1020" w:type="dxa"/>
            <w:vAlign w:val="bottom"/>
            <w:tcBorders>
              <w:bottom w:val="single" w:sz="8" w:color="D7282F"/>
            </w:tcBorders>
          </w:tcPr>
          <w:p>
            <w:pPr>
              <w:jc w:val="right"/>
              <w:ind w:right="428"/>
              <w:spacing w:after="0"/>
              <w:rPr>
                <w:sz w:val="20"/>
                <w:szCs w:val="20"/>
                <w:color w:val="auto"/>
              </w:rPr>
            </w:pPr>
            <w:r>
              <w:rPr>
                <w:rFonts w:ascii="Arial" w:cs="Arial" w:eastAsia="Arial" w:hAnsi="Arial"/>
                <w:sz w:val="14"/>
                <w:szCs w:val="14"/>
                <w:b w:val="1"/>
                <w:bCs w:val="1"/>
                <w:color w:val="auto"/>
              </w:rPr>
              <w:t>Costs</w:t>
            </w:r>
          </w:p>
        </w:tc>
        <w:tc>
          <w:tcPr>
            <w:tcW w:w="360" w:type="dxa"/>
            <w:vAlign w:val="bottom"/>
            <w:tcBorders>
              <w:bottom w:val="single" w:sz="8" w:color="D7282F"/>
            </w:tcBorders>
          </w:tcPr>
          <w:p>
            <w:pPr>
              <w:spacing w:after="0"/>
              <w:rPr>
                <w:sz w:val="17"/>
                <w:szCs w:val="17"/>
                <w:color w:val="auto"/>
              </w:rPr>
            </w:pPr>
          </w:p>
        </w:tc>
        <w:tc>
          <w:tcPr>
            <w:tcW w:w="900" w:type="dxa"/>
            <w:vAlign w:val="bottom"/>
            <w:tcBorders>
              <w:bottom w:val="single" w:sz="8" w:color="D7282F"/>
            </w:tcBorders>
          </w:tcPr>
          <w:p>
            <w:pPr>
              <w:jc w:val="right"/>
              <w:ind w:right="328"/>
              <w:spacing w:after="0"/>
              <w:rPr>
                <w:sz w:val="20"/>
                <w:szCs w:val="20"/>
                <w:color w:val="auto"/>
              </w:rPr>
            </w:pPr>
            <w:r>
              <w:rPr>
                <w:rFonts w:ascii="Arial" w:cs="Arial" w:eastAsia="Arial" w:hAnsi="Arial"/>
                <w:sz w:val="14"/>
                <w:szCs w:val="14"/>
                <w:b w:val="1"/>
                <w:bCs w:val="1"/>
                <w:color w:val="auto"/>
              </w:rPr>
              <w:t>Total</w:t>
            </w:r>
          </w:p>
        </w:tc>
      </w:tr>
      <w:tr>
        <w:trPr>
          <w:trHeight w:val="201"/>
        </w:trPr>
        <w:tc>
          <w:tcPr>
            <w:tcW w:w="44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Balance at December 31, 2021</w:t>
            </w:r>
          </w:p>
        </w:tc>
        <w:tc>
          <w:tcPr>
            <w:tcW w:w="17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289</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3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122</w:t>
            </w:r>
          </w:p>
        </w:tc>
        <w:tc>
          <w:tcPr>
            <w:tcW w:w="3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411</w:t>
            </w:r>
          </w:p>
        </w:tc>
      </w:tr>
      <w:tr>
        <w:trPr>
          <w:trHeight w:val="193"/>
        </w:trPr>
        <w:tc>
          <w:tcPr>
            <w:tcW w:w="440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Charges</w:t>
            </w:r>
          </w:p>
        </w:tc>
        <w:tc>
          <w:tcPr>
            <w:tcW w:w="1720" w:type="dxa"/>
            <w:vAlign w:val="bottom"/>
            <w:tcBorders>
              <w:bottom w:val="single" w:sz="8" w:color="888B8D"/>
            </w:tcBorders>
          </w:tcPr>
          <w:p>
            <w:pPr>
              <w:spacing w:after="0"/>
              <w:rPr>
                <w:sz w:val="16"/>
                <w:szCs w:val="16"/>
                <w:color w:val="auto"/>
              </w:rPr>
            </w:pPr>
          </w:p>
        </w:tc>
        <w:tc>
          <w:tcPr>
            <w:tcW w:w="110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122</w:t>
            </w:r>
          </w:p>
        </w:tc>
        <w:tc>
          <w:tcPr>
            <w:tcW w:w="240" w:type="dxa"/>
            <w:vAlign w:val="bottom"/>
            <w:tcBorders>
              <w:bottom w:val="single" w:sz="8" w:color="888B8D"/>
            </w:tcBorders>
          </w:tcPr>
          <w:p>
            <w:pPr>
              <w:spacing w:after="0"/>
              <w:rPr>
                <w:sz w:val="16"/>
                <w:szCs w:val="16"/>
                <w:color w:val="auto"/>
              </w:rPr>
            </w:pPr>
          </w:p>
        </w:tc>
        <w:tc>
          <w:tcPr>
            <w:tcW w:w="114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176</w:t>
            </w:r>
          </w:p>
        </w:tc>
        <w:tc>
          <w:tcPr>
            <w:tcW w:w="360" w:type="dxa"/>
            <w:vAlign w:val="bottom"/>
            <w:tcBorders>
              <w:bottom w:val="single" w:sz="8" w:color="888B8D"/>
            </w:tcBorders>
          </w:tcPr>
          <w:p>
            <w:pPr>
              <w:spacing w:after="0"/>
              <w:rPr>
                <w:sz w:val="16"/>
                <w:szCs w:val="16"/>
                <w:color w:val="auto"/>
              </w:rPr>
            </w:pPr>
          </w:p>
        </w:tc>
        <w:tc>
          <w:tcPr>
            <w:tcW w:w="10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122</w:t>
            </w:r>
          </w:p>
        </w:tc>
        <w:tc>
          <w:tcPr>
            <w:tcW w:w="360" w:type="dxa"/>
            <w:vAlign w:val="bottom"/>
            <w:tcBorders>
              <w:bottom w:val="single" w:sz="8" w:color="888B8D"/>
            </w:tcBorders>
          </w:tcPr>
          <w:p>
            <w:pPr>
              <w:spacing w:after="0"/>
              <w:rPr>
                <w:sz w:val="16"/>
                <w:szCs w:val="16"/>
                <w:color w:val="auto"/>
              </w:rPr>
            </w:pPr>
          </w:p>
        </w:tc>
        <w:tc>
          <w:tcPr>
            <w:tcW w:w="9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420</w:t>
            </w:r>
          </w:p>
        </w:tc>
      </w:tr>
      <w:tr>
        <w:trPr>
          <w:trHeight w:val="196"/>
        </w:trPr>
        <w:tc>
          <w:tcPr>
            <w:tcW w:w="440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Usage—cash</w:t>
            </w:r>
          </w:p>
        </w:tc>
        <w:tc>
          <w:tcPr>
            <w:tcW w:w="1720" w:type="dxa"/>
            <w:vAlign w:val="bottom"/>
            <w:tcBorders>
              <w:bottom w:val="single" w:sz="8" w:color="888B8D"/>
            </w:tcBorders>
          </w:tcPr>
          <w:p>
            <w:pPr>
              <w:spacing w:after="0"/>
              <w:rPr>
                <w:sz w:val="17"/>
                <w:szCs w:val="17"/>
                <w:color w:val="auto"/>
              </w:rPr>
            </w:pPr>
          </w:p>
        </w:tc>
        <w:tc>
          <w:tcPr>
            <w:tcW w:w="110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(135)</w:t>
            </w:r>
          </w:p>
        </w:tc>
        <w:tc>
          <w:tcPr>
            <w:tcW w:w="240" w:type="dxa"/>
            <w:vAlign w:val="bottom"/>
            <w:tcBorders>
              <w:bottom w:val="single" w:sz="8" w:color="888B8D"/>
            </w:tcBorders>
          </w:tcPr>
          <w:p>
            <w:pPr>
              <w:spacing w:after="0"/>
              <w:rPr>
                <w:sz w:val="17"/>
                <w:szCs w:val="17"/>
                <w:color w:val="auto"/>
              </w:rPr>
            </w:pPr>
          </w:p>
        </w:tc>
        <w:tc>
          <w:tcPr>
            <w:tcW w:w="114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888B8D"/>
            </w:tcBorders>
          </w:tcPr>
          <w:p>
            <w:pPr>
              <w:spacing w:after="0"/>
              <w:rPr>
                <w:sz w:val="17"/>
                <w:szCs w:val="17"/>
                <w:color w:val="auto"/>
              </w:rPr>
            </w:pPr>
          </w:p>
        </w:tc>
        <w:tc>
          <w:tcPr>
            <w:tcW w:w="102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(140)</w:t>
            </w:r>
          </w:p>
        </w:tc>
        <w:tc>
          <w:tcPr>
            <w:tcW w:w="360" w:type="dxa"/>
            <w:vAlign w:val="bottom"/>
            <w:tcBorders>
              <w:bottom w:val="single" w:sz="8" w:color="888B8D"/>
            </w:tcBorders>
          </w:tcPr>
          <w:p>
            <w:pPr>
              <w:spacing w:after="0"/>
              <w:rPr>
                <w:sz w:val="17"/>
                <w:szCs w:val="17"/>
                <w:color w:val="auto"/>
              </w:rPr>
            </w:pPr>
          </w:p>
        </w:tc>
        <w:tc>
          <w:tcPr>
            <w:tcW w:w="9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(275)</w:t>
            </w:r>
          </w:p>
        </w:tc>
      </w:tr>
      <w:tr>
        <w:trPr>
          <w:trHeight w:val="196"/>
        </w:trPr>
        <w:tc>
          <w:tcPr>
            <w:tcW w:w="440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Usage—noncash</w:t>
            </w:r>
          </w:p>
        </w:tc>
        <w:tc>
          <w:tcPr>
            <w:tcW w:w="1720" w:type="dxa"/>
            <w:vAlign w:val="bottom"/>
            <w:tcBorders>
              <w:bottom w:val="single" w:sz="8" w:color="888B8D"/>
            </w:tcBorders>
          </w:tcPr>
          <w:p>
            <w:pPr>
              <w:spacing w:after="0"/>
              <w:rPr>
                <w:sz w:val="17"/>
                <w:szCs w:val="17"/>
                <w:color w:val="auto"/>
              </w:rPr>
            </w:pPr>
          </w:p>
        </w:tc>
        <w:tc>
          <w:tcPr>
            <w:tcW w:w="110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888B8D"/>
            </w:tcBorders>
          </w:tcPr>
          <w:p>
            <w:pPr>
              <w:spacing w:after="0"/>
              <w:rPr>
                <w:sz w:val="17"/>
                <w:szCs w:val="17"/>
                <w:color w:val="auto"/>
              </w:rPr>
            </w:pPr>
          </w:p>
        </w:tc>
        <w:tc>
          <w:tcPr>
            <w:tcW w:w="114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(168)</w:t>
            </w:r>
          </w:p>
        </w:tc>
        <w:tc>
          <w:tcPr>
            <w:tcW w:w="360" w:type="dxa"/>
            <w:vAlign w:val="bottom"/>
            <w:tcBorders>
              <w:bottom w:val="single" w:sz="8" w:color="888B8D"/>
            </w:tcBorders>
          </w:tcPr>
          <w:p>
            <w:pPr>
              <w:spacing w:after="0"/>
              <w:rPr>
                <w:sz w:val="17"/>
                <w:szCs w:val="17"/>
                <w:color w:val="auto"/>
              </w:rPr>
            </w:pPr>
          </w:p>
        </w:tc>
        <w:tc>
          <w:tcPr>
            <w:tcW w:w="102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(15)</w:t>
            </w:r>
          </w:p>
        </w:tc>
        <w:tc>
          <w:tcPr>
            <w:tcW w:w="360" w:type="dxa"/>
            <w:vAlign w:val="bottom"/>
            <w:tcBorders>
              <w:bottom w:val="single" w:sz="8" w:color="888B8D"/>
            </w:tcBorders>
          </w:tcPr>
          <w:p>
            <w:pPr>
              <w:spacing w:after="0"/>
              <w:rPr>
                <w:sz w:val="17"/>
                <w:szCs w:val="17"/>
                <w:color w:val="auto"/>
              </w:rPr>
            </w:pPr>
          </w:p>
        </w:tc>
        <w:tc>
          <w:tcPr>
            <w:tcW w:w="9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(183)</w:t>
            </w:r>
          </w:p>
        </w:tc>
      </w:tr>
      <w:tr>
        <w:trPr>
          <w:trHeight w:val="196"/>
        </w:trPr>
        <w:tc>
          <w:tcPr>
            <w:tcW w:w="440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Adjustments</w:t>
            </w:r>
          </w:p>
        </w:tc>
        <w:tc>
          <w:tcPr>
            <w:tcW w:w="1720" w:type="dxa"/>
            <w:vAlign w:val="bottom"/>
            <w:tcBorders>
              <w:bottom w:val="single" w:sz="8" w:color="888B8D"/>
            </w:tcBorders>
          </w:tcPr>
          <w:p>
            <w:pPr>
              <w:spacing w:after="0"/>
              <w:rPr>
                <w:sz w:val="17"/>
                <w:szCs w:val="17"/>
                <w:color w:val="auto"/>
              </w:rPr>
            </w:pPr>
          </w:p>
        </w:tc>
        <w:tc>
          <w:tcPr>
            <w:tcW w:w="110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(42)</w:t>
            </w:r>
          </w:p>
        </w:tc>
        <w:tc>
          <w:tcPr>
            <w:tcW w:w="240" w:type="dxa"/>
            <w:vAlign w:val="bottom"/>
            <w:tcBorders>
              <w:bottom w:val="single" w:sz="8" w:color="888B8D"/>
            </w:tcBorders>
          </w:tcPr>
          <w:p>
            <w:pPr>
              <w:spacing w:after="0"/>
              <w:rPr>
                <w:sz w:val="17"/>
                <w:szCs w:val="17"/>
                <w:color w:val="auto"/>
              </w:rPr>
            </w:pPr>
          </w:p>
        </w:tc>
        <w:tc>
          <w:tcPr>
            <w:tcW w:w="114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(8)</w:t>
            </w:r>
          </w:p>
        </w:tc>
        <w:tc>
          <w:tcPr>
            <w:tcW w:w="360" w:type="dxa"/>
            <w:vAlign w:val="bottom"/>
            <w:tcBorders>
              <w:bottom w:val="single" w:sz="8" w:color="888B8D"/>
            </w:tcBorders>
          </w:tcPr>
          <w:p>
            <w:pPr>
              <w:spacing w:after="0"/>
              <w:rPr>
                <w:sz w:val="17"/>
                <w:szCs w:val="17"/>
                <w:color w:val="auto"/>
              </w:rPr>
            </w:pPr>
          </w:p>
        </w:tc>
        <w:tc>
          <w:tcPr>
            <w:tcW w:w="102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(6)</w:t>
            </w:r>
          </w:p>
        </w:tc>
        <w:tc>
          <w:tcPr>
            <w:tcW w:w="360" w:type="dxa"/>
            <w:vAlign w:val="bottom"/>
            <w:tcBorders>
              <w:bottom w:val="single" w:sz="8" w:color="888B8D"/>
            </w:tcBorders>
          </w:tcPr>
          <w:p>
            <w:pPr>
              <w:spacing w:after="0"/>
              <w:rPr>
                <w:sz w:val="17"/>
                <w:szCs w:val="17"/>
                <w:color w:val="auto"/>
              </w:rPr>
            </w:pPr>
          </w:p>
        </w:tc>
        <w:tc>
          <w:tcPr>
            <w:tcW w:w="9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(56)</w:t>
            </w:r>
          </w:p>
        </w:tc>
      </w:tr>
      <w:tr>
        <w:trPr>
          <w:trHeight w:val="196"/>
        </w:trPr>
        <w:tc>
          <w:tcPr>
            <w:tcW w:w="440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Foreign currency translation</w:t>
            </w:r>
          </w:p>
        </w:tc>
        <w:tc>
          <w:tcPr>
            <w:tcW w:w="1720" w:type="dxa"/>
            <w:vAlign w:val="bottom"/>
            <w:tcBorders>
              <w:bottom w:val="single" w:sz="8" w:color="D7282F"/>
            </w:tcBorders>
          </w:tcPr>
          <w:p>
            <w:pPr>
              <w:spacing w:after="0"/>
              <w:rPr>
                <w:sz w:val="17"/>
                <w:szCs w:val="17"/>
                <w:color w:val="auto"/>
              </w:rPr>
            </w:pPr>
          </w:p>
        </w:tc>
        <w:tc>
          <w:tcPr>
            <w:tcW w:w="11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w:t>
            </w:r>
          </w:p>
        </w:tc>
        <w:tc>
          <w:tcPr>
            <w:tcW w:w="240" w:type="dxa"/>
            <w:vAlign w:val="bottom"/>
            <w:tcBorders>
              <w:bottom w:val="single" w:sz="8" w:color="D7282F"/>
            </w:tcBorders>
          </w:tcPr>
          <w:p>
            <w:pPr>
              <w:spacing w:after="0"/>
              <w:rPr>
                <w:sz w:val="17"/>
                <w:szCs w:val="17"/>
                <w:color w:val="auto"/>
              </w:rPr>
            </w:pPr>
          </w:p>
        </w:tc>
        <w:tc>
          <w:tcPr>
            <w:tcW w:w="11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D7282F"/>
            </w:tcBorders>
          </w:tcPr>
          <w:p>
            <w:pPr>
              <w:spacing w:after="0"/>
              <w:rPr>
                <w:sz w:val="17"/>
                <w:szCs w:val="17"/>
                <w:color w:val="auto"/>
              </w:rPr>
            </w:pPr>
          </w:p>
        </w:tc>
        <w:tc>
          <w:tcPr>
            <w:tcW w:w="10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(9)</w:t>
            </w:r>
          </w:p>
        </w:tc>
        <w:tc>
          <w:tcPr>
            <w:tcW w:w="360" w:type="dxa"/>
            <w:vAlign w:val="bottom"/>
            <w:tcBorders>
              <w:bottom w:val="single" w:sz="8" w:color="D7282F"/>
            </w:tcBorders>
          </w:tcPr>
          <w:p>
            <w:pPr>
              <w:spacing w:after="0"/>
              <w:rPr>
                <w:sz w:val="17"/>
                <w:szCs w:val="17"/>
                <w:color w:val="auto"/>
              </w:rPr>
            </w:pPr>
          </w:p>
        </w:tc>
        <w:tc>
          <w:tcPr>
            <w:tcW w:w="9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(8)</w:t>
            </w:r>
          </w:p>
        </w:tc>
      </w:tr>
      <w:tr>
        <w:trPr>
          <w:trHeight w:val="199"/>
        </w:trPr>
        <w:tc>
          <w:tcPr>
            <w:tcW w:w="44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Balance at December 31, 2022</w:t>
            </w:r>
          </w:p>
        </w:tc>
        <w:tc>
          <w:tcPr>
            <w:tcW w:w="1720" w:type="dxa"/>
            <w:vAlign w:val="bottom"/>
            <w:tcBorders>
              <w:bottom w:val="single" w:sz="8" w:color="D7282F"/>
            </w:tcBorders>
          </w:tcPr>
          <w:p>
            <w:pPr>
              <w:spacing w:after="0"/>
              <w:rPr>
                <w:sz w:val="17"/>
                <w:szCs w:val="17"/>
                <w:color w:val="auto"/>
              </w:rPr>
            </w:pPr>
          </w:p>
        </w:tc>
        <w:tc>
          <w:tcPr>
            <w:tcW w:w="11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235</w:t>
            </w:r>
          </w:p>
        </w:tc>
        <w:tc>
          <w:tcPr>
            <w:tcW w:w="240" w:type="dxa"/>
            <w:vAlign w:val="bottom"/>
            <w:tcBorders>
              <w:bottom w:val="single" w:sz="8" w:color="D7282F"/>
            </w:tcBorders>
          </w:tcPr>
          <w:p>
            <w:pPr>
              <w:spacing w:after="0"/>
              <w:rPr>
                <w:sz w:val="17"/>
                <w:szCs w:val="17"/>
                <w:color w:val="auto"/>
              </w:rPr>
            </w:pPr>
          </w:p>
        </w:tc>
        <w:tc>
          <w:tcPr>
            <w:tcW w:w="11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360" w:type="dxa"/>
            <w:vAlign w:val="bottom"/>
            <w:tcBorders>
              <w:bottom w:val="single" w:sz="8" w:color="D7282F"/>
            </w:tcBorders>
          </w:tcPr>
          <w:p>
            <w:pPr>
              <w:spacing w:after="0"/>
              <w:rPr>
                <w:sz w:val="17"/>
                <w:szCs w:val="17"/>
                <w:color w:val="auto"/>
              </w:rPr>
            </w:pPr>
          </w:p>
        </w:tc>
        <w:tc>
          <w:tcPr>
            <w:tcW w:w="10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74</w:t>
            </w:r>
          </w:p>
        </w:tc>
        <w:tc>
          <w:tcPr>
            <w:tcW w:w="360" w:type="dxa"/>
            <w:vAlign w:val="bottom"/>
            <w:tcBorders>
              <w:bottom w:val="single" w:sz="8" w:color="D7282F"/>
            </w:tcBorders>
          </w:tcPr>
          <w:p>
            <w:pPr>
              <w:spacing w:after="0"/>
              <w:rPr>
                <w:sz w:val="17"/>
                <w:szCs w:val="17"/>
                <w:color w:val="auto"/>
              </w:rPr>
            </w:pPr>
          </w:p>
        </w:tc>
        <w:tc>
          <w:tcPr>
            <w:tcW w:w="9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309</w:t>
            </w:r>
          </w:p>
        </w:tc>
      </w:tr>
      <w:tr>
        <w:trPr>
          <w:trHeight w:val="193"/>
        </w:trPr>
        <w:tc>
          <w:tcPr>
            <w:tcW w:w="440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Charges</w:t>
            </w:r>
          </w:p>
        </w:tc>
        <w:tc>
          <w:tcPr>
            <w:tcW w:w="1720" w:type="dxa"/>
            <w:vAlign w:val="bottom"/>
            <w:tcBorders>
              <w:bottom w:val="single" w:sz="8" w:color="888B8D"/>
            </w:tcBorders>
          </w:tcPr>
          <w:p>
            <w:pPr>
              <w:spacing w:after="0"/>
              <w:rPr>
                <w:sz w:val="16"/>
                <w:szCs w:val="16"/>
                <w:color w:val="auto"/>
              </w:rPr>
            </w:pPr>
          </w:p>
        </w:tc>
        <w:tc>
          <w:tcPr>
            <w:tcW w:w="110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162</w:t>
            </w:r>
          </w:p>
        </w:tc>
        <w:tc>
          <w:tcPr>
            <w:tcW w:w="240" w:type="dxa"/>
            <w:vAlign w:val="bottom"/>
            <w:tcBorders>
              <w:bottom w:val="single" w:sz="8" w:color="888B8D"/>
            </w:tcBorders>
          </w:tcPr>
          <w:p>
            <w:pPr>
              <w:spacing w:after="0"/>
              <w:rPr>
                <w:sz w:val="16"/>
                <w:szCs w:val="16"/>
                <w:color w:val="auto"/>
              </w:rPr>
            </w:pPr>
          </w:p>
        </w:tc>
        <w:tc>
          <w:tcPr>
            <w:tcW w:w="114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41</w:t>
            </w:r>
          </w:p>
        </w:tc>
        <w:tc>
          <w:tcPr>
            <w:tcW w:w="360" w:type="dxa"/>
            <w:vAlign w:val="bottom"/>
            <w:tcBorders>
              <w:bottom w:val="single" w:sz="8" w:color="888B8D"/>
            </w:tcBorders>
          </w:tcPr>
          <w:p>
            <w:pPr>
              <w:spacing w:after="0"/>
              <w:rPr>
                <w:sz w:val="16"/>
                <w:szCs w:val="16"/>
                <w:color w:val="auto"/>
              </w:rPr>
            </w:pPr>
          </w:p>
        </w:tc>
        <w:tc>
          <w:tcPr>
            <w:tcW w:w="10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139</w:t>
            </w:r>
          </w:p>
        </w:tc>
        <w:tc>
          <w:tcPr>
            <w:tcW w:w="360" w:type="dxa"/>
            <w:vAlign w:val="bottom"/>
            <w:tcBorders>
              <w:bottom w:val="single" w:sz="8" w:color="888B8D"/>
            </w:tcBorders>
          </w:tcPr>
          <w:p>
            <w:pPr>
              <w:spacing w:after="0"/>
              <w:rPr>
                <w:sz w:val="16"/>
                <w:szCs w:val="16"/>
                <w:color w:val="auto"/>
              </w:rPr>
            </w:pPr>
          </w:p>
        </w:tc>
        <w:tc>
          <w:tcPr>
            <w:tcW w:w="9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342</w:t>
            </w:r>
          </w:p>
        </w:tc>
      </w:tr>
      <w:tr>
        <w:trPr>
          <w:trHeight w:val="196"/>
        </w:trPr>
        <w:tc>
          <w:tcPr>
            <w:tcW w:w="440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Usage—cash</w:t>
            </w:r>
          </w:p>
        </w:tc>
        <w:tc>
          <w:tcPr>
            <w:tcW w:w="1720" w:type="dxa"/>
            <w:vAlign w:val="bottom"/>
            <w:tcBorders>
              <w:bottom w:val="single" w:sz="8" w:color="888B8D"/>
            </w:tcBorders>
          </w:tcPr>
          <w:p>
            <w:pPr>
              <w:spacing w:after="0"/>
              <w:rPr>
                <w:sz w:val="17"/>
                <w:szCs w:val="17"/>
                <w:color w:val="auto"/>
              </w:rPr>
            </w:pPr>
          </w:p>
        </w:tc>
        <w:tc>
          <w:tcPr>
            <w:tcW w:w="110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(173)</w:t>
            </w:r>
          </w:p>
        </w:tc>
        <w:tc>
          <w:tcPr>
            <w:tcW w:w="240" w:type="dxa"/>
            <w:vAlign w:val="bottom"/>
            <w:tcBorders>
              <w:bottom w:val="single" w:sz="8" w:color="888B8D"/>
            </w:tcBorders>
          </w:tcPr>
          <w:p>
            <w:pPr>
              <w:spacing w:after="0"/>
              <w:rPr>
                <w:sz w:val="17"/>
                <w:szCs w:val="17"/>
                <w:color w:val="auto"/>
              </w:rPr>
            </w:pPr>
          </w:p>
        </w:tc>
        <w:tc>
          <w:tcPr>
            <w:tcW w:w="114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888B8D"/>
            </w:tcBorders>
          </w:tcPr>
          <w:p>
            <w:pPr>
              <w:spacing w:after="0"/>
              <w:rPr>
                <w:sz w:val="17"/>
                <w:szCs w:val="17"/>
                <w:color w:val="auto"/>
              </w:rPr>
            </w:pPr>
          </w:p>
        </w:tc>
        <w:tc>
          <w:tcPr>
            <w:tcW w:w="102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(121)</w:t>
            </w:r>
          </w:p>
        </w:tc>
        <w:tc>
          <w:tcPr>
            <w:tcW w:w="360" w:type="dxa"/>
            <w:vAlign w:val="bottom"/>
            <w:tcBorders>
              <w:bottom w:val="single" w:sz="8" w:color="888B8D"/>
            </w:tcBorders>
          </w:tcPr>
          <w:p>
            <w:pPr>
              <w:spacing w:after="0"/>
              <w:rPr>
                <w:sz w:val="17"/>
                <w:szCs w:val="17"/>
                <w:color w:val="auto"/>
              </w:rPr>
            </w:pPr>
          </w:p>
        </w:tc>
        <w:tc>
          <w:tcPr>
            <w:tcW w:w="9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(294)</w:t>
            </w:r>
          </w:p>
        </w:tc>
      </w:tr>
      <w:tr>
        <w:trPr>
          <w:trHeight w:val="196"/>
        </w:trPr>
        <w:tc>
          <w:tcPr>
            <w:tcW w:w="440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Usage—noncash</w:t>
            </w:r>
          </w:p>
        </w:tc>
        <w:tc>
          <w:tcPr>
            <w:tcW w:w="1720" w:type="dxa"/>
            <w:vAlign w:val="bottom"/>
            <w:tcBorders>
              <w:bottom w:val="single" w:sz="8" w:color="888B8D"/>
            </w:tcBorders>
          </w:tcPr>
          <w:p>
            <w:pPr>
              <w:spacing w:after="0"/>
              <w:rPr>
                <w:sz w:val="17"/>
                <w:szCs w:val="17"/>
                <w:color w:val="auto"/>
              </w:rPr>
            </w:pPr>
          </w:p>
        </w:tc>
        <w:tc>
          <w:tcPr>
            <w:tcW w:w="110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888B8D"/>
            </w:tcBorders>
          </w:tcPr>
          <w:p>
            <w:pPr>
              <w:spacing w:after="0"/>
              <w:rPr>
                <w:sz w:val="17"/>
                <w:szCs w:val="17"/>
                <w:color w:val="auto"/>
              </w:rPr>
            </w:pPr>
          </w:p>
        </w:tc>
        <w:tc>
          <w:tcPr>
            <w:tcW w:w="114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(36)</w:t>
            </w:r>
          </w:p>
        </w:tc>
        <w:tc>
          <w:tcPr>
            <w:tcW w:w="360" w:type="dxa"/>
            <w:vAlign w:val="bottom"/>
            <w:tcBorders>
              <w:bottom w:val="single" w:sz="8" w:color="888B8D"/>
            </w:tcBorders>
          </w:tcPr>
          <w:p>
            <w:pPr>
              <w:spacing w:after="0"/>
              <w:rPr>
                <w:sz w:val="17"/>
                <w:szCs w:val="17"/>
                <w:color w:val="auto"/>
              </w:rPr>
            </w:pPr>
          </w:p>
        </w:tc>
        <w:tc>
          <w:tcPr>
            <w:tcW w:w="10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888B8D"/>
            </w:tcBorders>
          </w:tcPr>
          <w:p>
            <w:pPr>
              <w:spacing w:after="0"/>
              <w:rPr>
                <w:sz w:val="17"/>
                <w:szCs w:val="17"/>
                <w:color w:val="auto"/>
              </w:rPr>
            </w:pPr>
          </w:p>
        </w:tc>
        <w:tc>
          <w:tcPr>
            <w:tcW w:w="9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(36)</w:t>
            </w:r>
          </w:p>
        </w:tc>
      </w:tr>
      <w:tr>
        <w:trPr>
          <w:trHeight w:val="196"/>
        </w:trPr>
        <w:tc>
          <w:tcPr>
            <w:tcW w:w="440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Divestitures</w:t>
            </w:r>
          </w:p>
        </w:tc>
        <w:tc>
          <w:tcPr>
            <w:tcW w:w="1720" w:type="dxa"/>
            <w:vAlign w:val="bottom"/>
            <w:tcBorders>
              <w:bottom w:val="single" w:sz="8" w:color="888B8D"/>
            </w:tcBorders>
          </w:tcPr>
          <w:p>
            <w:pPr>
              <w:spacing w:after="0"/>
              <w:rPr>
                <w:sz w:val="17"/>
                <w:szCs w:val="17"/>
                <w:color w:val="auto"/>
              </w:rPr>
            </w:pPr>
          </w:p>
        </w:tc>
        <w:tc>
          <w:tcPr>
            <w:tcW w:w="110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888B8D"/>
            </w:tcBorders>
          </w:tcPr>
          <w:p>
            <w:pPr>
              <w:spacing w:after="0"/>
              <w:rPr>
                <w:sz w:val="17"/>
                <w:szCs w:val="17"/>
                <w:color w:val="auto"/>
              </w:rPr>
            </w:pPr>
          </w:p>
        </w:tc>
        <w:tc>
          <w:tcPr>
            <w:tcW w:w="114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(4)</w:t>
            </w:r>
          </w:p>
        </w:tc>
        <w:tc>
          <w:tcPr>
            <w:tcW w:w="360" w:type="dxa"/>
            <w:vAlign w:val="bottom"/>
            <w:tcBorders>
              <w:bottom w:val="single" w:sz="8" w:color="888B8D"/>
            </w:tcBorders>
          </w:tcPr>
          <w:p>
            <w:pPr>
              <w:spacing w:after="0"/>
              <w:rPr>
                <w:sz w:val="17"/>
                <w:szCs w:val="17"/>
                <w:color w:val="auto"/>
              </w:rPr>
            </w:pPr>
          </w:p>
        </w:tc>
        <w:tc>
          <w:tcPr>
            <w:tcW w:w="102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(5)</w:t>
            </w:r>
          </w:p>
        </w:tc>
        <w:tc>
          <w:tcPr>
            <w:tcW w:w="360" w:type="dxa"/>
            <w:vAlign w:val="bottom"/>
            <w:tcBorders>
              <w:bottom w:val="single" w:sz="8" w:color="888B8D"/>
            </w:tcBorders>
          </w:tcPr>
          <w:p>
            <w:pPr>
              <w:spacing w:after="0"/>
              <w:rPr>
                <w:sz w:val="17"/>
                <w:szCs w:val="17"/>
                <w:color w:val="auto"/>
              </w:rPr>
            </w:pPr>
          </w:p>
        </w:tc>
        <w:tc>
          <w:tcPr>
            <w:tcW w:w="9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(9)</w:t>
            </w:r>
          </w:p>
        </w:tc>
      </w:tr>
      <w:tr>
        <w:trPr>
          <w:trHeight w:val="196"/>
        </w:trPr>
        <w:tc>
          <w:tcPr>
            <w:tcW w:w="440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Adjustments</w:t>
            </w:r>
          </w:p>
        </w:tc>
        <w:tc>
          <w:tcPr>
            <w:tcW w:w="1720" w:type="dxa"/>
            <w:vAlign w:val="bottom"/>
            <w:tcBorders>
              <w:bottom w:val="single" w:sz="8" w:color="888B8D"/>
            </w:tcBorders>
          </w:tcPr>
          <w:p>
            <w:pPr>
              <w:spacing w:after="0"/>
              <w:rPr>
                <w:sz w:val="17"/>
                <w:szCs w:val="17"/>
                <w:color w:val="auto"/>
              </w:rPr>
            </w:pPr>
          </w:p>
        </w:tc>
        <w:tc>
          <w:tcPr>
            <w:tcW w:w="110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(42)</w:t>
            </w:r>
          </w:p>
        </w:tc>
        <w:tc>
          <w:tcPr>
            <w:tcW w:w="240" w:type="dxa"/>
            <w:vAlign w:val="bottom"/>
            <w:tcBorders>
              <w:bottom w:val="single" w:sz="8" w:color="888B8D"/>
            </w:tcBorders>
          </w:tcPr>
          <w:p>
            <w:pPr>
              <w:spacing w:after="0"/>
              <w:rPr>
                <w:sz w:val="17"/>
                <w:szCs w:val="17"/>
                <w:color w:val="auto"/>
              </w:rPr>
            </w:pPr>
          </w:p>
        </w:tc>
        <w:tc>
          <w:tcPr>
            <w:tcW w:w="114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(1)</w:t>
            </w:r>
          </w:p>
        </w:tc>
        <w:tc>
          <w:tcPr>
            <w:tcW w:w="360" w:type="dxa"/>
            <w:vAlign w:val="bottom"/>
            <w:tcBorders>
              <w:bottom w:val="single" w:sz="8" w:color="888B8D"/>
            </w:tcBorders>
          </w:tcPr>
          <w:p>
            <w:pPr>
              <w:spacing w:after="0"/>
              <w:rPr>
                <w:sz w:val="17"/>
                <w:szCs w:val="17"/>
                <w:color w:val="auto"/>
              </w:rPr>
            </w:pPr>
          </w:p>
        </w:tc>
        <w:tc>
          <w:tcPr>
            <w:tcW w:w="102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(13)</w:t>
            </w:r>
          </w:p>
        </w:tc>
        <w:tc>
          <w:tcPr>
            <w:tcW w:w="360" w:type="dxa"/>
            <w:vAlign w:val="bottom"/>
            <w:tcBorders>
              <w:bottom w:val="single" w:sz="8" w:color="888B8D"/>
            </w:tcBorders>
          </w:tcPr>
          <w:p>
            <w:pPr>
              <w:spacing w:after="0"/>
              <w:rPr>
                <w:sz w:val="17"/>
                <w:szCs w:val="17"/>
                <w:color w:val="auto"/>
              </w:rPr>
            </w:pPr>
          </w:p>
        </w:tc>
        <w:tc>
          <w:tcPr>
            <w:tcW w:w="9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(56)</w:t>
            </w:r>
          </w:p>
        </w:tc>
      </w:tr>
      <w:tr>
        <w:trPr>
          <w:trHeight w:val="196"/>
        </w:trPr>
        <w:tc>
          <w:tcPr>
            <w:tcW w:w="440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Foreign currency translation</w:t>
            </w:r>
          </w:p>
        </w:tc>
        <w:tc>
          <w:tcPr>
            <w:tcW w:w="1720" w:type="dxa"/>
            <w:vAlign w:val="bottom"/>
            <w:tcBorders>
              <w:bottom w:val="single" w:sz="8" w:color="D7282F"/>
            </w:tcBorders>
          </w:tcPr>
          <w:p>
            <w:pPr>
              <w:spacing w:after="0"/>
              <w:rPr>
                <w:sz w:val="17"/>
                <w:szCs w:val="17"/>
                <w:color w:val="auto"/>
              </w:rPr>
            </w:pPr>
          </w:p>
        </w:tc>
        <w:tc>
          <w:tcPr>
            <w:tcW w:w="11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6</w:t>
            </w:r>
          </w:p>
        </w:tc>
        <w:tc>
          <w:tcPr>
            <w:tcW w:w="240" w:type="dxa"/>
            <w:vAlign w:val="bottom"/>
            <w:tcBorders>
              <w:bottom w:val="single" w:sz="8" w:color="D7282F"/>
            </w:tcBorders>
          </w:tcPr>
          <w:p>
            <w:pPr>
              <w:spacing w:after="0"/>
              <w:rPr>
                <w:sz w:val="17"/>
                <w:szCs w:val="17"/>
                <w:color w:val="auto"/>
              </w:rPr>
            </w:pPr>
          </w:p>
        </w:tc>
        <w:tc>
          <w:tcPr>
            <w:tcW w:w="11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D7282F"/>
            </w:tcBorders>
          </w:tcPr>
          <w:p>
            <w:pPr>
              <w:spacing w:after="0"/>
              <w:rPr>
                <w:sz w:val="17"/>
                <w:szCs w:val="17"/>
                <w:color w:val="auto"/>
              </w:rPr>
            </w:pPr>
          </w:p>
        </w:tc>
        <w:tc>
          <w:tcPr>
            <w:tcW w:w="10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17</w:t>
            </w:r>
          </w:p>
        </w:tc>
        <w:tc>
          <w:tcPr>
            <w:tcW w:w="360" w:type="dxa"/>
            <w:vAlign w:val="bottom"/>
            <w:tcBorders>
              <w:bottom w:val="single" w:sz="8" w:color="D7282F"/>
            </w:tcBorders>
          </w:tcPr>
          <w:p>
            <w:pPr>
              <w:spacing w:after="0"/>
              <w:rPr>
                <w:sz w:val="17"/>
                <w:szCs w:val="17"/>
                <w:color w:val="auto"/>
              </w:rPr>
            </w:pPr>
          </w:p>
        </w:tc>
        <w:tc>
          <w:tcPr>
            <w:tcW w:w="9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23</w:t>
            </w:r>
          </w:p>
        </w:tc>
      </w:tr>
      <w:tr>
        <w:trPr>
          <w:trHeight w:val="199"/>
        </w:trPr>
        <w:tc>
          <w:tcPr>
            <w:tcW w:w="44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Balance at December 31, 2023</w:t>
            </w:r>
          </w:p>
        </w:tc>
        <w:tc>
          <w:tcPr>
            <w:tcW w:w="1720" w:type="dxa"/>
            <w:vAlign w:val="bottom"/>
            <w:tcBorders>
              <w:bottom w:val="single" w:sz="8" w:color="D7282F"/>
            </w:tcBorders>
          </w:tcPr>
          <w:p>
            <w:pPr>
              <w:spacing w:after="0"/>
              <w:rPr>
                <w:sz w:val="17"/>
                <w:szCs w:val="17"/>
                <w:color w:val="auto"/>
              </w:rPr>
            </w:pPr>
          </w:p>
        </w:tc>
        <w:tc>
          <w:tcPr>
            <w:tcW w:w="11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188</w:t>
            </w:r>
          </w:p>
        </w:tc>
        <w:tc>
          <w:tcPr>
            <w:tcW w:w="240" w:type="dxa"/>
            <w:vAlign w:val="bottom"/>
            <w:tcBorders>
              <w:bottom w:val="single" w:sz="8" w:color="D7282F"/>
            </w:tcBorders>
          </w:tcPr>
          <w:p>
            <w:pPr>
              <w:spacing w:after="0"/>
              <w:rPr>
                <w:sz w:val="17"/>
                <w:szCs w:val="17"/>
                <w:color w:val="auto"/>
              </w:rPr>
            </w:pPr>
          </w:p>
        </w:tc>
        <w:tc>
          <w:tcPr>
            <w:tcW w:w="11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360" w:type="dxa"/>
            <w:vAlign w:val="bottom"/>
            <w:tcBorders>
              <w:bottom w:val="single" w:sz="8" w:color="D7282F"/>
            </w:tcBorders>
          </w:tcPr>
          <w:p>
            <w:pPr>
              <w:spacing w:after="0"/>
              <w:rPr>
                <w:sz w:val="17"/>
                <w:szCs w:val="17"/>
                <w:color w:val="auto"/>
              </w:rPr>
            </w:pPr>
          </w:p>
        </w:tc>
        <w:tc>
          <w:tcPr>
            <w:tcW w:w="10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91</w:t>
            </w:r>
          </w:p>
        </w:tc>
        <w:tc>
          <w:tcPr>
            <w:tcW w:w="360" w:type="dxa"/>
            <w:vAlign w:val="bottom"/>
            <w:tcBorders>
              <w:bottom w:val="single" w:sz="8" w:color="D7282F"/>
            </w:tcBorders>
          </w:tcPr>
          <w:p>
            <w:pPr>
              <w:spacing w:after="0"/>
              <w:rPr>
                <w:sz w:val="17"/>
                <w:szCs w:val="17"/>
                <w:color w:val="auto"/>
              </w:rPr>
            </w:pPr>
          </w:p>
        </w:tc>
        <w:tc>
          <w:tcPr>
            <w:tcW w:w="9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279</w:t>
            </w:r>
          </w:p>
        </w:tc>
      </w:tr>
      <w:tr>
        <w:trPr>
          <w:trHeight w:val="193"/>
        </w:trPr>
        <w:tc>
          <w:tcPr>
            <w:tcW w:w="440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Charges</w:t>
            </w:r>
          </w:p>
        </w:tc>
        <w:tc>
          <w:tcPr>
            <w:tcW w:w="1720" w:type="dxa"/>
            <w:vAlign w:val="bottom"/>
            <w:tcBorders>
              <w:bottom w:val="single" w:sz="8" w:color="888B8D"/>
            </w:tcBorders>
          </w:tcPr>
          <w:p>
            <w:pPr>
              <w:spacing w:after="0"/>
              <w:rPr>
                <w:sz w:val="16"/>
                <w:szCs w:val="16"/>
                <w:color w:val="auto"/>
              </w:rPr>
            </w:pPr>
          </w:p>
        </w:tc>
        <w:tc>
          <w:tcPr>
            <w:tcW w:w="110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136</w:t>
            </w:r>
          </w:p>
        </w:tc>
        <w:tc>
          <w:tcPr>
            <w:tcW w:w="240" w:type="dxa"/>
            <w:vAlign w:val="bottom"/>
            <w:tcBorders>
              <w:bottom w:val="single" w:sz="8" w:color="888B8D"/>
            </w:tcBorders>
          </w:tcPr>
          <w:p>
            <w:pPr>
              <w:spacing w:after="0"/>
              <w:rPr>
                <w:sz w:val="16"/>
                <w:szCs w:val="16"/>
                <w:color w:val="auto"/>
              </w:rPr>
            </w:pPr>
          </w:p>
        </w:tc>
        <w:tc>
          <w:tcPr>
            <w:tcW w:w="114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22</w:t>
            </w:r>
          </w:p>
        </w:tc>
        <w:tc>
          <w:tcPr>
            <w:tcW w:w="360" w:type="dxa"/>
            <w:vAlign w:val="bottom"/>
            <w:tcBorders>
              <w:bottom w:val="single" w:sz="8" w:color="888B8D"/>
            </w:tcBorders>
          </w:tcPr>
          <w:p>
            <w:pPr>
              <w:spacing w:after="0"/>
              <w:rPr>
                <w:sz w:val="16"/>
                <w:szCs w:val="16"/>
                <w:color w:val="auto"/>
              </w:rPr>
            </w:pPr>
          </w:p>
        </w:tc>
        <w:tc>
          <w:tcPr>
            <w:tcW w:w="10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68</w:t>
            </w:r>
          </w:p>
        </w:tc>
        <w:tc>
          <w:tcPr>
            <w:tcW w:w="360" w:type="dxa"/>
            <w:vAlign w:val="bottom"/>
            <w:tcBorders>
              <w:bottom w:val="single" w:sz="8" w:color="888B8D"/>
            </w:tcBorders>
          </w:tcPr>
          <w:p>
            <w:pPr>
              <w:spacing w:after="0"/>
              <w:rPr>
                <w:sz w:val="16"/>
                <w:szCs w:val="16"/>
                <w:color w:val="auto"/>
              </w:rPr>
            </w:pPr>
          </w:p>
        </w:tc>
        <w:tc>
          <w:tcPr>
            <w:tcW w:w="9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226</w:t>
            </w:r>
          </w:p>
        </w:tc>
      </w:tr>
      <w:tr>
        <w:trPr>
          <w:trHeight w:val="196"/>
        </w:trPr>
        <w:tc>
          <w:tcPr>
            <w:tcW w:w="440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Usage—cash</w:t>
            </w:r>
          </w:p>
        </w:tc>
        <w:tc>
          <w:tcPr>
            <w:tcW w:w="1720" w:type="dxa"/>
            <w:vAlign w:val="bottom"/>
            <w:tcBorders>
              <w:bottom w:val="single" w:sz="8" w:color="888B8D"/>
            </w:tcBorders>
          </w:tcPr>
          <w:p>
            <w:pPr>
              <w:spacing w:after="0"/>
              <w:rPr>
                <w:sz w:val="17"/>
                <w:szCs w:val="17"/>
                <w:color w:val="auto"/>
              </w:rPr>
            </w:pPr>
          </w:p>
        </w:tc>
        <w:tc>
          <w:tcPr>
            <w:tcW w:w="110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(91)</w:t>
            </w:r>
          </w:p>
        </w:tc>
        <w:tc>
          <w:tcPr>
            <w:tcW w:w="240" w:type="dxa"/>
            <w:vAlign w:val="bottom"/>
            <w:tcBorders>
              <w:bottom w:val="single" w:sz="8" w:color="888B8D"/>
            </w:tcBorders>
          </w:tcPr>
          <w:p>
            <w:pPr>
              <w:spacing w:after="0"/>
              <w:rPr>
                <w:sz w:val="17"/>
                <w:szCs w:val="17"/>
                <w:color w:val="auto"/>
              </w:rPr>
            </w:pPr>
          </w:p>
        </w:tc>
        <w:tc>
          <w:tcPr>
            <w:tcW w:w="114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888B8D"/>
            </w:tcBorders>
          </w:tcPr>
          <w:p>
            <w:pPr>
              <w:spacing w:after="0"/>
              <w:rPr>
                <w:sz w:val="17"/>
                <w:szCs w:val="17"/>
                <w:color w:val="auto"/>
              </w:rPr>
            </w:pPr>
          </w:p>
        </w:tc>
        <w:tc>
          <w:tcPr>
            <w:tcW w:w="102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(104)</w:t>
            </w:r>
          </w:p>
        </w:tc>
        <w:tc>
          <w:tcPr>
            <w:tcW w:w="360" w:type="dxa"/>
            <w:vAlign w:val="bottom"/>
            <w:tcBorders>
              <w:bottom w:val="single" w:sz="8" w:color="888B8D"/>
            </w:tcBorders>
          </w:tcPr>
          <w:p>
            <w:pPr>
              <w:spacing w:after="0"/>
              <w:rPr>
                <w:sz w:val="17"/>
                <w:szCs w:val="17"/>
                <w:color w:val="auto"/>
              </w:rPr>
            </w:pPr>
          </w:p>
        </w:tc>
        <w:tc>
          <w:tcPr>
            <w:tcW w:w="9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(195)</w:t>
            </w:r>
          </w:p>
        </w:tc>
      </w:tr>
      <w:tr>
        <w:trPr>
          <w:trHeight w:val="196"/>
        </w:trPr>
        <w:tc>
          <w:tcPr>
            <w:tcW w:w="440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Usage—noncash</w:t>
            </w:r>
          </w:p>
        </w:tc>
        <w:tc>
          <w:tcPr>
            <w:tcW w:w="1720" w:type="dxa"/>
            <w:vAlign w:val="bottom"/>
            <w:tcBorders>
              <w:bottom w:val="single" w:sz="8" w:color="888B8D"/>
            </w:tcBorders>
          </w:tcPr>
          <w:p>
            <w:pPr>
              <w:spacing w:after="0"/>
              <w:rPr>
                <w:sz w:val="17"/>
                <w:szCs w:val="17"/>
                <w:color w:val="auto"/>
              </w:rPr>
            </w:pPr>
          </w:p>
        </w:tc>
        <w:tc>
          <w:tcPr>
            <w:tcW w:w="110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888B8D"/>
            </w:tcBorders>
          </w:tcPr>
          <w:p>
            <w:pPr>
              <w:spacing w:after="0"/>
              <w:rPr>
                <w:sz w:val="17"/>
                <w:szCs w:val="17"/>
                <w:color w:val="auto"/>
              </w:rPr>
            </w:pPr>
          </w:p>
        </w:tc>
        <w:tc>
          <w:tcPr>
            <w:tcW w:w="114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(6)</w:t>
            </w:r>
          </w:p>
        </w:tc>
        <w:tc>
          <w:tcPr>
            <w:tcW w:w="360" w:type="dxa"/>
            <w:vAlign w:val="bottom"/>
            <w:tcBorders>
              <w:bottom w:val="single" w:sz="8" w:color="888B8D"/>
            </w:tcBorders>
          </w:tcPr>
          <w:p>
            <w:pPr>
              <w:spacing w:after="0"/>
              <w:rPr>
                <w:sz w:val="17"/>
                <w:szCs w:val="17"/>
                <w:color w:val="auto"/>
              </w:rPr>
            </w:pPr>
          </w:p>
        </w:tc>
        <w:tc>
          <w:tcPr>
            <w:tcW w:w="10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888B8D"/>
            </w:tcBorders>
          </w:tcPr>
          <w:p>
            <w:pPr>
              <w:spacing w:after="0"/>
              <w:rPr>
                <w:sz w:val="17"/>
                <w:szCs w:val="17"/>
                <w:color w:val="auto"/>
              </w:rPr>
            </w:pPr>
          </w:p>
        </w:tc>
        <w:tc>
          <w:tcPr>
            <w:tcW w:w="9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(6)</w:t>
            </w:r>
          </w:p>
        </w:tc>
      </w:tr>
      <w:tr>
        <w:trPr>
          <w:trHeight w:val="196"/>
        </w:trPr>
        <w:tc>
          <w:tcPr>
            <w:tcW w:w="440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Adjustments</w:t>
            </w:r>
          </w:p>
        </w:tc>
        <w:tc>
          <w:tcPr>
            <w:tcW w:w="1720" w:type="dxa"/>
            <w:vAlign w:val="bottom"/>
            <w:tcBorders>
              <w:bottom w:val="single" w:sz="8" w:color="888B8D"/>
            </w:tcBorders>
          </w:tcPr>
          <w:p>
            <w:pPr>
              <w:spacing w:after="0"/>
              <w:rPr>
                <w:sz w:val="17"/>
                <w:szCs w:val="17"/>
                <w:color w:val="auto"/>
              </w:rPr>
            </w:pPr>
          </w:p>
        </w:tc>
        <w:tc>
          <w:tcPr>
            <w:tcW w:w="110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(41)</w:t>
            </w:r>
          </w:p>
        </w:tc>
        <w:tc>
          <w:tcPr>
            <w:tcW w:w="240" w:type="dxa"/>
            <w:vAlign w:val="bottom"/>
            <w:tcBorders>
              <w:bottom w:val="single" w:sz="8" w:color="888B8D"/>
            </w:tcBorders>
          </w:tcPr>
          <w:p>
            <w:pPr>
              <w:spacing w:after="0"/>
              <w:rPr>
                <w:sz w:val="17"/>
                <w:szCs w:val="17"/>
                <w:color w:val="auto"/>
              </w:rPr>
            </w:pPr>
          </w:p>
        </w:tc>
        <w:tc>
          <w:tcPr>
            <w:tcW w:w="114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(16)</w:t>
            </w:r>
          </w:p>
        </w:tc>
        <w:tc>
          <w:tcPr>
            <w:tcW w:w="360" w:type="dxa"/>
            <w:vAlign w:val="bottom"/>
            <w:tcBorders>
              <w:bottom w:val="single" w:sz="8" w:color="888B8D"/>
            </w:tcBorders>
          </w:tcPr>
          <w:p>
            <w:pPr>
              <w:spacing w:after="0"/>
              <w:rPr>
                <w:sz w:val="17"/>
                <w:szCs w:val="17"/>
                <w:color w:val="auto"/>
              </w:rPr>
            </w:pPr>
          </w:p>
        </w:tc>
        <w:tc>
          <w:tcPr>
            <w:tcW w:w="102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(40)</w:t>
            </w:r>
          </w:p>
        </w:tc>
        <w:tc>
          <w:tcPr>
            <w:tcW w:w="360" w:type="dxa"/>
            <w:vAlign w:val="bottom"/>
            <w:tcBorders>
              <w:bottom w:val="single" w:sz="8" w:color="888B8D"/>
            </w:tcBorders>
          </w:tcPr>
          <w:p>
            <w:pPr>
              <w:spacing w:after="0"/>
              <w:rPr>
                <w:sz w:val="17"/>
                <w:szCs w:val="17"/>
                <w:color w:val="auto"/>
              </w:rPr>
            </w:pPr>
          </w:p>
        </w:tc>
        <w:tc>
          <w:tcPr>
            <w:tcW w:w="9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(97)</w:t>
            </w:r>
          </w:p>
        </w:tc>
      </w:tr>
      <w:tr>
        <w:trPr>
          <w:trHeight w:val="196"/>
        </w:trPr>
        <w:tc>
          <w:tcPr>
            <w:tcW w:w="440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Reclassifications to Liabilities held for sale</w:t>
            </w:r>
          </w:p>
        </w:tc>
        <w:tc>
          <w:tcPr>
            <w:tcW w:w="1720" w:type="dxa"/>
            <w:vAlign w:val="bottom"/>
            <w:tcBorders>
              <w:bottom w:val="single" w:sz="8" w:color="D7282F"/>
            </w:tcBorders>
          </w:tcPr>
          <w:p>
            <w:pPr>
              <w:spacing w:after="0"/>
              <w:rPr>
                <w:sz w:val="17"/>
                <w:szCs w:val="17"/>
                <w:color w:val="auto"/>
              </w:rPr>
            </w:pPr>
          </w:p>
        </w:tc>
        <w:tc>
          <w:tcPr>
            <w:tcW w:w="11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(14)</w:t>
            </w:r>
          </w:p>
        </w:tc>
        <w:tc>
          <w:tcPr>
            <w:tcW w:w="240" w:type="dxa"/>
            <w:vAlign w:val="bottom"/>
            <w:tcBorders>
              <w:bottom w:val="single" w:sz="8" w:color="D7282F"/>
            </w:tcBorders>
          </w:tcPr>
          <w:p>
            <w:pPr>
              <w:spacing w:after="0"/>
              <w:rPr>
                <w:sz w:val="17"/>
                <w:szCs w:val="17"/>
                <w:color w:val="auto"/>
              </w:rPr>
            </w:pPr>
          </w:p>
        </w:tc>
        <w:tc>
          <w:tcPr>
            <w:tcW w:w="11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D7282F"/>
            </w:tcBorders>
          </w:tcPr>
          <w:p>
            <w:pPr>
              <w:spacing w:after="0"/>
              <w:rPr>
                <w:sz w:val="17"/>
                <w:szCs w:val="17"/>
                <w:color w:val="auto"/>
              </w:rPr>
            </w:pPr>
          </w:p>
        </w:tc>
        <w:tc>
          <w:tcPr>
            <w:tcW w:w="10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(8)</w:t>
            </w:r>
          </w:p>
        </w:tc>
        <w:tc>
          <w:tcPr>
            <w:tcW w:w="360" w:type="dxa"/>
            <w:vAlign w:val="bottom"/>
            <w:tcBorders>
              <w:bottom w:val="single" w:sz="8" w:color="D7282F"/>
            </w:tcBorders>
          </w:tcPr>
          <w:p>
            <w:pPr>
              <w:spacing w:after="0"/>
              <w:rPr>
                <w:sz w:val="17"/>
                <w:szCs w:val="17"/>
                <w:color w:val="auto"/>
              </w:rPr>
            </w:pPr>
          </w:p>
        </w:tc>
        <w:tc>
          <w:tcPr>
            <w:tcW w:w="9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(22)</w:t>
            </w:r>
          </w:p>
        </w:tc>
      </w:tr>
      <w:tr>
        <w:trPr>
          <w:trHeight w:val="199"/>
        </w:trPr>
        <w:tc>
          <w:tcPr>
            <w:tcW w:w="44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Balance at December 31, 2024</w:t>
            </w:r>
          </w:p>
        </w:tc>
        <w:tc>
          <w:tcPr>
            <w:tcW w:w="17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178</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3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7</w:t>
            </w:r>
          </w:p>
        </w:tc>
        <w:tc>
          <w:tcPr>
            <w:tcW w:w="3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185</w:t>
            </w:r>
          </w:p>
        </w:tc>
      </w:tr>
    </w:tbl>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Certain repositioning projects will recognize exit costs in future periods when the actual liability is incurred. Such exit costs incurred in 2024, 2023, and 2022 were $62 million, $62 million, and $63 million, respectively.</w:t>
      </w:r>
    </w:p>
    <w:p>
      <w:pPr>
        <w:spacing w:after="0" w:line="18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OTHER CHARGES</w:t>
      </w:r>
    </w:p>
    <w:p>
      <w:pPr>
        <w:spacing w:after="0" w:line="141"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In 2022, the Company recognized $295 million of Other charges related to the initial suspension and the wind down of the Company's business and operations in Russia. These costs impacted all reportable business segments, with the most significant impact within the Industrial Automation and Energy and Sustainability Solutions reportable business segments. These charges include costs recorded in Cost of products and services sold, Selling, general and administrative expenses, or Other (income) expense in the Consolidated Statement of Operations. Cost of products and services sold includes $65 million primarily related to inventory reserves and the write-down of other assets, Selling, general and administrative includes $185 million primarily related to reserves against outstanding accounts receivable and contract assets, impairment of intangible assets, the write-down of other assets, and employee severance, and Other (income) expense includes $45 million related to foreign exchange revaluation on an intercompany loan with a Russian affiliate, impairment of property, plant and equipment, and expenses for called guarantees. Directly attributable to the Company's wind down of businesses and operations in Russia, but excluded from Other charges, is a $2 million tax valuation allowance recorded to Tax expense in the Consolidated Statement of Operations. During the twelve months ended December 31, 2024, the Company recognized Other charges of $17 million related to the settlement of a contractual dispute with a Russian entity associated with the Company's suspension and wind down activities in Russia. The charges were recorded in Other (income) expense in the Consolidated Statement of Operations.</w:t>
      </w:r>
    </w:p>
    <w:p>
      <w:pPr>
        <w:spacing w:after="0" w:line="8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 xml:space="preserve">Given the uncertainty inherent in the Company's remaining obligations related to contracts with Russian counterparties, the Company does not believe it is possible to develop estimates of reasonably possible loss in excess of current accruals for these matters (other than as specifically set forth above). Based on available information to date, the Company’s estimate of potential future losses or other contingencies related to suspension and wind down activities, including any guarantee payments or any litigation costs or as otherwise related to the Company's wind down in Russia, could adversely affect the Company's consolidated results of operations in the periods recognized but would not be material with respect to the Company's consolidated financial position. See Note 19 </w:t>
      </w:r>
      <w:r>
        <w:rPr>
          <w:rFonts w:ascii="Arial" w:cs="Arial" w:eastAsia="Arial" w:hAnsi="Arial"/>
          <w:sz w:val="16"/>
          <w:szCs w:val="16"/>
          <w:u w:val="single" w:color="auto"/>
          <w:color w:val="0000FF"/>
        </w:rPr>
        <w:t>Commitments and Contingencies</w:t>
      </w:r>
      <w:r>
        <w:rPr>
          <w:rFonts w:ascii="Arial" w:cs="Arial" w:eastAsia="Arial" w:hAnsi="Arial"/>
          <w:sz w:val="16"/>
          <w:szCs w:val="16"/>
          <w:color w:val="auto"/>
        </w:rPr>
        <w:t xml:space="preserve"> for a discussion of the recognition and measurement of estimate for contingencies.</w:t>
      </w:r>
    </w:p>
    <w:p>
      <w:pPr>
        <w:spacing w:after="0" w:line="200" w:lineRule="exact"/>
        <w:rPr>
          <w:sz w:val="20"/>
          <w:szCs w:val="20"/>
          <w:color w:val="auto"/>
        </w:rPr>
      </w:pPr>
    </w:p>
    <w:p>
      <w:pPr>
        <w:spacing w:after="0" w:line="208" w:lineRule="exact"/>
        <w:rPr>
          <w:sz w:val="20"/>
          <w:szCs w:val="20"/>
          <w:color w:val="auto"/>
        </w:rPr>
      </w:pPr>
    </w:p>
    <w:p>
      <w:pPr>
        <w:ind w:left="400" w:hanging="392"/>
        <w:spacing w:after="0"/>
        <w:tabs>
          <w:tab w:leader="none" w:pos="400" w:val="left"/>
        </w:tabs>
        <w:numPr>
          <w:ilvl w:val="0"/>
          <w:numId w:val="123"/>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73" w:name="page74"/>
    <w:bookmarkEnd w:id="73"/>
    <w:p>
      <w:pPr>
        <w:ind w:left="20"/>
        <w:spacing w:after="0"/>
        <w:tabs>
          <w:tab w:leader="none" w:pos="784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FINANCIAL STATEMENTS AND SUPPLEMENTARY DATA</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29"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Additionally, for the year ended December 31, 2022, Other charges include $41 million of incremental long-term contract labor cost inefficiencies due to severe supply chain disruptions (attributable to the COVID-19 pandemic) relating to the warehouse automation business within the Industrial Automation reportable business segment. Certain of these costs incurred include amounts and provisions for anticipated losses recognized during 2022 when total estimated costs at completion for certain of the business’ long-term contracts exceeded total estimated revenue. These costs represent unproductive labor costs due to unexpected supply delays and the resulting downstream installation issues, demobilization and remobilization of contract workers, and resolution of contractor disputes. These costs do not include normal operational inefficiencies experienced during a challenging operating environment in 2022.</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9"/>
          <w:szCs w:val="29"/>
          <w:color w:val="D7282F"/>
        </w:rPr>
        <w:t>NOTE 5. INCOME TAXES</w:t>
      </w:r>
    </w:p>
    <w:p>
      <w:pPr>
        <w:spacing w:after="0" w:line="26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INCOME BEFORE TAXES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480" w:type="dxa"/>
            <w:vAlign w:val="bottom"/>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2600" w:type="dxa"/>
            <w:vAlign w:val="bottom"/>
            <w:tcBorders>
              <w:bottom w:val="single" w:sz="8" w:color="D7282F"/>
            </w:tcBorders>
            <w:gridSpan w:val="5"/>
          </w:tcPr>
          <w:p>
            <w:pPr>
              <w:jc w:val="right"/>
              <w:ind w:right="388"/>
              <w:spacing w:after="0"/>
              <w:rPr>
                <w:sz w:val="20"/>
                <w:szCs w:val="20"/>
                <w:color w:val="auto"/>
              </w:rPr>
            </w:pPr>
            <w:r>
              <w:rPr>
                <w:rFonts w:ascii="Arial" w:cs="Arial" w:eastAsia="Arial" w:hAnsi="Arial"/>
                <w:sz w:val="14"/>
                <w:szCs w:val="14"/>
                <w:b w:val="1"/>
                <w:bCs w:val="1"/>
                <w:color w:val="auto"/>
              </w:rPr>
              <w:t>Years Ended December 31,</w:t>
            </w:r>
          </w:p>
        </w:tc>
      </w:tr>
      <w:tr>
        <w:trPr>
          <w:trHeight w:val="237"/>
        </w:trPr>
        <w:tc>
          <w:tcPr>
            <w:tcW w:w="8480" w:type="dxa"/>
            <w:vAlign w:val="bottom"/>
            <w:tcBorders>
              <w:bottom w:val="single" w:sz="8" w:color="D7282F"/>
            </w:tcBorders>
          </w:tcPr>
          <w:p>
            <w:pPr>
              <w:spacing w:after="0"/>
              <w:rPr>
                <w:sz w:val="20"/>
                <w:szCs w:val="20"/>
                <w:color w:val="auto"/>
              </w:rPr>
            </w:pPr>
          </w:p>
        </w:tc>
        <w:tc>
          <w:tcPr>
            <w:tcW w:w="160" w:type="dxa"/>
            <w:vAlign w:val="bottom"/>
            <w:tcBorders>
              <w:bottom w:val="single" w:sz="8" w:color="D7282F"/>
            </w:tcBorders>
          </w:tcPr>
          <w:p>
            <w:pPr>
              <w:spacing w:after="0"/>
              <w:rPr>
                <w:sz w:val="20"/>
                <w:szCs w:val="20"/>
                <w:color w:val="auto"/>
              </w:rPr>
            </w:pPr>
          </w:p>
        </w:tc>
        <w:tc>
          <w:tcPr>
            <w:tcW w:w="700" w:type="dxa"/>
            <w:vAlign w:val="bottom"/>
            <w:tcBorders>
              <w:bottom w:val="single" w:sz="8" w:color="D7282F"/>
            </w:tcBorders>
          </w:tcPr>
          <w:p>
            <w:pPr>
              <w:jc w:val="right"/>
              <w:ind w:right="248"/>
              <w:spacing w:after="0"/>
              <w:rPr>
                <w:sz w:val="20"/>
                <w:szCs w:val="20"/>
                <w:color w:val="auto"/>
              </w:rPr>
            </w:pPr>
            <w:r>
              <w:rPr>
                <w:rFonts w:ascii="Arial" w:cs="Arial" w:eastAsia="Arial" w:hAnsi="Arial"/>
                <w:sz w:val="14"/>
                <w:szCs w:val="14"/>
                <w:b w:val="1"/>
                <w:bCs w:val="1"/>
                <w:color w:val="auto"/>
              </w:rPr>
              <w:t>2024</w:t>
            </w:r>
          </w:p>
        </w:tc>
        <w:tc>
          <w:tcPr>
            <w:tcW w:w="300" w:type="dxa"/>
            <w:vAlign w:val="bottom"/>
            <w:tcBorders>
              <w:bottom w:val="single" w:sz="8" w:color="D7282F"/>
            </w:tcBorders>
          </w:tcPr>
          <w:p>
            <w:pPr>
              <w:spacing w:after="0"/>
              <w:rPr>
                <w:sz w:val="20"/>
                <w:szCs w:val="20"/>
                <w:color w:val="auto"/>
              </w:rPr>
            </w:pPr>
          </w:p>
        </w:tc>
        <w:tc>
          <w:tcPr>
            <w:tcW w:w="700" w:type="dxa"/>
            <w:vAlign w:val="bottom"/>
            <w:tcBorders>
              <w:bottom w:val="single" w:sz="8" w:color="D7282F"/>
            </w:tcBorders>
          </w:tcPr>
          <w:p>
            <w:pPr>
              <w:jc w:val="right"/>
              <w:ind w:right="248"/>
              <w:spacing w:after="0"/>
              <w:rPr>
                <w:sz w:val="20"/>
                <w:szCs w:val="20"/>
                <w:color w:val="auto"/>
              </w:rPr>
            </w:pPr>
            <w:r>
              <w:rPr>
                <w:rFonts w:ascii="Arial" w:cs="Arial" w:eastAsia="Arial" w:hAnsi="Arial"/>
                <w:sz w:val="14"/>
                <w:szCs w:val="14"/>
                <w:b w:val="1"/>
                <w:bCs w:val="1"/>
                <w:color w:val="auto"/>
              </w:rPr>
              <w:t>2023</w:t>
            </w:r>
          </w:p>
        </w:tc>
        <w:tc>
          <w:tcPr>
            <w:tcW w:w="300" w:type="dxa"/>
            <w:vAlign w:val="bottom"/>
            <w:tcBorders>
              <w:bottom w:val="single" w:sz="8" w:color="D7282F"/>
            </w:tcBorders>
          </w:tcPr>
          <w:p>
            <w:pPr>
              <w:spacing w:after="0"/>
              <w:rPr>
                <w:sz w:val="20"/>
                <w:szCs w:val="20"/>
                <w:color w:val="auto"/>
              </w:rPr>
            </w:pPr>
          </w:p>
        </w:tc>
        <w:tc>
          <w:tcPr>
            <w:tcW w:w="60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2022</w:t>
            </w:r>
          </w:p>
        </w:tc>
      </w:tr>
      <w:tr>
        <w:trPr>
          <w:trHeight w:val="193"/>
        </w:trPr>
        <w:tc>
          <w:tcPr>
            <w:tcW w:w="8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U.S.</w:t>
            </w:r>
          </w:p>
        </w:tc>
        <w:tc>
          <w:tcPr>
            <w:tcW w:w="1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2,143</w:t>
            </w:r>
          </w:p>
        </w:tc>
        <w:tc>
          <w:tcPr>
            <w:tcW w:w="3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2,368</w:t>
            </w:r>
          </w:p>
        </w:tc>
        <w:tc>
          <w:tcPr>
            <w:tcW w:w="3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3,305</w:t>
            </w:r>
          </w:p>
        </w:tc>
      </w:tr>
      <w:tr>
        <w:trPr>
          <w:trHeight w:val="196"/>
        </w:trPr>
        <w:tc>
          <w:tcPr>
            <w:tcW w:w="84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Non-U.S.</w:t>
            </w:r>
          </w:p>
        </w:tc>
        <w:tc>
          <w:tcPr>
            <w:tcW w:w="16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5,070</w:t>
            </w:r>
          </w:p>
        </w:tc>
        <w:tc>
          <w:tcPr>
            <w:tcW w:w="30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4,791</w:t>
            </w:r>
          </w:p>
        </w:tc>
        <w:tc>
          <w:tcPr>
            <w:tcW w:w="30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3,074</w:t>
            </w:r>
          </w:p>
        </w:tc>
      </w:tr>
      <w:tr>
        <w:trPr>
          <w:trHeight w:val="199"/>
        </w:trPr>
        <w:tc>
          <w:tcPr>
            <w:tcW w:w="848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Income before taxes</w:t>
            </w: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7,213</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7,159</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6,379</w:t>
            </w:r>
          </w:p>
        </w:tc>
      </w:tr>
    </w:tbl>
    <w:p>
      <w:pPr>
        <w:spacing w:after="0" w:line="31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TAX EXPENSE</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color w:val="auto"/>
        </w:rPr>
        <w:t>Tax expense consists of:</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480" w:type="dxa"/>
            <w:vAlign w:val="bottom"/>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2600" w:type="dxa"/>
            <w:vAlign w:val="bottom"/>
            <w:tcBorders>
              <w:bottom w:val="single" w:sz="8" w:color="D7282F"/>
            </w:tcBorders>
            <w:gridSpan w:val="5"/>
          </w:tcPr>
          <w:p>
            <w:pPr>
              <w:jc w:val="right"/>
              <w:ind w:right="388"/>
              <w:spacing w:after="0"/>
              <w:rPr>
                <w:sz w:val="20"/>
                <w:szCs w:val="20"/>
                <w:color w:val="auto"/>
              </w:rPr>
            </w:pPr>
            <w:r>
              <w:rPr>
                <w:rFonts w:ascii="Arial" w:cs="Arial" w:eastAsia="Arial" w:hAnsi="Arial"/>
                <w:sz w:val="14"/>
                <w:szCs w:val="14"/>
                <w:b w:val="1"/>
                <w:bCs w:val="1"/>
                <w:color w:val="auto"/>
              </w:rPr>
              <w:t>Years Ended December 31,</w:t>
            </w:r>
          </w:p>
        </w:tc>
      </w:tr>
      <w:tr>
        <w:trPr>
          <w:trHeight w:val="237"/>
        </w:trPr>
        <w:tc>
          <w:tcPr>
            <w:tcW w:w="8480" w:type="dxa"/>
            <w:vAlign w:val="bottom"/>
            <w:tcBorders>
              <w:bottom w:val="single" w:sz="8" w:color="D7282F"/>
            </w:tcBorders>
          </w:tcPr>
          <w:p>
            <w:pPr>
              <w:spacing w:after="0"/>
              <w:rPr>
                <w:sz w:val="20"/>
                <w:szCs w:val="20"/>
                <w:color w:val="auto"/>
              </w:rPr>
            </w:pPr>
          </w:p>
        </w:tc>
        <w:tc>
          <w:tcPr>
            <w:tcW w:w="160" w:type="dxa"/>
            <w:vAlign w:val="bottom"/>
            <w:tcBorders>
              <w:bottom w:val="single" w:sz="8" w:color="D7282F"/>
            </w:tcBorders>
          </w:tcPr>
          <w:p>
            <w:pPr>
              <w:spacing w:after="0"/>
              <w:rPr>
                <w:sz w:val="20"/>
                <w:szCs w:val="20"/>
                <w:color w:val="auto"/>
              </w:rPr>
            </w:pPr>
          </w:p>
        </w:tc>
        <w:tc>
          <w:tcPr>
            <w:tcW w:w="72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2024</w:t>
            </w:r>
          </w:p>
        </w:tc>
        <w:tc>
          <w:tcPr>
            <w:tcW w:w="280" w:type="dxa"/>
            <w:vAlign w:val="bottom"/>
            <w:tcBorders>
              <w:bottom w:val="single" w:sz="8" w:color="D7282F"/>
            </w:tcBorders>
          </w:tcPr>
          <w:p>
            <w:pPr>
              <w:spacing w:after="0"/>
              <w:rPr>
                <w:sz w:val="20"/>
                <w:szCs w:val="20"/>
                <w:color w:val="auto"/>
              </w:rPr>
            </w:pPr>
          </w:p>
        </w:tc>
        <w:tc>
          <w:tcPr>
            <w:tcW w:w="700" w:type="dxa"/>
            <w:vAlign w:val="bottom"/>
            <w:tcBorders>
              <w:bottom w:val="single" w:sz="8" w:color="D7282F"/>
            </w:tcBorders>
          </w:tcPr>
          <w:p>
            <w:pPr>
              <w:jc w:val="right"/>
              <w:ind w:right="248"/>
              <w:spacing w:after="0"/>
              <w:rPr>
                <w:sz w:val="20"/>
                <w:szCs w:val="20"/>
                <w:color w:val="auto"/>
              </w:rPr>
            </w:pPr>
            <w:r>
              <w:rPr>
                <w:rFonts w:ascii="Arial" w:cs="Arial" w:eastAsia="Arial" w:hAnsi="Arial"/>
                <w:sz w:val="14"/>
                <w:szCs w:val="14"/>
                <w:b w:val="1"/>
                <w:bCs w:val="1"/>
                <w:color w:val="auto"/>
              </w:rPr>
              <w:t>2023</w:t>
            </w:r>
          </w:p>
        </w:tc>
        <w:tc>
          <w:tcPr>
            <w:tcW w:w="300" w:type="dxa"/>
            <w:vAlign w:val="bottom"/>
            <w:tcBorders>
              <w:bottom w:val="single" w:sz="8" w:color="D7282F"/>
            </w:tcBorders>
          </w:tcPr>
          <w:p>
            <w:pPr>
              <w:spacing w:after="0"/>
              <w:rPr>
                <w:sz w:val="20"/>
                <w:szCs w:val="20"/>
                <w:color w:val="auto"/>
              </w:rPr>
            </w:pPr>
          </w:p>
        </w:tc>
        <w:tc>
          <w:tcPr>
            <w:tcW w:w="60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2022</w:t>
            </w:r>
          </w:p>
        </w:tc>
      </w:tr>
      <w:tr>
        <w:trPr>
          <w:trHeight w:val="193"/>
        </w:trPr>
        <w:tc>
          <w:tcPr>
            <w:tcW w:w="8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Current</w:t>
            </w:r>
          </w:p>
        </w:tc>
        <w:tc>
          <w:tcPr>
            <w:tcW w:w="160" w:type="dxa"/>
            <w:vAlign w:val="bottom"/>
            <w:tcBorders>
              <w:bottom w:val="single" w:sz="8" w:color="888B8D"/>
            </w:tcBorders>
          </w:tcPr>
          <w:p>
            <w:pPr>
              <w:spacing w:after="0"/>
              <w:rPr>
                <w:sz w:val="16"/>
                <w:szCs w:val="16"/>
                <w:color w:val="auto"/>
              </w:rPr>
            </w:pPr>
          </w:p>
        </w:tc>
        <w:tc>
          <w:tcPr>
            <w:tcW w:w="720" w:type="dxa"/>
            <w:vAlign w:val="bottom"/>
            <w:tcBorders>
              <w:bottom w:val="single" w:sz="8" w:color="888B8D"/>
            </w:tcBorders>
          </w:tcPr>
          <w:p>
            <w:pPr>
              <w:spacing w:after="0"/>
              <w:rPr>
                <w:sz w:val="16"/>
                <w:szCs w:val="16"/>
                <w:color w:val="auto"/>
              </w:rPr>
            </w:pPr>
          </w:p>
        </w:tc>
        <w:tc>
          <w:tcPr>
            <w:tcW w:w="280" w:type="dxa"/>
            <w:vAlign w:val="bottom"/>
            <w:tcBorders>
              <w:bottom w:val="single" w:sz="8" w:color="888B8D"/>
            </w:tcBorders>
          </w:tcPr>
          <w:p>
            <w:pPr>
              <w:spacing w:after="0"/>
              <w:rPr>
                <w:sz w:val="16"/>
                <w:szCs w:val="16"/>
                <w:color w:val="auto"/>
              </w:rPr>
            </w:pPr>
          </w:p>
        </w:tc>
        <w:tc>
          <w:tcPr>
            <w:tcW w:w="700" w:type="dxa"/>
            <w:vAlign w:val="bottom"/>
            <w:tcBorders>
              <w:bottom w:val="single" w:sz="8" w:color="888B8D"/>
            </w:tcBorders>
          </w:tcPr>
          <w:p>
            <w:pPr>
              <w:spacing w:after="0"/>
              <w:rPr>
                <w:sz w:val="16"/>
                <w:szCs w:val="16"/>
                <w:color w:val="auto"/>
              </w:rPr>
            </w:pPr>
          </w:p>
        </w:tc>
        <w:tc>
          <w:tcPr>
            <w:tcW w:w="300" w:type="dxa"/>
            <w:vAlign w:val="bottom"/>
            <w:tcBorders>
              <w:bottom w:val="single" w:sz="8" w:color="888B8D"/>
            </w:tcBorders>
          </w:tcPr>
          <w:p>
            <w:pPr>
              <w:spacing w:after="0"/>
              <w:rPr>
                <w:sz w:val="16"/>
                <w:szCs w:val="16"/>
                <w:color w:val="auto"/>
              </w:rPr>
            </w:pPr>
          </w:p>
        </w:tc>
        <w:tc>
          <w:tcPr>
            <w:tcW w:w="600" w:type="dxa"/>
            <w:vAlign w:val="bottom"/>
            <w:tcBorders>
              <w:bottom w:val="single" w:sz="8" w:color="888B8D"/>
            </w:tcBorders>
          </w:tcPr>
          <w:p>
            <w:pPr>
              <w:spacing w:after="0"/>
              <w:rPr>
                <w:sz w:val="16"/>
                <w:szCs w:val="16"/>
                <w:color w:val="auto"/>
              </w:rPr>
            </w:pPr>
          </w:p>
        </w:tc>
      </w:tr>
      <w:tr>
        <w:trPr>
          <w:trHeight w:val="196"/>
        </w:trPr>
        <w:tc>
          <w:tcPr>
            <w:tcW w:w="848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U.S. Federal</w:t>
            </w:r>
          </w:p>
        </w:tc>
        <w:tc>
          <w:tcPr>
            <w:tcW w:w="1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606</w:t>
            </w:r>
          </w:p>
        </w:tc>
        <w:tc>
          <w:tcPr>
            <w:tcW w:w="280" w:type="dxa"/>
            <w:vAlign w:val="bottom"/>
            <w:tcBorders>
              <w:bottom w:val="single" w:sz="8" w:color="888B8D"/>
            </w:tcBorders>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176</w:t>
            </w:r>
          </w:p>
        </w:tc>
        <w:tc>
          <w:tcPr>
            <w:tcW w:w="300" w:type="dxa"/>
            <w:vAlign w:val="bottom"/>
            <w:tcBorders>
              <w:bottom w:val="single" w:sz="8" w:color="888B8D"/>
            </w:tcBorders>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653</w:t>
            </w:r>
          </w:p>
        </w:tc>
      </w:tr>
      <w:tr>
        <w:trPr>
          <w:trHeight w:val="196"/>
        </w:trPr>
        <w:tc>
          <w:tcPr>
            <w:tcW w:w="848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U.S. State</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88</w:t>
            </w:r>
          </w:p>
        </w:tc>
        <w:tc>
          <w:tcPr>
            <w:tcW w:w="280" w:type="dxa"/>
            <w:vAlign w:val="bottom"/>
            <w:tcBorders>
              <w:bottom w:val="single" w:sz="8" w:color="888B8D"/>
            </w:tcBorders>
          </w:tcPr>
          <w:p>
            <w:pPr>
              <w:spacing w:after="0"/>
              <w:rPr>
                <w:sz w:val="17"/>
                <w:szCs w:val="17"/>
                <w:color w:val="auto"/>
              </w:rPr>
            </w:pPr>
          </w:p>
        </w:tc>
        <w:tc>
          <w:tcPr>
            <w:tcW w:w="70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60</w:t>
            </w:r>
          </w:p>
        </w:tc>
        <w:tc>
          <w:tcPr>
            <w:tcW w:w="30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124</w:t>
            </w:r>
          </w:p>
        </w:tc>
      </w:tr>
      <w:tr>
        <w:trPr>
          <w:trHeight w:val="196"/>
        </w:trPr>
        <w:tc>
          <w:tcPr>
            <w:tcW w:w="848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Non-U.S.</w:t>
            </w:r>
          </w:p>
        </w:tc>
        <w:tc>
          <w:tcPr>
            <w:tcW w:w="1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1,012</w:t>
            </w:r>
          </w:p>
        </w:tc>
        <w:tc>
          <w:tcPr>
            <w:tcW w:w="28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1,098</w:t>
            </w:r>
          </w:p>
        </w:tc>
        <w:tc>
          <w:tcPr>
            <w:tcW w:w="30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815</w:t>
            </w:r>
          </w:p>
        </w:tc>
      </w:tr>
      <w:tr>
        <w:trPr>
          <w:trHeight w:val="199"/>
        </w:trPr>
        <w:tc>
          <w:tcPr>
            <w:tcW w:w="848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current tax expense</w:t>
            </w:r>
          </w:p>
        </w:tc>
        <w:tc>
          <w:tcPr>
            <w:tcW w:w="1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1,706</w:t>
            </w:r>
          </w:p>
        </w:tc>
        <w:tc>
          <w:tcPr>
            <w:tcW w:w="28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1,334</w:t>
            </w:r>
          </w:p>
        </w:tc>
        <w:tc>
          <w:tcPr>
            <w:tcW w:w="30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1,592</w:t>
            </w:r>
          </w:p>
        </w:tc>
      </w:tr>
      <w:tr>
        <w:trPr>
          <w:trHeight w:val="193"/>
        </w:trPr>
        <w:tc>
          <w:tcPr>
            <w:tcW w:w="8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Deferred</w:t>
            </w:r>
          </w:p>
        </w:tc>
        <w:tc>
          <w:tcPr>
            <w:tcW w:w="160" w:type="dxa"/>
            <w:vAlign w:val="bottom"/>
            <w:tcBorders>
              <w:bottom w:val="single" w:sz="8" w:color="888B8D"/>
            </w:tcBorders>
          </w:tcPr>
          <w:p>
            <w:pPr>
              <w:spacing w:after="0"/>
              <w:rPr>
                <w:sz w:val="16"/>
                <w:szCs w:val="16"/>
                <w:color w:val="auto"/>
              </w:rPr>
            </w:pPr>
          </w:p>
        </w:tc>
        <w:tc>
          <w:tcPr>
            <w:tcW w:w="720" w:type="dxa"/>
            <w:vAlign w:val="bottom"/>
            <w:tcBorders>
              <w:bottom w:val="single" w:sz="8" w:color="888B8D"/>
            </w:tcBorders>
          </w:tcPr>
          <w:p>
            <w:pPr>
              <w:spacing w:after="0"/>
              <w:rPr>
                <w:sz w:val="16"/>
                <w:szCs w:val="16"/>
                <w:color w:val="auto"/>
              </w:rPr>
            </w:pPr>
          </w:p>
        </w:tc>
        <w:tc>
          <w:tcPr>
            <w:tcW w:w="280" w:type="dxa"/>
            <w:vAlign w:val="bottom"/>
            <w:tcBorders>
              <w:bottom w:val="single" w:sz="8" w:color="888B8D"/>
            </w:tcBorders>
          </w:tcPr>
          <w:p>
            <w:pPr>
              <w:spacing w:after="0"/>
              <w:rPr>
                <w:sz w:val="16"/>
                <w:szCs w:val="16"/>
                <w:color w:val="auto"/>
              </w:rPr>
            </w:pPr>
          </w:p>
        </w:tc>
        <w:tc>
          <w:tcPr>
            <w:tcW w:w="700" w:type="dxa"/>
            <w:vAlign w:val="bottom"/>
            <w:tcBorders>
              <w:bottom w:val="single" w:sz="8" w:color="888B8D"/>
            </w:tcBorders>
          </w:tcPr>
          <w:p>
            <w:pPr>
              <w:spacing w:after="0"/>
              <w:rPr>
                <w:sz w:val="16"/>
                <w:szCs w:val="16"/>
                <w:color w:val="auto"/>
              </w:rPr>
            </w:pPr>
          </w:p>
        </w:tc>
        <w:tc>
          <w:tcPr>
            <w:tcW w:w="300" w:type="dxa"/>
            <w:vAlign w:val="bottom"/>
            <w:tcBorders>
              <w:bottom w:val="single" w:sz="8" w:color="888B8D"/>
            </w:tcBorders>
          </w:tcPr>
          <w:p>
            <w:pPr>
              <w:spacing w:after="0"/>
              <w:rPr>
                <w:sz w:val="16"/>
                <w:szCs w:val="16"/>
                <w:color w:val="auto"/>
              </w:rPr>
            </w:pPr>
          </w:p>
        </w:tc>
        <w:tc>
          <w:tcPr>
            <w:tcW w:w="600" w:type="dxa"/>
            <w:vAlign w:val="bottom"/>
            <w:tcBorders>
              <w:bottom w:val="single" w:sz="8" w:color="888B8D"/>
            </w:tcBorders>
          </w:tcPr>
          <w:p>
            <w:pPr>
              <w:spacing w:after="0"/>
              <w:rPr>
                <w:sz w:val="16"/>
                <w:szCs w:val="16"/>
                <w:color w:val="auto"/>
              </w:rPr>
            </w:pPr>
          </w:p>
        </w:tc>
      </w:tr>
      <w:tr>
        <w:trPr>
          <w:trHeight w:val="196"/>
        </w:trPr>
        <w:tc>
          <w:tcPr>
            <w:tcW w:w="848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U.S. Federal</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(210)</w:t>
            </w:r>
          </w:p>
        </w:tc>
        <w:tc>
          <w:tcPr>
            <w:tcW w:w="280" w:type="dxa"/>
            <w:vAlign w:val="bottom"/>
            <w:tcBorders>
              <w:bottom w:val="single" w:sz="8" w:color="888B8D"/>
            </w:tcBorders>
          </w:tcPr>
          <w:p>
            <w:pPr>
              <w:spacing w:after="0"/>
              <w:rPr>
                <w:sz w:val="17"/>
                <w:szCs w:val="17"/>
                <w:color w:val="auto"/>
              </w:rPr>
            </w:pPr>
          </w:p>
        </w:tc>
        <w:tc>
          <w:tcPr>
            <w:tcW w:w="70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27</w:t>
            </w:r>
          </w:p>
        </w:tc>
        <w:tc>
          <w:tcPr>
            <w:tcW w:w="30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(175)</w:t>
            </w:r>
          </w:p>
        </w:tc>
      </w:tr>
      <w:tr>
        <w:trPr>
          <w:trHeight w:val="196"/>
        </w:trPr>
        <w:tc>
          <w:tcPr>
            <w:tcW w:w="848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U.S. State</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(25)</w:t>
            </w:r>
          </w:p>
        </w:tc>
        <w:tc>
          <w:tcPr>
            <w:tcW w:w="280" w:type="dxa"/>
            <w:vAlign w:val="bottom"/>
            <w:tcBorders>
              <w:bottom w:val="single" w:sz="8" w:color="888B8D"/>
            </w:tcBorders>
          </w:tcPr>
          <w:p>
            <w:pPr>
              <w:spacing w:after="0"/>
              <w:rPr>
                <w:sz w:val="17"/>
                <w:szCs w:val="17"/>
                <w:color w:val="auto"/>
              </w:rPr>
            </w:pPr>
          </w:p>
        </w:tc>
        <w:tc>
          <w:tcPr>
            <w:tcW w:w="70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11</w:t>
            </w:r>
          </w:p>
        </w:tc>
        <w:tc>
          <w:tcPr>
            <w:tcW w:w="30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(36)</w:t>
            </w:r>
          </w:p>
        </w:tc>
      </w:tr>
      <w:tr>
        <w:trPr>
          <w:trHeight w:val="196"/>
        </w:trPr>
        <w:tc>
          <w:tcPr>
            <w:tcW w:w="848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Non-U.S.</w:t>
            </w:r>
          </w:p>
        </w:tc>
        <w:tc>
          <w:tcPr>
            <w:tcW w:w="1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2</w:t>
            </w:r>
          </w:p>
        </w:tc>
        <w:tc>
          <w:tcPr>
            <w:tcW w:w="28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115</w:t>
            </w:r>
          </w:p>
        </w:tc>
        <w:tc>
          <w:tcPr>
            <w:tcW w:w="30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32</w:t>
            </w:r>
          </w:p>
        </w:tc>
      </w:tr>
      <w:tr>
        <w:trPr>
          <w:trHeight w:val="199"/>
        </w:trPr>
        <w:tc>
          <w:tcPr>
            <w:tcW w:w="848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deferred tax (benefit) expense</w:t>
            </w:r>
          </w:p>
        </w:tc>
        <w:tc>
          <w:tcPr>
            <w:tcW w:w="1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(233)</w:t>
            </w:r>
          </w:p>
        </w:tc>
        <w:tc>
          <w:tcPr>
            <w:tcW w:w="28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153</w:t>
            </w:r>
          </w:p>
        </w:tc>
        <w:tc>
          <w:tcPr>
            <w:tcW w:w="30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(180)</w:t>
            </w:r>
          </w:p>
        </w:tc>
      </w:tr>
      <w:tr>
        <w:trPr>
          <w:trHeight w:val="196"/>
        </w:trPr>
        <w:tc>
          <w:tcPr>
            <w:tcW w:w="8480" w:type="dxa"/>
            <w:vAlign w:val="bottom"/>
            <w:tcBorders>
              <w:bottom w:val="single" w:sz="8" w:color="D7282F"/>
            </w:tcBorders>
          </w:tcPr>
          <w:p>
            <w:pPr>
              <w:ind w:left="360"/>
              <w:spacing w:after="0"/>
              <w:rPr>
                <w:sz w:val="20"/>
                <w:szCs w:val="20"/>
                <w:color w:val="auto"/>
              </w:rPr>
            </w:pPr>
            <w:r>
              <w:rPr>
                <w:rFonts w:ascii="Arial" w:cs="Arial" w:eastAsia="Arial" w:hAnsi="Arial"/>
                <w:sz w:val="14"/>
                <w:szCs w:val="14"/>
                <w:b w:val="1"/>
                <w:bCs w:val="1"/>
                <w:color w:val="auto"/>
              </w:rPr>
              <w:t>Total Tax expense</w:t>
            </w: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1,473</w:t>
            </w:r>
          </w:p>
        </w:tc>
        <w:tc>
          <w:tcPr>
            <w:tcW w:w="2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1,487</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1,412</w:t>
            </w:r>
          </w:p>
        </w:tc>
      </w:tr>
    </w:tbl>
    <w:p>
      <w:pPr>
        <w:spacing w:after="0" w:line="200" w:lineRule="exact"/>
        <w:rPr>
          <w:sz w:val="20"/>
          <w:szCs w:val="20"/>
          <w:color w:val="auto"/>
        </w:rPr>
      </w:pPr>
    </w:p>
    <w:p>
      <w:pPr>
        <w:spacing w:after="0" w:line="29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D7282F"/>
        </w:rPr>
        <w:t>72</w:t>
      </w:r>
      <w:r>
        <w:rPr>
          <w:sz w:val="20"/>
          <w:szCs w:val="20"/>
          <w:color w:val="auto"/>
        </w:rPr>
        <w:tab/>
      </w: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74" w:name="page75"/>
    <w:bookmarkEnd w:id="74"/>
    <w:p>
      <w:pPr>
        <w:ind w:left="20"/>
        <w:spacing w:after="0"/>
        <w:tabs>
          <w:tab w:leader="none" w:pos="784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FINANCIAL STATEMENTS AND SUPPLEMENTARY DATA</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The U.S. federal statutory income tax rate is reconciled to the effective income tax rate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140" w:type="dxa"/>
            <w:vAlign w:val="bottom"/>
          </w:tcPr>
          <w:p>
            <w:pPr>
              <w:spacing w:after="0"/>
              <w:rPr>
                <w:sz w:val="17"/>
                <w:szCs w:val="17"/>
                <w:color w:val="auto"/>
              </w:rPr>
            </w:pPr>
          </w:p>
        </w:tc>
        <w:tc>
          <w:tcPr>
            <w:tcW w:w="2480" w:type="dxa"/>
            <w:vAlign w:val="bottom"/>
            <w:tcBorders>
              <w:bottom w:val="single" w:sz="8" w:color="D7282F"/>
            </w:tcBorders>
            <w:gridSpan w:val="2"/>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620" w:type="dxa"/>
            <w:vAlign w:val="bottom"/>
            <w:tcBorders>
              <w:bottom w:val="single" w:sz="8" w:color="D7282F"/>
            </w:tcBorders>
          </w:tcPr>
          <w:p>
            <w:pPr>
              <w:spacing w:after="0"/>
              <w:rPr>
                <w:sz w:val="17"/>
                <w:szCs w:val="17"/>
                <w:color w:val="auto"/>
              </w:rPr>
            </w:pPr>
          </w:p>
        </w:tc>
      </w:tr>
      <w:tr>
        <w:trPr>
          <w:trHeight w:val="237"/>
        </w:trPr>
        <w:tc>
          <w:tcPr>
            <w:tcW w:w="8140" w:type="dxa"/>
            <w:vAlign w:val="bottom"/>
            <w:tcBorders>
              <w:bottom w:val="single" w:sz="8" w:color="D7282F"/>
            </w:tcBorders>
          </w:tcPr>
          <w:p>
            <w:pPr>
              <w:spacing w:after="0"/>
              <w:rPr>
                <w:sz w:val="20"/>
                <w:szCs w:val="20"/>
                <w:color w:val="auto"/>
              </w:rPr>
            </w:pPr>
          </w:p>
        </w:tc>
        <w:tc>
          <w:tcPr>
            <w:tcW w:w="1140" w:type="dxa"/>
            <w:vAlign w:val="bottom"/>
            <w:tcBorders>
              <w:bottom w:val="single" w:sz="8" w:color="D7282F"/>
            </w:tcBorders>
          </w:tcPr>
          <w:p>
            <w:pPr>
              <w:jc w:val="right"/>
              <w:ind w:right="468"/>
              <w:spacing w:after="0"/>
              <w:rPr>
                <w:sz w:val="20"/>
                <w:szCs w:val="20"/>
                <w:color w:val="auto"/>
              </w:rPr>
            </w:pPr>
            <w:r>
              <w:rPr>
                <w:rFonts w:ascii="Arial" w:cs="Arial" w:eastAsia="Arial" w:hAnsi="Arial"/>
                <w:sz w:val="14"/>
                <w:szCs w:val="14"/>
                <w:b w:val="1"/>
                <w:bCs w:val="1"/>
                <w:color w:val="auto"/>
              </w:rPr>
              <w:t>2024</w:t>
            </w:r>
          </w:p>
        </w:tc>
        <w:tc>
          <w:tcPr>
            <w:tcW w:w="1340" w:type="dxa"/>
            <w:vAlign w:val="bottom"/>
            <w:tcBorders>
              <w:bottom w:val="single" w:sz="8" w:color="D7282F"/>
            </w:tcBorders>
          </w:tcPr>
          <w:p>
            <w:pPr>
              <w:jc w:val="right"/>
              <w:ind w:right="688"/>
              <w:spacing w:after="0"/>
              <w:rPr>
                <w:sz w:val="20"/>
                <w:szCs w:val="20"/>
                <w:color w:val="auto"/>
              </w:rPr>
            </w:pPr>
            <w:r>
              <w:rPr>
                <w:rFonts w:ascii="Arial" w:cs="Arial" w:eastAsia="Arial" w:hAnsi="Arial"/>
                <w:sz w:val="14"/>
                <w:szCs w:val="14"/>
                <w:b w:val="1"/>
                <w:bCs w:val="1"/>
                <w:color w:val="auto"/>
              </w:rPr>
              <w:t>2023</w:t>
            </w:r>
          </w:p>
        </w:tc>
        <w:tc>
          <w:tcPr>
            <w:tcW w:w="62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2022</w:t>
            </w:r>
          </w:p>
        </w:tc>
      </w:tr>
      <w:tr>
        <w:trPr>
          <w:trHeight w:val="193"/>
        </w:trPr>
        <w:tc>
          <w:tcPr>
            <w:tcW w:w="81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U.S. federal statutory income tax rate</w:t>
            </w:r>
          </w:p>
        </w:tc>
        <w:tc>
          <w:tcPr>
            <w:tcW w:w="1140" w:type="dxa"/>
            <w:vAlign w:val="bottom"/>
            <w:tcBorders>
              <w:bottom w:val="single" w:sz="8" w:color="61656A"/>
            </w:tcBorders>
          </w:tcPr>
          <w:p>
            <w:pPr>
              <w:jc w:val="right"/>
              <w:ind w:right="208"/>
              <w:spacing w:after="0"/>
              <w:rPr>
                <w:sz w:val="20"/>
                <w:szCs w:val="20"/>
                <w:color w:val="auto"/>
              </w:rPr>
            </w:pPr>
            <w:r>
              <w:rPr>
                <w:rFonts w:ascii="Arial" w:cs="Arial" w:eastAsia="Arial" w:hAnsi="Arial"/>
                <w:sz w:val="14"/>
                <w:szCs w:val="14"/>
                <w:color w:val="auto"/>
              </w:rPr>
              <w:t>21.0 %</w:t>
            </w:r>
          </w:p>
        </w:tc>
        <w:tc>
          <w:tcPr>
            <w:tcW w:w="1340" w:type="dxa"/>
            <w:vAlign w:val="bottom"/>
            <w:tcBorders>
              <w:bottom w:val="single" w:sz="8" w:color="61656A"/>
            </w:tcBorders>
          </w:tcPr>
          <w:p>
            <w:pPr>
              <w:jc w:val="right"/>
              <w:ind w:right="428"/>
              <w:spacing w:after="0"/>
              <w:rPr>
                <w:sz w:val="20"/>
                <w:szCs w:val="20"/>
                <w:color w:val="auto"/>
              </w:rPr>
            </w:pPr>
            <w:r>
              <w:rPr>
                <w:rFonts w:ascii="Arial" w:cs="Arial" w:eastAsia="Arial" w:hAnsi="Arial"/>
                <w:sz w:val="14"/>
                <w:szCs w:val="14"/>
                <w:color w:val="auto"/>
              </w:rPr>
              <w:t>21.0 %</w:t>
            </w: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21.0 %</w:t>
            </w:r>
          </w:p>
        </w:tc>
      </w:tr>
      <w:tr>
        <w:trPr>
          <w:trHeight w:val="196"/>
        </w:trPr>
        <w:tc>
          <w:tcPr>
            <w:tcW w:w="81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Taxes on non-U.S. earnings</w:t>
            </w:r>
            <w:r>
              <w:rPr>
                <w:rFonts w:ascii="Arial" w:cs="Arial" w:eastAsia="Arial" w:hAnsi="Arial"/>
                <w:sz w:val="9"/>
                <w:szCs w:val="9"/>
                <w:color w:val="auto"/>
              </w:rPr>
              <w:t>1,2,3</w:t>
            </w:r>
          </w:p>
        </w:tc>
        <w:tc>
          <w:tcPr>
            <w:tcW w:w="1140" w:type="dxa"/>
            <w:vAlign w:val="bottom"/>
            <w:tcBorders>
              <w:bottom w:val="single" w:sz="8" w:color="61656A"/>
            </w:tcBorders>
          </w:tcPr>
          <w:p>
            <w:pPr>
              <w:jc w:val="right"/>
              <w:ind w:right="328"/>
              <w:spacing w:after="0"/>
              <w:rPr>
                <w:sz w:val="20"/>
                <w:szCs w:val="20"/>
                <w:color w:val="auto"/>
              </w:rPr>
            </w:pPr>
            <w:r>
              <w:rPr>
                <w:rFonts w:ascii="Arial" w:cs="Arial" w:eastAsia="Arial" w:hAnsi="Arial"/>
                <w:sz w:val="14"/>
                <w:szCs w:val="14"/>
                <w:color w:val="auto"/>
              </w:rPr>
              <w:t>(0.5)</w:t>
            </w:r>
          </w:p>
        </w:tc>
        <w:tc>
          <w:tcPr>
            <w:tcW w:w="1340" w:type="dxa"/>
            <w:vAlign w:val="bottom"/>
            <w:tcBorders>
              <w:bottom w:val="single" w:sz="8" w:color="61656A"/>
            </w:tcBorders>
          </w:tcPr>
          <w:p>
            <w:pPr>
              <w:jc w:val="right"/>
              <w:ind w:right="568"/>
              <w:spacing w:after="0"/>
              <w:rPr>
                <w:sz w:val="20"/>
                <w:szCs w:val="20"/>
                <w:color w:val="auto"/>
              </w:rPr>
            </w:pPr>
            <w:r>
              <w:rPr>
                <w:rFonts w:ascii="Arial" w:cs="Arial" w:eastAsia="Arial" w:hAnsi="Arial"/>
                <w:sz w:val="14"/>
                <w:szCs w:val="14"/>
                <w:color w:val="auto"/>
              </w:rPr>
              <w:t>(2.0)</w:t>
            </w:r>
          </w:p>
        </w:tc>
        <w:tc>
          <w:tcPr>
            <w:tcW w:w="6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(0.4)</w:t>
            </w:r>
          </w:p>
        </w:tc>
      </w:tr>
      <w:tr>
        <w:trPr>
          <w:trHeight w:val="196"/>
        </w:trPr>
        <w:tc>
          <w:tcPr>
            <w:tcW w:w="81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U.S. state income taxes</w:t>
            </w:r>
            <w:r>
              <w:rPr>
                <w:rFonts w:ascii="Arial" w:cs="Arial" w:eastAsia="Arial" w:hAnsi="Arial"/>
                <w:sz w:val="9"/>
                <w:szCs w:val="9"/>
                <w:color w:val="auto"/>
              </w:rPr>
              <w:t>1</w:t>
            </w:r>
          </w:p>
        </w:tc>
        <w:tc>
          <w:tcPr>
            <w:tcW w:w="1140" w:type="dxa"/>
            <w:vAlign w:val="bottom"/>
            <w:tcBorders>
              <w:bottom w:val="single" w:sz="8" w:color="61656A"/>
            </w:tcBorders>
          </w:tcPr>
          <w:p>
            <w:pPr>
              <w:jc w:val="right"/>
              <w:ind w:right="368"/>
              <w:spacing w:after="0"/>
              <w:rPr>
                <w:sz w:val="20"/>
                <w:szCs w:val="20"/>
                <w:color w:val="auto"/>
              </w:rPr>
            </w:pPr>
            <w:r>
              <w:rPr>
                <w:rFonts w:ascii="Arial" w:cs="Arial" w:eastAsia="Arial" w:hAnsi="Arial"/>
                <w:sz w:val="14"/>
                <w:szCs w:val="14"/>
                <w:color w:val="auto"/>
              </w:rPr>
              <w:t>0.9</w:t>
            </w:r>
          </w:p>
        </w:tc>
        <w:tc>
          <w:tcPr>
            <w:tcW w:w="1340" w:type="dxa"/>
            <w:vAlign w:val="bottom"/>
            <w:tcBorders>
              <w:bottom w:val="single" w:sz="8" w:color="61656A"/>
            </w:tcBorders>
          </w:tcPr>
          <w:p>
            <w:pPr>
              <w:jc w:val="right"/>
              <w:ind w:right="608"/>
              <w:spacing w:after="0"/>
              <w:rPr>
                <w:sz w:val="20"/>
                <w:szCs w:val="20"/>
                <w:color w:val="auto"/>
              </w:rPr>
            </w:pPr>
            <w:r>
              <w:rPr>
                <w:rFonts w:ascii="Arial" w:cs="Arial" w:eastAsia="Arial" w:hAnsi="Arial"/>
                <w:sz w:val="14"/>
                <w:szCs w:val="14"/>
                <w:color w:val="auto"/>
              </w:rPr>
              <w:t>0.5</w:t>
            </w:r>
          </w:p>
        </w:tc>
        <w:tc>
          <w:tcPr>
            <w:tcW w:w="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1.4</w:t>
            </w:r>
          </w:p>
        </w:tc>
      </w:tr>
      <w:tr>
        <w:trPr>
          <w:trHeight w:val="196"/>
        </w:trPr>
        <w:tc>
          <w:tcPr>
            <w:tcW w:w="81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Reserves for tax contingencies</w:t>
            </w:r>
          </w:p>
        </w:tc>
        <w:tc>
          <w:tcPr>
            <w:tcW w:w="1140" w:type="dxa"/>
            <w:vAlign w:val="bottom"/>
            <w:tcBorders>
              <w:bottom w:val="single" w:sz="8" w:color="61656A"/>
            </w:tcBorders>
          </w:tcPr>
          <w:p>
            <w:pPr>
              <w:jc w:val="right"/>
              <w:ind w:right="368"/>
              <w:spacing w:after="0"/>
              <w:rPr>
                <w:sz w:val="20"/>
                <w:szCs w:val="20"/>
                <w:color w:val="auto"/>
              </w:rPr>
            </w:pPr>
            <w:r>
              <w:rPr>
                <w:rFonts w:ascii="Arial" w:cs="Arial" w:eastAsia="Arial" w:hAnsi="Arial"/>
                <w:sz w:val="14"/>
                <w:szCs w:val="14"/>
                <w:color w:val="auto"/>
              </w:rPr>
              <w:t>1.4</w:t>
            </w:r>
          </w:p>
        </w:tc>
        <w:tc>
          <w:tcPr>
            <w:tcW w:w="1340" w:type="dxa"/>
            <w:vAlign w:val="bottom"/>
            <w:tcBorders>
              <w:bottom w:val="single" w:sz="8" w:color="61656A"/>
            </w:tcBorders>
          </w:tcPr>
          <w:p>
            <w:pPr>
              <w:jc w:val="right"/>
              <w:ind w:right="608"/>
              <w:spacing w:after="0"/>
              <w:rPr>
                <w:sz w:val="20"/>
                <w:szCs w:val="20"/>
                <w:color w:val="auto"/>
              </w:rPr>
            </w:pPr>
            <w:r>
              <w:rPr>
                <w:rFonts w:ascii="Arial" w:cs="Arial" w:eastAsia="Arial" w:hAnsi="Arial"/>
                <w:sz w:val="14"/>
                <w:szCs w:val="14"/>
                <w:color w:val="auto"/>
              </w:rPr>
              <w:t>3.4</w:t>
            </w:r>
          </w:p>
        </w:tc>
        <w:tc>
          <w:tcPr>
            <w:tcW w:w="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1.1</w:t>
            </w:r>
          </w:p>
        </w:tc>
      </w:tr>
      <w:tr>
        <w:trPr>
          <w:trHeight w:val="196"/>
        </w:trPr>
        <w:tc>
          <w:tcPr>
            <w:tcW w:w="81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Employee stock compensation</w:t>
            </w:r>
          </w:p>
        </w:tc>
        <w:tc>
          <w:tcPr>
            <w:tcW w:w="1140" w:type="dxa"/>
            <w:vAlign w:val="bottom"/>
            <w:tcBorders>
              <w:bottom w:val="single" w:sz="8" w:color="61656A"/>
            </w:tcBorders>
          </w:tcPr>
          <w:p>
            <w:pPr>
              <w:jc w:val="right"/>
              <w:ind w:right="328"/>
              <w:spacing w:after="0"/>
              <w:rPr>
                <w:sz w:val="20"/>
                <w:szCs w:val="20"/>
                <w:color w:val="auto"/>
              </w:rPr>
            </w:pPr>
            <w:r>
              <w:rPr>
                <w:rFonts w:ascii="Arial" w:cs="Arial" w:eastAsia="Arial" w:hAnsi="Arial"/>
                <w:sz w:val="14"/>
                <w:szCs w:val="14"/>
                <w:color w:val="auto"/>
              </w:rPr>
              <w:t>(0.7)</w:t>
            </w:r>
          </w:p>
        </w:tc>
        <w:tc>
          <w:tcPr>
            <w:tcW w:w="1340" w:type="dxa"/>
            <w:vAlign w:val="bottom"/>
            <w:tcBorders>
              <w:bottom w:val="single" w:sz="8" w:color="61656A"/>
            </w:tcBorders>
          </w:tcPr>
          <w:p>
            <w:pPr>
              <w:jc w:val="right"/>
              <w:ind w:right="568"/>
              <w:spacing w:after="0"/>
              <w:rPr>
                <w:sz w:val="20"/>
                <w:szCs w:val="20"/>
                <w:color w:val="auto"/>
              </w:rPr>
            </w:pPr>
            <w:r>
              <w:rPr>
                <w:rFonts w:ascii="Arial" w:cs="Arial" w:eastAsia="Arial" w:hAnsi="Arial"/>
                <w:sz w:val="14"/>
                <w:szCs w:val="14"/>
                <w:color w:val="auto"/>
              </w:rPr>
              <w:t>(0.3)</w:t>
            </w:r>
          </w:p>
        </w:tc>
        <w:tc>
          <w:tcPr>
            <w:tcW w:w="6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(0.9)</w:t>
            </w:r>
          </w:p>
        </w:tc>
      </w:tr>
      <w:tr>
        <w:trPr>
          <w:trHeight w:val="196"/>
        </w:trPr>
        <w:tc>
          <w:tcPr>
            <w:tcW w:w="81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Restructuring</w:t>
            </w:r>
            <w:r>
              <w:rPr>
                <w:rFonts w:ascii="Arial" w:cs="Arial" w:eastAsia="Arial" w:hAnsi="Arial"/>
                <w:sz w:val="9"/>
                <w:szCs w:val="9"/>
                <w:color w:val="auto"/>
              </w:rPr>
              <w:t>4</w:t>
            </w:r>
          </w:p>
        </w:tc>
        <w:tc>
          <w:tcPr>
            <w:tcW w:w="1140" w:type="dxa"/>
            <w:vAlign w:val="bottom"/>
            <w:tcBorders>
              <w:bottom w:val="single" w:sz="8" w:color="61656A"/>
            </w:tcBorders>
          </w:tcPr>
          <w:p>
            <w:pPr>
              <w:jc w:val="right"/>
              <w:ind w:right="328"/>
              <w:spacing w:after="0"/>
              <w:rPr>
                <w:sz w:val="20"/>
                <w:szCs w:val="20"/>
                <w:color w:val="auto"/>
              </w:rPr>
            </w:pPr>
            <w:r>
              <w:rPr>
                <w:rFonts w:ascii="Arial" w:cs="Arial" w:eastAsia="Arial" w:hAnsi="Arial"/>
                <w:sz w:val="14"/>
                <w:szCs w:val="14"/>
                <w:color w:val="auto"/>
              </w:rPr>
              <w:t>(0.3)</w:t>
            </w:r>
          </w:p>
        </w:tc>
        <w:tc>
          <w:tcPr>
            <w:tcW w:w="1340" w:type="dxa"/>
            <w:vAlign w:val="bottom"/>
            <w:tcBorders>
              <w:bottom w:val="single" w:sz="8" w:color="61656A"/>
            </w:tcBorders>
          </w:tcPr>
          <w:p>
            <w:pPr>
              <w:jc w:val="right"/>
              <w:ind w:right="60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0.7</w:t>
            </w:r>
          </w:p>
        </w:tc>
      </w:tr>
      <w:tr>
        <w:trPr>
          <w:trHeight w:val="196"/>
        </w:trPr>
        <w:tc>
          <w:tcPr>
            <w:tcW w:w="81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U.S. federal tax credits</w:t>
            </w:r>
          </w:p>
        </w:tc>
        <w:tc>
          <w:tcPr>
            <w:tcW w:w="1140" w:type="dxa"/>
            <w:vAlign w:val="bottom"/>
            <w:tcBorders>
              <w:bottom w:val="single" w:sz="8" w:color="61656A"/>
            </w:tcBorders>
          </w:tcPr>
          <w:p>
            <w:pPr>
              <w:jc w:val="right"/>
              <w:ind w:right="328"/>
              <w:spacing w:after="0"/>
              <w:rPr>
                <w:sz w:val="20"/>
                <w:szCs w:val="20"/>
                <w:color w:val="auto"/>
              </w:rPr>
            </w:pPr>
            <w:r>
              <w:rPr>
                <w:rFonts w:ascii="Arial" w:cs="Arial" w:eastAsia="Arial" w:hAnsi="Arial"/>
                <w:sz w:val="14"/>
                <w:szCs w:val="14"/>
                <w:color w:val="auto"/>
              </w:rPr>
              <w:t>(2.0)</w:t>
            </w:r>
          </w:p>
        </w:tc>
        <w:tc>
          <w:tcPr>
            <w:tcW w:w="1340" w:type="dxa"/>
            <w:vAlign w:val="bottom"/>
            <w:tcBorders>
              <w:bottom w:val="single" w:sz="8" w:color="61656A"/>
            </w:tcBorders>
          </w:tcPr>
          <w:p>
            <w:pPr>
              <w:jc w:val="right"/>
              <w:ind w:right="568"/>
              <w:spacing w:after="0"/>
              <w:rPr>
                <w:sz w:val="20"/>
                <w:szCs w:val="20"/>
                <w:color w:val="auto"/>
              </w:rPr>
            </w:pPr>
            <w:r>
              <w:rPr>
                <w:rFonts w:ascii="Arial" w:cs="Arial" w:eastAsia="Arial" w:hAnsi="Arial"/>
                <w:sz w:val="14"/>
                <w:szCs w:val="14"/>
                <w:color w:val="auto"/>
              </w:rPr>
              <w:t>(1.6)</w:t>
            </w:r>
          </w:p>
        </w:tc>
        <w:tc>
          <w:tcPr>
            <w:tcW w:w="6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(0.9)</w:t>
            </w:r>
          </w:p>
        </w:tc>
      </w:tr>
      <w:tr>
        <w:trPr>
          <w:trHeight w:val="196"/>
        </w:trPr>
        <w:tc>
          <w:tcPr>
            <w:tcW w:w="81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U.S. valuation allowance</w:t>
            </w:r>
            <w:r>
              <w:rPr>
                <w:rFonts w:ascii="Arial" w:cs="Arial" w:eastAsia="Arial" w:hAnsi="Arial"/>
                <w:sz w:val="9"/>
                <w:szCs w:val="9"/>
                <w:color w:val="auto"/>
              </w:rPr>
              <w:t>4</w:t>
            </w:r>
          </w:p>
        </w:tc>
        <w:tc>
          <w:tcPr>
            <w:tcW w:w="1140" w:type="dxa"/>
            <w:vAlign w:val="bottom"/>
            <w:tcBorders>
              <w:bottom w:val="single" w:sz="8" w:color="61656A"/>
            </w:tcBorders>
          </w:tcPr>
          <w:p>
            <w:pPr>
              <w:jc w:val="right"/>
              <w:ind w:right="368"/>
              <w:spacing w:after="0"/>
              <w:rPr>
                <w:sz w:val="20"/>
                <w:szCs w:val="20"/>
                <w:color w:val="auto"/>
              </w:rPr>
            </w:pPr>
            <w:r>
              <w:rPr>
                <w:rFonts w:ascii="Arial" w:cs="Arial" w:eastAsia="Arial" w:hAnsi="Arial"/>
                <w:sz w:val="14"/>
                <w:szCs w:val="14"/>
                <w:color w:val="auto"/>
              </w:rPr>
              <w:t>0.9</w:t>
            </w:r>
          </w:p>
        </w:tc>
        <w:tc>
          <w:tcPr>
            <w:tcW w:w="1340" w:type="dxa"/>
            <w:vAlign w:val="bottom"/>
            <w:tcBorders>
              <w:bottom w:val="single" w:sz="8" w:color="61656A"/>
            </w:tcBorders>
          </w:tcPr>
          <w:p>
            <w:pPr>
              <w:jc w:val="right"/>
              <w:ind w:right="568"/>
              <w:spacing w:after="0"/>
              <w:rPr>
                <w:sz w:val="20"/>
                <w:szCs w:val="20"/>
                <w:color w:val="auto"/>
              </w:rPr>
            </w:pPr>
            <w:r>
              <w:rPr>
                <w:rFonts w:ascii="Arial" w:cs="Arial" w:eastAsia="Arial" w:hAnsi="Arial"/>
                <w:sz w:val="14"/>
                <w:szCs w:val="14"/>
                <w:color w:val="auto"/>
              </w:rPr>
              <w:t>(0.1)</w:t>
            </w:r>
          </w:p>
        </w:tc>
        <w:tc>
          <w:tcPr>
            <w:tcW w:w="6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(0.2)</w:t>
            </w:r>
          </w:p>
        </w:tc>
      </w:tr>
      <w:tr>
        <w:trPr>
          <w:trHeight w:val="196"/>
        </w:trPr>
        <w:tc>
          <w:tcPr>
            <w:tcW w:w="814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All other items—net</w:t>
            </w:r>
          </w:p>
        </w:tc>
        <w:tc>
          <w:tcPr>
            <w:tcW w:w="1140" w:type="dxa"/>
            <w:vAlign w:val="bottom"/>
            <w:tcBorders>
              <w:bottom w:val="single" w:sz="8" w:color="D7282F"/>
            </w:tcBorders>
          </w:tcPr>
          <w:p>
            <w:pPr>
              <w:jc w:val="right"/>
              <w:ind w:right="328"/>
              <w:spacing w:after="0"/>
              <w:rPr>
                <w:sz w:val="20"/>
                <w:szCs w:val="20"/>
                <w:color w:val="auto"/>
              </w:rPr>
            </w:pPr>
            <w:r>
              <w:rPr>
                <w:rFonts w:ascii="Arial" w:cs="Arial" w:eastAsia="Arial" w:hAnsi="Arial"/>
                <w:sz w:val="14"/>
                <w:szCs w:val="14"/>
                <w:color w:val="auto"/>
              </w:rPr>
              <w:t>(0.3)</w:t>
            </w:r>
          </w:p>
        </w:tc>
        <w:tc>
          <w:tcPr>
            <w:tcW w:w="1340" w:type="dxa"/>
            <w:vAlign w:val="bottom"/>
            <w:tcBorders>
              <w:bottom w:val="single" w:sz="8" w:color="D7282F"/>
            </w:tcBorders>
          </w:tcPr>
          <w:p>
            <w:pPr>
              <w:jc w:val="right"/>
              <w:ind w:right="568"/>
              <w:spacing w:after="0"/>
              <w:rPr>
                <w:sz w:val="20"/>
                <w:szCs w:val="20"/>
                <w:color w:val="auto"/>
              </w:rPr>
            </w:pPr>
            <w:r>
              <w:rPr>
                <w:rFonts w:ascii="Arial" w:cs="Arial" w:eastAsia="Arial" w:hAnsi="Arial"/>
                <w:sz w:val="14"/>
                <w:szCs w:val="14"/>
                <w:color w:val="auto"/>
              </w:rPr>
              <w:t>(0.1)</w:t>
            </w:r>
          </w:p>
        </w:tc>
        <w:tc>
          <w:tcPr>
            <w:tcW w:w="6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0.3</w:t>
            </w:r>
          </w:p>
        </w:tc>
      </w:tr>
      <w:tr>
        <w:trPr>
          <w:trHeight w:val="199"/>
        </w:trPr>
        <w:tc>
          <w:tcPr>
            <w:tcW w:w="814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Effective income tax rate</w:t>
            </w:r>
          </w:p>
        </w:tc>
        <w:tc>
          <w:tcPr>
            <w:tcW w:w="114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20.4 %</w:t>
            </w:r>
          </w:p>
        </w:tc>
        <w:tc>
          <w:tcPr>
            <w:tcW w:w="1340" w:type="dxa"/>
            <w:vAlign w:val="bottom"/>
            <w:tcBorders>
              <w:bottom w:val="single" w:sz="8" w:color="D7282F"/>
            </w:tcBorders>
          </w:tcPr>
          <w:p>
            <w:pPr>
              <w:jc w:val="right"/>
              <w:ind w:right="428"/>
              <w:spacing w:after="0"/>
              <w:rPr>
                <w:sz w:val="20"/>
                <w:szCs w:val="20"/>
                <w:color w:val="auto"/>
              </w:rPr>
            </w:pPr>
            <w:r>
              <w:rPr>
                <w:rFonts w:ascii="Arial" w:cs="Arial" w:eastAsia="Arial" w:hAnsi="Arial"/>
                <w:sz w:val="14"/>
                <w:szCs w:val="14"/>
                <w:b w:val="1"/>
                <w:bCs w:val="1"/>
                <w:color w:val="auto"/>
              </w:rPr>
              <w:t>20.8 %</w:t>
            </w: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22.1 %</w:t>
            </w:r>
          </w:p>
        </w:tc>
      </w:tr>
    </w:tbl>
    <w:p>
      <w:pPr>
        <w:spacing w:after="0" w:line="36" w:lineRule="exact"/>
        <w:rPr>
          <w:sz w:val="20"/>
          <w:szCs w:val="20"/>
          <w:color w:val="auto"/>
        </w:rPr>
      </w:pPr>
    </w:p>
    <w:p>
      <w:pPr>
        <w:ind w:left="480" w:hanging="344"/>
        <w:spacing w:after="0"/>
        <w:tabs>
          <w:tab w:leader="none" w:pos="480" w:val="left"/>
        </w:tabs>
        <w:numPr>
          <w:ilvl w:val="0"/>
          <w:numId w:val="124"/>
        </w:numPr>
        <w:rPr>
          <w:rFonts w:ascii="Arial" w:cs="Arial" w:eastAsia="Arial" w:hAnsi="Arial"/>
          <w:sz w:val="25"/>
          <w:szCs w:val="25"/>
          <w:color w:val="auto"/>
          <w:vertAlign w:val="superscript"/>
        </w:rPr>
      </w:pPr>
      <w:r>
        <w:rPr>
          <w:rFonts w:ascii="Arial" w:cs="Arial" w:eastAsia="Arial" w:hAnsi="Arial"/>
          <w:sz w:val="13"/>
          <w:szCs w:val="13"/>
          <w:color w:val="auto"/>
        </w:rPr>
        <w:t>Net of changes in valuation allowance.</w:t>
      </w:r>
    </w:p>
    <w:p>
      <w:pPr>
        <w:spacing w:after="0" w:line="89" w:lineRule="exact"/>
        <w:rPr>
          <w:sz w:val="20"/>
          <w:szCs w:val="20"/>
          <w:color w:val="auto"/>
        </w:rPr>
      </w:pPr>
    </w:p>
    <w:p>
      <w:pPr>
        <w:ind w:left="480" w:hanging="344"/>
        <w:spacing w:after="0"/>
        <w:tabs>
          <w:tab w:leader="none" w:pos="480" w:val="left"/>
        </w:tabs>
        <w:numPr>
          <w:ilvl w:val="0"/>
          <w:numId w:val="125"/>
        </w:numPr>
        <w:rPr>
          <w:rFonts w:ascii="Arial" w:cs="Arial" w:eastAsia="Arial" w:hAnsi="Arial"/>
          <w:sz w:val="13"/>
          <w:szCs w:val="13"/>
          <w:color w:val="auto"/>
        </w:rPr>
      </w:pPr>
      <w:r>
        <w:rPr>
          <w:rFonts w:ascii="Arial" w:cs="Arial" w:eastAsia="Arial" w:hAnsi="Arial"/>
          <w:sz w:val="13"/>
          <w:szCs w:val="13"/>
          <w:color w:val="auto"/>
        </w:rPr>
        <w:t>Includes U.S. taxes on non-U.S. earnings, net of foreign tax credits.</w:t>
      </w:r>
    </w:p>
    <w:p>
      <w:pPr>
        <w:spacing w:after="0" w:line="14" w:lineRule="exact"/>
        <w:rPr>
          <w:sz w:val="20"/>
          <w:szCs w:val="20"/>
          <w:color w:val="auto"/>
        </w:rPr>
      </w:pPr>
    </w:p>
    <w:p>
      <w:pPr>
        <w:ind w:left="480" w:hanging="344"/>
        <w:spacing w:after="0"/>
        <w:tabs>
          <w:tab w:leader="none" w:pos="480" w:val="left"/>
        </w:tabs>
        <w:numPr>
          <w:ilvl w:val="0"/>
          <w:numId w:val="126"/>
        </w:numPr>
        <w:rPr>
          <w:rFonts w:ascii="Arial" w:cs="Arial" w:eastAsia="Arial" w:hAnsi="Arial"/>
          <w:sz w:val="13"/>
          <w:szCs w:val="13"/>
          <w:color w:val="auto"/>
        </w:rPr>
      </w:pPr>
      <w:r>
        <w:rPr>
          <w:rFonts w:ascii="Arial" w:cs="Arial" w:eastAsia="Arial" w:hAnsi="Arial"/>
          <w:sz w:val="13"/>
          <w:szCs w:val="13"/>
          <w:color w:val="auto"/>
        </w:rPr>
        <w:t>2023 includes (3.6)% deferred tax benefit resulting from a non-U.S. legislative change, offset by 3.6% deferred tax expense resulting from a full valuation allowance.</w:t>
      </w:r>
    </w:p>
    <w:p>
      <w:pPr>
        <w:spacing w:after="0" w:line="26" w:lineRule="exact"/>
        <w:rPr>
          <w:sz w:val="20"/>
          <w:szCs w:val="20"/>
          <w:color w:val="auto"/>
        </w:rPr>
      </w:pPr>
    </w:p>
    <w:p>
      <w:pPr>
        <w:ind w:left="480" w:hanging="344"/>
        <w:spacing w:after="0"/>
        <w:tabs>
          <w:tab w:leader="none" w:pos="480" w:val="left"/>
        </w:tabs>
        <w:numPr>
          <w:ilvl w:val="0"/>
          <w:numId w:val="127"/>
        </w:numPr>
        <w:rPr>
          <w:rFonts w:ascii="Arial" w:cs="Arial" w:eastAsia="Arial" w:hAnsi="Arial"/>
          <w:sz w:val="13"/>
          <w:szCs w:val="13"/>
          <w:color w:val="auto"/>
        </w:rPr>
      </w:pPr>
      <w:r>
        <w:rPr>
          <w:rFonts w:ascii="Arial" w:cs="Arial" w:eastAsia="Arial" w:hAnsi="Arial"/>
          <w:sz w:val="13"/>
          <w:szCs w:val="13"/>
          <w:color w:val="auto"/>
        </w:rPr>
        <w:t>2024 includes (0.9)% deferred tax benefit resulting from an outside basis difference in assets held for sale, offset by 0.9% deferred tax expense resulting from a full valuation allowance.</w:t>
      </w:r>
    </w:p>
    <w:p>
      <w:pPr>
        <w:spacing w:after="0" w:line="21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effective tax rate decreased by 0.4 percentage points in 2024 compared to 2023. The decrease was primarily attributable to a reduced benefit from taxes on non-U.S. earnings, offset by a decrease in accruals on various foreign tax matters. The Company’s 2024 non-U.S. effective tax rate was 20.0%, a decrease of 5.3 percentage points compared to 2023. The decrease in the non-U.S. effective tax rate was primarily attributable to changes in accruals on foreign tax matters and other foreign discrete adjustments, partially offset by increased expense on global minimum taxes.</w:t>
      </w:r>
    </w:p>
    <w:p>
      <w:pPr>
        <w:spacing w:after="0" w:line="6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effective tax rate decreased by 1.3 percentage points in 2023 compared to 2022. The decrease was primarily attributable to the increased benefit of taxes on non-U.S. earnings and lower expense related to unremitted withholding taxes on non-U.S. earnings, partially offset by incremental tax expense for reserves. The Company’s 2023 non-U.S. effective tax rate was 25.3%, a decrease of 2.2 percentage points compared to 2022. The decrease in the non-U.S. effective tax rate was primarily attributable to increased benefit of taxes on non-U.S. earnings and lower expense related to unremitted withholding taxes on non-U.S. earnings, partially offset by incremental tax expense for reserves.</w:t>
      </w:r>
    </w:p>
    <w:p>
      <w:pPr>
        <w:spacing w:after="0" w:line="200" w:lineRule="exact"/>
        <w:rPr>
          <w:sz w:val="20"/>
          <w:szCs w:val="20"/>
          <w:color w:val="auto"/>
        </w:rPr>
      </w:pPr>
    </w:p>
    <w:p>
      <w:pPr>
        <w:spacing w:after="0" w:line="203" w:lineRule="exact"/>
        <w:rPr>
          <w:sz w:val="20"/>
          <w:szCs w:val="20"/>
          <w:color w:val="auto"/>
        </w:rPr>
      </w:pPr>
    </w:p>
    <w:p>
      <w:pPr>
        <w:ind w:left="400" w:hanging="392"/>
        <w:spacing w:after="0"/>
        <w:tabs>
          <w:tab w:leader="none" w:pos="400" w:val="left"/>
        </w:tabs>
        <w:numPr>
          <w:ilvl w:val="0"/>
          <w:numId w:val="128"/>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75" w:name="page76"/>
    <w:bookmarkEnd w:id="75"/>
    <w:p>
      <w:pPr>
        <w:ind w:left="20"/>
        <w:spacing w:after="0"/>
        <w:tabs>
          <w:tab w:leader="none" w:pos="784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FINANCIAL STATEMENTS AND SUPPLEMENTARY DATA</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DEFERRED TAX ASSETS (LIABILITIES)</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color w:val="auto"/>
        </w:rPr>
        <w:t>The tax effects of temporary differences and tax carryforwards which give rise to future income tax benefits and payables are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480" w:type="dxa"/>
            <w:vAlign w:val="bottom"/>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gridSpan w:val="3"/>
          </w:tcPr>
          <w:p>
            <w:pPr>
              <w:jc w:val="right"/>
              <w:ind w:right="348"/>
              <w:spacing w:after="0"/>
              <w:rPr>
                <w:sz w:val="20"/>
                <w:szCs w:val="20"/>
                <w:color w:val="auto"/>
              </w:rPr>
            </w:pPr>
            <w:r>
              <w:rPr>
                <w:rFonts w:ascii="Arial" w:cs="Arial" w:eastAsia="Arial" w:hAnsi="Arial"/>
                <w:sz w:val="14"/>
                <w:szCs w:val="14"/>
                <w:b w:val="1"/>
                <w:bCs w:val="1"/>
                <w:color w:val="auto"/>
              </w:rPr>
              <w:t>December 31,</w:t>
            </w:r>
          </w:p>
        </w:tc>
      </w:tr>
      <w:tr>
        <w:trPr>
          <w:trHeight w:val="237"/>
        </w:trPr>
        <w:tc>
          <w:tcPr>
            <w:tcW w:w="94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Deferred tax assets</w:t>
            </w:r>
          </w:p>
        </w:tc>
        <w:tc>
          <w:tcPr>
            <w:tcW w:w="160" w:type="dxa"/>
            <w:vAlign w:val="bottom"/>
            <w:tcBorders>
              <w:bottom w:val="single" w:sz="8" w:color="D7282F"/>
            </w:tcBorders>
          </w:tcPr>
          <w:p>
            <w:pPr>
              <w:spacing w:after="0"/>
              <w:rPr>
                <w:sz w:val="20"/>
                <w:szCs w:val="20"/>
                <w:color w:val="auto"/>
              </w:rPr>
            </w:pPr>
          </w:p>
        </w:tc>
        <w:tc>
          <w:tcPr>
            <w:tcW w:w="72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2024</w:t>
            </w:r>
          </w:p>
        </w:tc>
        <w:tc>
          <w:tcPr>
            <w:tcW w:w="280" w:type="dxa"/>
            <w:vAlign w:val="bottom"/>
            <w:tcBorders>
              <w:bottom w:val="single" w:sz="8" w:color="D7282F"/>
            </w:tcBorders>
          </w:tcPr>
          <w:p>
            <w:pPr>
              <w:spacing w:after="0"/>
              <w:rPr>
                <w:sz w:val="20"/>
                <w:szCs w:val="20"/>
                <w:color w:val="auto"/>
              </w:rPr>
            </w:pPr>
          </w:p>
        </w:tc>
        <w:tc>
          <w:tcPr>
            <w:tcW w:w="60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2023</w:t>
            </w:r>
          </w:p>
        </w:tc>
      </w:tr>
      <w:tr>
        <w:trPr>
          <w:trHeight w:val="193"/>
        </w:trPr>
        <w:tc>
          <w:tcPr>
            <w:tcW w:w="94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Postretirement benefits other than pensions</w:t>
            </w:r>
          </w:p>
        </w:tc>
        <w:tc>
          <w:tcPr>
            <w:tcW w:w="16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50</w:t>
            </w:r>
          </w:p>
        </w:tc>
        <w:tc>
          <w:tcPr>
            <w:tcW w:w="2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55</w:t>
            </w:r>
          </w:p>
        </w:tc>
      </w:tr>
      <w:tr>
        <w:trPr>
          <w:trHeight w:val="196"/>
        </w:trPr>
        <w:tc>
          <w:tcPr>
            <w:tcW w:w="94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Asbestos and environmental</w:t>
            </w:r>
          </w:p>
        </w:tc>
        <w:tc>
          <w:tcPr>
            <w:tcW w:w="16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373</w:t>
            </w:r>
          </w:p>
        </w:tc>
        <w:tc>
          <w:tcPr>
            <w:tcW w:w="28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405</w:t>
            </w:r>
          </w:p>
        </w:tc>
      </w:tr>
      <w:tr>
        <w:trPr>
          <w:trHeight w:val="196"/>
        </w:trPr>
        <w:tc>
          <w:tcPr>
            <w:tcW w:w="94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Capitalized research and development</w:t>
            </w:r>
          </w:p>
        </w:tc>
        <w:tc>
          <w:tcPr>
            <w:tcW w:w="16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947</w:t>
            </w:r>
          </w:p>
        </w:tc>
        <w:tc>
          <w:tcPr>
            <w:tcW w:w="28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582</w:t>
            </w:r>
          </w:p>
        </w:tc>
      </w:tr>
      <w:tr>
        <w:trPr>
          <w:trHeight w:val="196"/>
        </w:trPr>
        <w:tc>
          <w:tcPr>
            <w:tcW w:w="948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Employee compensation and benefits</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143</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148</w:t>
            </w:r>
          </w:p>
        </w:tc>
      </w:tr>
      <w:tr>
        <w:trPr>
          <w:trHeight w:val="196"/>
        </w:trPr>
        <w:tc>
          <w:tcPr>
            <w:tcW w:w="948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Lease liabilities</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263</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258</w:t>
            </w:r>
          </w:p>
        </w:tc>
      </w:tr>
      <w:tr>
        <w:trPr>
          <w:trHeight w:val="196"/>
        </w:trPr>
        <w:tc>
          <w:tcPr>
            <w:tcW w:w="948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Other accruals and reserves</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396</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196</w:t>
            </w:r>
          </w:p>
        </w:tc>
      </w:tr>
      <w:tr>
        <w:trPr>
          <w:trHeight w:val="196"/>
        </w:trPr>
        <w:tc>
          <w:tcPr>
            <w:tcW w:w="948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Net operating losses</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618</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687</w:t>
            </w:r>
          </w:p>
        </w:tc>
      </w:tr>
      <w:tr>
        <w:trPr>
          <w:trHeight w:val="196"/>
        </w:trPr>
        <w:tc>
          <w:tcPr>
            <w:tcW w:w="948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Capital loss carryover and outside basis differences</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467</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385</w:t>
            </w:r>
          </w:p>
        </w:tc>
      </w:tr>
      <w:tr>
        <w:trPr>
          <w:trHeight w:val="196"/>
        </w:trPr>
        <w:tc>
          <w:tcPr>
            <w:tcW w:w="948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Tax credit carryforwards and other attributes</w:t>
            </w:r>
          </w:p>
        </w:tc>
        <w:tc>
          <w:tcPr>
            <w:tcW w:w="1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269</w:t>
            </w:r>
          </w:p>
        </w:tc>
        <w:tc>
          <w:tcPr>
            <w:tcW w:w="28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420</w:t>
            </w:r>
          </w:p>
        </w:tc>
      </w:tr>
      <w:tr>
        <w:trPr>
          <w:trHeight w:val="199"/>
        </w:trPr>
        <w:tc>
          <w:tcPr>
            <w:tcW w:w="948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Gross deferred tax assets</w:t>
            </w:r>
          </w:p>
        </w:tc>
        <w:tc>
          <w:tcPr>
            <w:tcW w:w="1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3,526</w:t>
            </w:r>
          </w:p>
        </w:tc>
        <w:tc>
          <w:tcPr>
            <w:tcW w:w="28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3,136</w:t>
            </w:r>
          </w:p>
        </w:tc>
      </w:tr>
      <w:tr>
        <w:trPr>
          <w:trHeight w:val="193"/>
        </w:trPr>
        <w:tc>
          <w:tcPr>
            <w:tcW w:w="948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Valuation allowance</w:t>
            </w:r>
          </w:p>
        </w:tc>
        <w:tc>
          <w:tcPr>
            <w:tcW w:w="160" w:type="dxa"/>
            <w:vAlign w:val="bottom"/>
            <w:tcBorders>
              <w:bottom w:val="single" w:sz="8" w:color="D7282F"/>
            </w:tcBorders>
          </w:tcPr>
          <w:p>
            <w:pPr>
              <w:spacing w:after="0"/>
              <w:rPr>
                <w:sz w:val="16"/>
                <w:szCs w:val="16"/>
                <w:color w:val="auto"/>
              </w:rPr>
            </w:pPr>
          </w:p>
        </w:tc>
        <w:tc>
          <w:tcPr>
            <w:tcW w:w="7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(1,253)</w:t>
            </w:r>
          </w:p>
        </w:tc>
        <w:tc>
          <w:tcPr>
            <w:tcW w:w="280" w:type="dxa"/>
            <w:vAlign w:val="bottom"/>
            <w:tcBorders>
              <w:bottom w:val="single" w:sz="8" w:color="D7282F"/>
            </w:tcBorders>
          </w:tcPr>
          <w:p>
            <w:pPr>
              <w:spacing w:after="0"/>
              <w:rPr>
                <w:sz w:val="16"/>
                <w:szCs w:val="16"/>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(1,292)</w:t>
            </w:r>
          </w:p>
        </w:tc>
      </w:tr>
      <w:tr>
        <w:trPr>
          <w:trHeight w:val="199"/>
        </w:trPr>
        <w:tc>
          <w:tcPr>
            <w:tcW w:w="9480" w:type="dxa"/>
            <w:vAlign w:val="bottom"/>
            <w:tcBorders>
              <w:bottom w:val="single" w:sz="8" w:color="D7282F"/>
            </w:tcBorders>
          </w:tcPr>
          <w:p>
            <w:pPr>
              <w:ind w:left="360"/>
              <w:spacing w:after="0"/>
              <w:rPr>
                <w:sz w:val="20"/>
                <w:szCs w:val="20"/>
                <w:color w:val="auto"/>
              </w:rPr>
            </w:pPr>
            <w:r>
              <w:rPr>
                <w:rFonts w:ascii="Arial" w:cs="Arial" w:eastAsia="Arial" w:hAnsi="Arial"/>
                <w:sz w:val="14"/>
                <w:szCs w:val="14"/>
                <w:b w:val="1"/>
                <w:bCs w:val="1"/>
                <w:color w:val="auto"/>
              </w:rPr>
              <w:t>Total deferred tax assets</w:t>
            </w:r>
          </w:p>
        </w:tc>
        <w:tc>
          <w:tcPr>
            <w:tcW w:w="1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2,273</w:t>
            </w:r>
          </w:p>
        </w:tc>
        <w:tc>
          <w:tcPr>
            <w:tcW w:w="28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1,844</w:t>
            </w:r>
          </w:p>
        </w:tc>
      </w:tr>
      <w:tr>
        <w:trPr>
          <w:trHeight w:val="196"/>
        </w:trPr>
        <w:tc>
          <w:tcPr>
            <w:tcW w:w="94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Deferred tax liabilities</w:t>
            </w:r>
          </w:p>
        </w:tc>
        <w:tc>
          <w:tcPr>
            <w:tcW w:w="1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spacing w:after="0"/>
              <w:rPr>
                <w:sz w:val="17"/>
                <w:szCs w:val="17"/>
                <w:color w:val="auto"/>
              </w:rPr>
            </w:pPr>
          </w:p>
        </w:tc>
        <w:tc>
          <w:tcPr>
            <w:tcW w:w="28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spacing w:after="0"/>
              <w:rPr>
                <w:sz w:val="17"/>
                <w:szCs w:val="17"/>
                <w:color w:val="auto"/>
              </w:rPr>
            </w:pPr>
          </w:p>
        </w:tc>
      </w:tr>
      <w:tr>
        <w:trPr>
          <w:trHeight w:val="193"/>
        </w:trPr>
        <w:tc>
          <w:tcPr>
            <w:tcW w:w="94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Deferred revenue</w:t>
            </w:r>
          </w:p>
        </w:tc>
        <w:tc>
          <w:tcPr>
            <w:tcW w:w="160" w:type="dxa"/>
            <w:vAlign w:val="bottom"/>
            <w:tcBorders>
              <w:bottom w:val="single" w:sz="8" w:color="61656A"/>
            </w:tcBorders>
          </w:tcPr>
          <w:p>
            <w:pPr>
              <w:spacing w:after="0"/>
              <w:rPr>
                <w:sz w:val="16"/>
                <w:szCs w:val="16"/>
                <w:color w:val="auto"/>
              </w:rPr>
            </w:pPr>
          </w:p>
        </w:tc>
        <w:tc>
          <w:tcPr>
            <w:tcW w:w="7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(244)</w:t>
            </w:r>
          </w:p>
        </w:tc>
        <w:tc>
          <w:tcPr>
            <w:tcW w:w="280" w:type="dxa"/>
            <w:vAlign w:val="bottom"/>
            <w:tcBorders>
              <w:bottom w:val="single" w:sz="8" w:color="61656A"/>
            </w:tcBorders>
          </w:tcPr>
          <w:p>
            <w:pPr>
              <w:spacing w:after="0"/>
              <w:rPr>
                <w:sz w:val="16"/>
                <w:szCs w:val="16"/>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948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Pension</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(1,485)</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(1,132)</w:t>
            </w:r>
          </w:p>
        </w:tc>
      </w:tr>
      <w:tr>
        <w:trPr>
          <w:trHeight w:val="196"/>
        </w:trPr>
        <w:tc>
          <w:tcPr>
            <w:tcW w:w="948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Property, plant and equipment</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(371)</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(441)</w:t>
            </w:r>
          </w:p>
        </w:tc>
      </w:tr>
      <w:tr>
        <w:trPr>
          <w:trHeight w:val="196"/>
        </w:trPr>
        <w:tc>
          <w:tcPr>
            <w:tcW w:w="948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Right-of-use asset</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(242)</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(240)</w:t>
            </w:r>
          </w:p>
        </w:tc>
      </w:tr>
      <w:tr>
        <w:trPr>
          <w:trHeight w:val="196"/>
        </w:trPr>
        <w:tc>
          <w:tcPr>
            <w:tcW w:w="948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Intangibles</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(679)</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(817)</w:t>
            </w:r>
          </w:p>
        </w:tc>
      </w:tr>
      <w:tr>
        <w:trPr>
          <w:trHeight w:val="196"/>
        </w:trPr>
        <w:tc>
          <w:tcPr>
            <w:tcW w:w="948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Unremitted earnings of foreign subsidiaries</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(516)</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(542)</w:t>
            </w:r>
          </w:p>
        </w:tc>
      </w:tr>
      <w:tr>
        <w:trPr>
          <w:trHeight w:val="196"/>
        </w:trPr>
        <w:tc>
          <w:tcPr>
            <w:tcW w:w="948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Other asset basis differences</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(285)</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(369)</w:t>
            </w:r>
          </w:p>
        </w:tc>
      </w:tr>
      <w:tr>
        <w:trPr>
          <w:trHeight w:val="196"/>
        </w:trPr>
        <w:tc>
          <w:tcPr>
            <w:tcW w:w="948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Other</w:t>
            </w:r>
          </w:p>
        </w:tc>
        <w:tc>
          <w:tcPr>
            <w:tcW w:w="1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(5)</w:t>
            </w:r>
          </w:p>
        </w:tc>
      </w:tr>
      <w:tr>
        <w:trPr>
          <w:trHeight w:val="199"/>
        </w:trPr>
        <w:tc>
          <w:tcPr>
            <w:tcW w:w="9480" w:type="dxa"/>
            <w:vAlign w:val="bottom"/>
            <w:tcBorders>
              <w:bottom w:val="single" w:sz="8" w:color="D7282F"/>
            </w:tcBorders>
          </w:tcPr>
          <w:p>
            <w:pPr>
              <w:ind w:left="360"/>
              <w:spacing w:after="0"/>
              <w:rPr>
                <w:sz w:val="20"/>
                <w:szCs w:val="20"/>
                <w:color w:val="auto"/>
              </w:rPr>
            </w:pPr>
            <w:r>
              <w:rPr>
                <w:rFonts w:ascii="Arial" w:cs="Arial" w:eastAsia="Arial" w:hAnsi="Arial"/>
                <w:sz w:val="14"/>
                <w:szCs w:val="14"/>
                <w:b w:val="1"/>
                <w:bCs w:val="1"/>
                <w:color w:val="auto"/>
              </w:rPr>
              <w:t>Total deferred tax liabilities</w:t>
            </w:r>
          </w:p>
        </w:tc>
        <w:tc>
          <w:tcPr>
            <w:tcW w:w="1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(3,822)</w:t>
            </w:r>
          </w:p>
        </w:tc>
        <w:tc>
          <w:tcPr>
            <w:tcW w:w="28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(3,546)</w:t>
            </w:r>
          </w:p>
        </w:tc>
      </w:tr>
      <w:tr>
        <w:trPr>
          <w:trHeight w:val="196"/>
        </w:trPr>
        <w:tc>
          <w:tcPr>
            <w:tcW w:w="9480" w:type="dxa"/>
            <w:vAlign w:val="bottom"/>
            <w:tcBorders>
              <w:bottom w:val="single" w:sz="8" w:color="D7282F"/>
            </w:tcBorders>
          </w:tcPr>
          <w:p>
            <w:pPr>
              <w:ind w:left="460"/>
              <w:spacing w:after="0"/>
              <w:rPr>
                <w:sz w:val="20"/>
                <w:szCs w:val="20"/>
                <w:color w:val="auto"/>
              </w:rPr>
            </w:pPr>
            <w:r>
              <w:rPr>
                <w:rFonts w:ascii="Arial" w:cs="Arial" w:eastAsia="Arial" w:hAnsi="Arial"/>
                <w:sz w:val="14"/>
                <w:szCs w:val="14"/>
                <w:b w:val="1"/>
                <w:bCs w:val="1"/>
                <w:color w:val="auto"/>
              </w:rPr>
              <w:t>Net deferred tax liability</w:t>
            </w:r>
            <w:r>
              <w:rPr>
                <w:rFonts w:ascii="Arial" w:cs="Arial" w:eastAsia="Arial" w:hAnsi="Arial"/>
                <w:sz w:val="9"/>
                <w:szCs w:val="9"/>
                <w:b w:val="1"/>
                <w:bCs w:val="1"/>
                <w:color w:val="auto"/>
              </w:rPr>
              <w:t>1</w:t>
            </w:r>
          </w:p>
        </w:tc>
        <w:tc>
          <w:tcPr>
            <w:tcW w:w="16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7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(1,549)</w:t>
            </w:r>
          </w:p>
        </w:tc>
        <w:tc>
          <w:tcPr>
            <w:tcW w:w="2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(1,702)</w:t>
            </w:r>
          </w:p>
        </w:tc>
      </w:tr>
    </w:tbl>
    <w:p>
      <w:pPr>
        <w:spacing w:after="0" w:line="185" w:lineRule="exact"/>
        <w:rPr>
          <w:sz w:val="20"/>
          <w:szCs w:val="20"/>
          <w:color w:val="auto"/>
        </w:rPr>
      </w:pPr>
    </w:p>
    <w:p>
      <w:pPr>
        <w:ind w:left="460" w:right="20" w:hanging="324"/>
        <w:spacing w:after="0" w:line="180" w:lineRule="auto"/>
        <w:tabs>
          <w:tab w:leader="none" w:pos="460" w:val="left"/>
        </w:tabs>
        <w:numPr>
          <w:ilvl w:val="0"/>
          <w:numId w:val="129"/>
        </w:numPr>
        <w:rPr>
          <w:rFonts w:ascii="Arial" w:cs="Arial" w:eastAsia="Arial" w:hAnsi="Arial"/>
          <w:sz w:val="25"/>
          <w:szCs w:val="25"/>
          <w:color w:val="auto"/>
          <w:vertAlign w:val="superscript"/>
        </w:rPr>
      </w:pPr>
      <w:r>
        <w:rPr>
          <w:rFonts w:ascii="Arial" w:cs="Arial" w:eastAsia="Arial" w:hAnsi="Arial"/>
          <w:sz w:val="13"/>
          <w:szCs w:val="13"/>
          <w:color w:val="auto"/>
        </w:rPr>
        <w:t xml:space="preserve">As of December 31, 2024, Net deferred tax liability excludes $124 million that are included in Liabilities held for sale in the Consolidated Balance Sheet. Refer to Note 2 </w:t>
      </w:r>
      <w:r>
        <w:rPr>
          <w:rFonts w:ascii="Arial" w:cs="Arial" w:eastAsia="Arial" w:hAnsi="Arial"/>
          <w:sz w:val="13"/>
          <w:szCs w:val="13"/>
          <w:u w:val="single" w:color="auto"/>
          <w:color w:val="0000FF"/>
        </w:rPr>
        <w:t>Acquisitions,</w:t>
      </w:r>
      <w:r>
        <w:rPr>
          <w:rFonts w:ascii="Arial" w:cs="Arial" w:eastAsia="Arial" w:hAnsi="Arial"/>
          <w:sz w:val="13"/>
          <w:szCs w:val="13"/>
          <w:color w:val="auto"/>
        </w:rPr>
        <w:t xml:space="preserve"> </w:t>
      </w:r>
      <w:r>
        <w:rPr>
          <w:rFonts w:ascii="Arial" w:cs="Arial" w:eastAsia="Arial" w:hAnsi="Arial"/>
          <w:sz w:val="13"/>
          <w:szCs w:val="13"/>
          <w:u w:val="single" w:color="auto"/>
          <w:color w:val="0000FF"/>
        </w:rPr>
        <w:t>Divestitures, and Assets and Liabilities Held for Sale</w:t>
      </w:r>
      <w:r>
        <w:rPr>
          <w:rFonts w:ascii="Arial" w:cs="Arial" w:eastAsia="Arial" w:hAnsi="Arial"/>
          <w:sz w:val="13"/>
          <w:szCs w:val="13"/>
          <w:color w:val="000000"/>
        </w:rPr>
        <w:t>.</w:t>
      </w:r>
    </w:p>
    <w:p>
      <w:pPr>
        <w:spacing w:after="0" w:line="28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Company's gross deferred tax assets include $1,360 million related to non-U.S. operations comprised primarily of net operating losses and other tax attribute carryforwards in France, Germany, Luxembourg, Switzerland, and the United Kingdom. The Company maintains a valuation allowance of $1,066 million against a portion of the non-U.S. gross deferred tax assets and a valuation allowance of $187 million against the U.S. gross deferred tax asset, primarily related to capital loss carryovers. The change in the valuation allowance resulted in a decrease of $13 million, an increase of $458 million, and a decrease of $8 million to income tax expense in 2024, 2023, and 2022, respectively. If the Company determines that the likelihood of realization of existing deferred tax assets changes, a corresponding increase or decrease to valuation allowances will be recognized as an increase or reduction to income tax expense in the period that determination is made.</w:t>
      </w:r>
    </w:p>
    <w:p>
      <w:pPr>
        <w:spacing w:after="0" w:line="68"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As of December 31, 2024, the Company recorded a $516 million deferred tax liability on all unremitted foreign earnings based on estimated earnings and profits of approximately $18.3 billion as of the balance sheet date.</w:t>
      </w:r>
    </w:p>
    <w:p>
      <w:pPr>
        <w:spacing w:after="0" w:line="373" w:lineRule="exact"/>
        <w:rPr>
          <w:sz w:val="20"/>
          <w:szCs w:val="20"/>
          <w:color w:val="auto"/>
        </w:rPr>
      </w:pPr>
    </w:p>
    <w:p>
      <w:pPr>
        <w:ind w:left="400" w:hanging="392"/>
        <w:spacing w:after="0"/>
        <w:tabs>
          <w:tab w:leader="none" w:pos="400" w:val="left"/>
        </w:tabs>
        <w:numPr>
          <w:ilvl w:val="0"/>
          <w:numId w:val="130"/>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76" w:name="page77"/>
    <w:bookmarkEnd w:id="76"/>
    <w:p>
      <w:pPr>
        <w:ind w:left="20"/>
        <w:spacing w:after="0"/>
        <w:tabs>
          <w:tab w:leader="none" w:pos="784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FINANCIAL STATEMENTS AND SUPPLEMENTARY DATA</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2024, the Company's net operating loss, capital loss, tax credit carryforwards, and other attributes were as follows: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800" w:type="dxa"/>
            <w:vAlign w:val="bottom"/>
          </w:tcPr>
          <w:p>
            <w:pPr>
              <w:jc w:val="center"/>
              <w:ind w:right="248"/>
              <w:spacing w:after="0"/>
              <w:rPr>
                <w:sz w:val="20"/>
                <w:szCs w:val="20"/>
                <w:color w:val="auto"/>
              </w:rPr>
            </w:pPr>
            <w:r>
              <w:rPr>
                <w:rFonts w:ascii="Arial" w:cs="Arial" w:eastAsia="Arial" w:hAnsi="Arial"/>
                <w:sz w:val="14"/>
                <w:szCs w:val="14"/>
                <w:b w:val="1"/>
                <w:bCs w:val="1"/>
                <w:color w:val="auto"/>
              </w:rPr>
              <w:t>Net Operating</w:t>
            </w:r>
          </w:p>
        </w:tc>
        <w:tc>
          <w:tcPr>
            <w:tcW w:w="240" w:type="dxa"/>
            <w:vAlign w:val="bottom"/>
          </w:tcPr>
          <w:p>
            <w:pPr>
              <w:spacing w:after="0"/>
              <w:rPr>
                <w:sz w:val="14"/>
                <w:szCs w:val="14"/>
                <w:color w:val="auto"/>
              </w:rPr>
            </w:pPr>
          </w:p>
        </w:tc>
        <w:tc>
          <w:tcPr>
            <w:tcW w:w="1840" w:type="dxa"/>
            <w:vAlign w:val="bottom"/>
          </w:tcPr>
          <w:p>
            <w:pPr>
              <w:jc w:val="center"/>
              <w:ind w:right="28"/>
              <w:spacing w:after="0"/>
              <w:rPr>
                <w:sz w:val="20"/>
                <w:szCs w:val="20"/>
                <w:color w:val="auto"/>
              </w:rPr>
            </w:pPr>
            <w:r>
              <w:rPr>
                <w:rFonts w:ascii="Arial" w:cs="Arial" w:eastAsia="Arial" w:hAnsi="Arial"/>
                <w:sz w:val="14"/>
                <w:szCs w:val="14"/>
                <w:b w:val="1"/>
                <w:bCs w:val="1"/>
                <w:color w:val="auto"/>
              </w:rPr>
              <w:t>Tax Credit</w:t>
            </w:r>
          </w:p>
        </w:tc>
        <w:tc>
          <w:tcPr>
            <w:tcW w:w="0" w:type="dxa"/>
            <w:vAlign w:val="bottom"/>
          </w:tcPr>
          <w:p>
            <w:pPr>
              <w:spacing w:after="0"/>
              <w:rPr>
                <w:sz w:val="1"/>
                <w:szCs w:val="1"/>
                <w:color w:val="auto"/>
              </w:rPr>
            </w:pPr>
          </w:p>
        </w:tc>
      </w:tr>
      <w:tr>
        <w:trPr>
          <w:trHeight w:val="148"/>
        </w:trPr>
        <w:tc>
          <w:tcPr>
            <w:tcW w:w="40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Jurisdiction</w:t>
            </w:r>
          </w:p>
        </w:tc>
        <w:tc>
          <w:tcPr>
            <w:tcW w:w="3360" w:type="dxa"/>
            <w:vAlign w:val="bottom"/>
          </w:tcPr>
          <w:p>
            <w:pPr>
              <w:spacing w:after="0"/>
              <w:rPr>
                <w:sz w:val="12"/>
                <w:szCs w:val="12"/>
                <w:color w:val="auto"/>
              </w:rPr>
            </w:pPr>
          </w:p>
        </w:tc>
        <w:tc>
          <w:tcPr>
            <w:tcW w:w="1800" w:type="dxa"/>
            <w:vAlign w:val="bottom"/>
          </w:tcPr>
          <w:p>
            <w:pPr>
              <w:jc w:val="center"/>
              <w:ind w:right="248"/>
              <w:spacing w:after="0" w:line="149" w:lineRule="exact"/>
              <w:rPr>
                <w:sz w:val="20"/>
                <w:szCs w:val="20"/>
                <w:color w:val="auto"/>
              </w:rPr>
            </w:pPr>
            <w:r>
              <w:rPr>
                <w:rFonts w:ascii="Arial" w:cs="Arial" w:eastAsia="Arial" w:hAnsi="Arial"/>
                <w:sz w:val="14"/>
                <w:szCs w:val="14"/>
                <w:b w:val="1"/>
                <w:bCs w:val="1"/>
                <w:color w:val="auto"/>
              </w:rPr>
              <w:t>and Capital Loss</w:t>
            </w:r>
          </w:p>
        </w:tc>
        <w:tc>
          <w:tcPr>
            <w:tcW w:w="240" w:type="dxa"/>
            <w:vAlign w:val="bottom"/>
          </w:tcPr>
          <w:p>
            <w:pPr>
              <w:spacing w:after="0"/>
              <w:rPr>
                <w:sz w:val="12"/>
                <w:szCs w:val="12"/>
                <w:color w:val="auto"/>
              </w:rPr>
            </w:pPr>
          </w:p>
        </w:tc>
        <w:tc>
          <w:tcPr>
            <w:tcW w:w="184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rPr>
              <w:t>Carryforwards and Other</w:t>
            </w:r>
          </w:p>
        </w:tc>
        <w:tc>
          <w:tcPr>
            <w:tcW w:w="0" w:type="dxa"/>
            <w:vAlign w:val="bottom"/>
          </w:tcPr>
          <w:p>
            <w:pPr>
              <w:spacing w:after="0"/>
              <w:rPr>
                <w:sz w:val="1"/>
                <w:szCs w:val="1"/>
                <w:color w:val="auto"/>
              </w:rPr>
            </w:pPr>
          </w:p>
        </w:tc>
      </w:tr>
      <w:tr>
        <w:trPr>
          <w:trHeight w:val="185"/>
        </w:trPr>
        <w:tc>
          <w:tcPr>
            <w:tcW w:w="4000" w:type="dxa"/>
            <w:vAlign w:val="bottom"/>
            <w:tcBorders>
              <w:bottom w:val="single" w:sz="8" w:color="D7282F"/>
            </w:tcBorders>
            <w:vMerge w:val="continue"/>
          </w:tcPr>
          <w:p>
            <w:pPr>
              <w:spacing w:after="0"/>
              <w:rPr>
                <w:sz w:val="16"/>
                <w:szCs w:val="16"/>
                <w:color w:val="auto"/>
              </w:rPr>
            </w:pPr>
          </w:p>
        </w:tc>
        <w:tc>
          <w:tcPr>
            <w:tcW w:w="3360" w:type="dxa"/>
            <w:vAlign w:val="bottom"/>
            <w:tcBorders>
              <w:bottom w:val="single" w:sz="8" w:color="D7282F"/>
            </w:tcBorders>
          </w:tcPr>
          <w:p>
            <w:pPr>
              <w:spacing w:after="0"/>
              <w:rPr>
                <w:sz w:val="16"/>
                <w:szCs w:val="16"/>
                <w:color w:val="auto"/>
              </w:rPr>
            </w:pPr>
          </w:p>
        </w:tc>
        <w:tc>
          <w:tcPr>
            <w:tcW w:w="1800" w:type="dxa"/>
            <w:vAlign w:val="bottom"/>
            <w:tcBorders>
              <w:bottom w:val="single" w:sz="8" w:color="D7282F"/>
            </w:tcBorders>
          </w:tcPr>
          <w:p>
            <w:pPr>
              <w:jc w:val="center"/>
              <w:ind w:right="268"/>
              <w:spacing w:after="0"/>
              <w:rPr>
                <w:sz w:val="20"/>
                <w:szCs w:val="20"/>
                <w:color w:val="auto"/>
              </w:rPr>
            </w:pPr>
            <w:r>
              <w:rPr>
                <w:rFonts w:ascii="Arial" w:cs="Arial" w:eastAsia="Arial" w:hAnsi="Arial"/>
                <w:sz w:val="14"/>
                <w:szCs w:val="14"/>
                <w:b w:val="1"/>
                <w:bCs w:val="1"/>
                <w:color w:val="auto"/>
              </w:rPr>
              <w:t>Carryforwards</w:t>
            </w:r>
          </w:p>
        </w:tc>
        <w:tc>
          <w:tcPr>
            <w:tcW w:w="240" w:type="dxa"/>
            <w:vAlign w:val="bottom"/>
            <w:tcBorders>
              <w:bottom w:val="single" w:sz="8" w:color="D7282F"/>
            </w:tcBorders>
          </w:tcPr>
          <w:p>
            <w:pPr>
              <w:spacing w:after="0"/>
              <w:rPr>
                <w:sz w:val="16"/>
                <w:szCs w:val="16"/>
                <w:color w:val="auto"/>
              </w:rPr>
            </w:pPr>
          </w:p>
        </w:tc>
        <w:tc>
          <w:tcPr>
            <w:tcW w:w="1840" w:type="dxa"/>
            <w:vAlign w:val="bottom"/>
            <w:tcBorders>
              <w:bottom w:val="single" w:sz="8" w:color="D7282F"/>
            </w:tcBorders>
          </w:tcPr>
          <w:p>
            <w:pPr>
              <w:jc w:val="center"/>
              <w:ind w:right="48"/>
              <w:spacing w:after="0"/>
              <w:rPr>
                <w:sz w:val="20"/>
                <w:szCs w:val="20"/>
                <w:color w:val="auto"/>
              </w:rPr>
            </w:pPr>
            <w:r>
              <w:rPr>
                <w:rFonts w:ascii="Arial" w:cs="Arial" w:eastAsia="Arial" w:hAnsi="Arial"/>
                <w:sz w:val="14"/>
                <w:szCs w:val="14"/>
                <w:b w:val="1"/>
                <w:bCs w:val="1"/>
                <w:color w:val="auto"/>
              </w:rPr>
              <w:t>Attributes</w:t>
            </w:r>
          </w:p>
        </w:tc>
        <w:tc>
          <w:tcPr>
            <w:tcW w:w="0" w:type="dxa"/>
            <w:vAlign w:val="bottom"/>
          </w:tcPr>
          <w:p>
            <w:pPr>
              <w:spacing w:after="0"/>
              <w:rPr>
                <w:sz w:val="1"/>
                <w:szCs w:val="1"/>
                <w:color w:val="auto"/>
              </w:rPr>
            </w:pPr>
          </w:p>
        </w:tc>
      </w:tr>
      <w:tr>
        <w:trPr>
          <w:trHeight w:val="192"/>
        </w:trPr>
        <w:tc>
          <w:tcPr>
            <w:tcW w:w="400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U.S. Federal</w:t>
            </w:r>
          </w:p>
        </w:tc>
        <w:tc>
          <w:tcPr>
            <w:tcW w:w="336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w:t>
            </w:r>
          </w:p>
        </w:tc>
        <w:tc>
          <w:tcPr>
            <w:tcW w:w="180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530</w:t>
            </w:r>
          </w:p>
        </w:tc>
        <w:tc>
          <w:tcPr>
            <w:tcW w:w="2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18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96"/>
        </w:trPr>
        <w:tc>
          <w:tcPr>
            <w:tcW w:w="400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U.S. State</w:t>
            </w:r>
          </w:p>
        </w:tc>
        <w:tc>
          <w:tcPr>
            <w:tcW w:w="3360" w:type="dxa"/>
            <w:vAlign w:val="bottom"/>
            <w:tcBorders>
              <w:bottom w:val="single" w:sz="8" w:color="888B8D"/>
            </w:tcBorders>
          </w:tcPr>
          <w:p>
            <w:pPr>
              <w:spacing w:after="0"/>
              <w:rPr>
                <w:sz w:val="17"/>
                <w:szCs w:val="17"/>
                <w:color w:val="auto"/>
              </w:rPr>
            </w:pPr>
          </w:p>
        </w:tc>
        <w:tc>
          <w:tcPr>
            <w:tcW w:w="180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725</w:t>
            </w:r>
          </w:p>
        </w:tc>
        <w:tc>
          <w:tcPr>
            <w:tcW w:w="240" w:type="dxa"/>
            <w:vAlign w:val="bottom"/>
            <w:tcBorders>
              <w:bottom w:val="single" w:sz="8" w:color="888B8D"/>
            </w:tcBorders>
          </w:tcPr>
          <w:p>
            <w:pPr>
              <w:spacing w:after="0"/>
              <w:rPr>
                <w:sz w:val="17"/>
                <w:szCs w:val="17"/>
                <w:color w:val="auto"/>
              </w:rPr>
            </w:pPr>
          </w:p>
        </w:tc>
        <w:tc>
          <w:tcPr>
            <w:tcW w:w="18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96"/>
        </w:trPr>
        <w:tc>
          <w:tcPr>
            <w:tcW w:w="400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Non-U.S.</w:t>
            </w:r>
          </w:p>
        </w:tc>
        <w:tc>
          <w:tcPr>
            <w:tcW w:w="3360" w:type="dxa"/>
            <w:vAlign w:val="bottom"/>
            <w:tcBorders>
              <w:bottom w:val="single" w:sz="8" w:color="D7282F"/>
            </w:tcBorders>
          </w:tcPr>
          <w:p>
            <w:pPr>
              <w:spacing w:after="0"/>
              <w:rPr>
                <w:sz w:val="17"/>
                <w:szCs w:val="17"/>
                <w:color w:val="auto"/>
              </w:rPr>
            </w:pPr>
          </w:p>
        </w:tc>
        <w:tc>
          <w:tcPr>
            <w:tcW w:w="18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3,465</w:t>
            </w:r>
          </w:p>
        </w:tc>
        <w:tc>
          <w:tcPr>
            <w:tcW w:w="240" w:type="dxa"/>
            <w:vAlign w:val="bottom"/>
            <w:tcBorders>
              <w:bottom w:val="single" w:sz="8" w:color="D7282F"/>
            </w:tcBorders>
          </w:tcPr>
          <w:p>
            <w:pPr>
              <w:spacing w:after="0"/>
              <w:rPr>
                <w:sz w:val="17"/>
                <w:szCs w:val="17"/>
                <w:color w:val="auto"/>
              </w:rPr>
            </w:pPr>
          </w:p>
        </w:tc>
        <w:tc>
          <w:tcPr>
            <w:tcW w:w="18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232</w:t>
            </w:r>
          </w:p>
        </w:tc>
        <w:tc>
          <w:tcPr>
            <w:tcW w:w="0" w:type="dxa"/>
            <w:vAlign w:val="bottom"/>
          </w:tcPr>
          <w:p>
            <w:pPr>
              <w:spacing w:after="0"/>
              <w:rPr>
                <w:sz w:val="1"/>
                <w:szCs w:val="1"/>
                <w:color w:val="auto"/>
              </w:rPr>
            </w:pPr>
          </w:p>
        </w:tc>
      </w:tr>
      <w:tr>
        <w:trPr>
          <w:trHeight w:val="199"/>
        </w:trPr>
        <w:tc>
          <w:tcPr>
            <w:tcW w:w="400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w:t>
            </w:r>
          </w:p>
        </w:tc>
        <w:tc>
          <w:tcPr>
            <w:tcW w:w="33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8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4,720</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8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269</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Many jurisdictions impose limitations on the timing and utilization of net operating loss and tax credit carryforwards. Approximately $3,111 million of the non-U.S. net operating loss has no expiration period. The U.S. federal capital loss carryforward of $510 million expires in 2026. The remaining net operating loss, capital loss and credit carryforwards, and other tax attributes have expiration periods through 2044.</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summarizes the Company's change in unrecognized tax benefits for the years ended December 31, 2024, 2023, and 2022:</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480" w:type="dxa"/>
            <w:vAlign w:val="bottom"/>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2600" w:type="dxa"/>
            <w:vAlign w:val="bottom"/>
            <w:tcBorders>
              <w:bottom w:val="single" w:sz="8" w:color="D7282F"/>
            </w:tcBorders>
            <w:gridSpan w:val="5"/>
          </w:tcPr>
          <w:p>
            <w:pPr>
              <w:jc w:val="right"/>
              <w:ind w:right="388"/>
              <w:spacing w:after="0"/>
              <w:rPr>
                <w:sz w:val="20"/>
                <w:szCs w:val="20"/>
                <w:color w:val="auto"/>
              </w:rPr>
            </w:pPr>
            <w:r>
              <w:rPr>
                <w:rFonts w:ascii="Arial" w:cs="Arial" w:eastAsia="Arial" w:hAnsi="Arial"/>
                <w:sz w:val="14"/>
                <w:szCs w:val="14"/>
                <w:b w:val="1"/>
                <w:bCs w:val="1"/>
                <w:color w:val="auto"/>
              </w:rPr>
              <w:t>Years Ended December 31,</w:t>
            </w:r>
          </w:p>
        </w:tc>
      </w:tr>
      <w:tr>
        <w:trPr>
          <w:trHeight w:val="196"/>
        </w:trPr>
        <w:tc>
          <w:tcPr>
            <w:tcW w:w="8480" w:type="dxa"/>
            <w:vAlign w:val="bottom"/>
            <w:tcBorders>
              <w:bottom w:val="single" w:sz="8" w:color="D7282F"/>
            </w:tcBorders>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2024</w:t>
            </w:r>
          </w:p>
        </w:tc>
        <w:tc>
          <w:tcPr>
            <w:tcW w:w="28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2023</w:t>
            </w:r>
          </w:p>
        </w:tc>
        <w:tc>
          <w:tcPr>
            <w:tcW w:w="28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2022</w:t>
            </w:r>
          </w:p>
        </w:tc>
      </w:tr>
      <w:tr>
        <w:trPr>
          <w:trHeight w:val="193"/>
        </w:trPr>
        <w:tc>
          <w:tcPr>
            <w:tcW w:w="8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Change in unrecognized tax benefits</w:t>
            </w:r>
          </w:p>
        </w:tc>
        <w:tc>
          <w:tcPr>
            <w:tcW w:w="160" w:type="dxa"/>
            <w:vAlign w:val="bottom"/>
            <w:tcBorders>
              <w:bottom w:val="single" w:sz="8" w:color="888B8D"/>
            </w:tcBorders>
          </w:tcPr>
          <w:p>
            <w:pPr>
              <w:spacing w:after="0"/>
              <w:rPr>
                <w:sz w:val="16"/>
                <w:szCs w:val="16"/>
                <w:color w:val="auto"/>
              </w:rPr>
            </w:pPr>
          </w:p>
        </w:tc>
        <w:tc>
          <w:tcPr>
            <w:tcW w:w="720" w:type="dxa"/>
            <w:vAlign w:val="bottom"/>
            <w:tcBorders>
              <w:bottom w:val="single" w:sz="8" w:color="888B8D"/>
            </w:tcBorders>
          </w:tcPr>
          <w:p>
            <w:pPr>
              <w:spacing w:after="0"/>
              <w:rPr>
                <w:sz w:val="16"/>
                <w:szCs w:val="16"/>
                <w:color w:val="auto"/>
              </w:rPr>
            </w:pPr>
          </w:p>
        </w:tc>
        <w:tc>
          <w:tcPr>
            <w:tcW w:w="280" w:type="dxa"/>
            <w:vAlign w:val="bottom"/>
            <w:tcBorders>
              <w:bottom w:val="single" w:sz="8" w:color="888B8D"/>
            </w:tcBorders>
          </w:tcPr>
          <w:p>
            <w:pPr>
              <w:spacing w:after="0"/>
              <w:rPr>
                <w:sz w:val="16"/>
                <w:szCs w:val="16"/>
                <w:color w:val="auto"/>
              </w:rPr>
            </w:pPr>
          </w:p>
        </w:tc>
        <w:tc>
          <w:tcPr>
            <w:tcW w:w="720" w:type="dxa"/>
            <w:vAlign w:val="bottom"/>
            <w:tcBorders>
              <w:bottom w:val="single" w:sz="8" w:color="888B8D"/>
            </w:tcBorders>
          </w:tcPr>
          <w:p>
            <w:pPr>
              <w:spacing w:after="0"/>
              <w:rPr>
                <w:sz w:val="16"/>
                <w:szCs w:val="16"/>
                <w:color w:val="auto"/>
              </w:rPr>
            </w:pPr>
          </w:p>
        </w:tc>
        <w:tc>
          <w:tcPr>
            <w:tcW w:w="280" w:type="dxa"/>
            <w:vAlign w:val="bottom"/>
            <w:tcBorders>
              <w:bottom w:val="single" w:sz="8" w:color="888B8D"/>
            </w:tcBorders>
          </w:tcPr>
          <w:p>
            <w:pPr>
              <w:spacing w:after="0"/>
              <w:rPr>
                <w:sz w:val="16"/>
                <w:szCs w:val="16"/>
                <w:color w:val="auto"/>
              </w:rPr>
            </w:pPr>
          </w:p>
        </w:tc>
        <w:tc>
          <w:tcPr>
            <w:tcW w:w="600" w:type="dxa"/>
            <w:vAlign w:val="bottom"/>
            <w:tcBorders>
              <w:bottom w:val="single" w:sz="8" w:color="888B8D"/>
            </w:tcBorders>
          </w:tcPr>
          <w:p>
            <w:pPr>
              <w:spacing w:after="0"/>
              <w:rPr>
                <w:sz w:val="16"/>
                <w:szCs w:val="16"/>
                <w:color w:val="auto"/>
              </w:rPr>
            </w:pPr>
          </w:p>
        </w:tc>
      </w:tr>
      <w:tr>
        <w:trPr>
          <w:trHeight w:val="196"/>
        </w:trPr>
        <w:tc>
          <w:tcPr>
            <w:tcW w:w="848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Balance at beginning of year</w:t>
            </w:r>
          </w:p>
        </w:tc>
        <w:tc>
          <w:tcPr>
            <w:tcW w:w="1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1,225</w:t>
            </w:r>
          </w:p>
        </w:tc>
        <w:tc>
          <w:tcPr>
            <w:tcW w:w="280" w:type="dxa"/>
            <w:vAlign w:val="bottom"/>
            <w:tcBorders>
              <w:bottom w:val="single" w:sz="8" w:color="888B8D"/>
            </w:tcBorders>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1,086</w:t>
            </w:r>
          </w:p>
        </w:tc>
        <w:tc>
          <w:tcPr>
            <w:tcW w:w="280" w:type="dxa"/>
            <w:vAlign w:val="bottom"/>
            <w:tcBorders>
              <w:bottom w:val="single" w:sz="8" w:color="888B8D"/>
            </w:tcBorders>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1,061</w:t>
            </w:r>
          </w:p>
        </w:tc>
      </w:tr>
      <w:tr>
        <w:trPr>
          <w:trHeight w:val="196"/>
        </w:trPr>
        <w:tc>
          <w:tcPr>
            <w:tcW w:w="848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Gross increases related to current period tax positions</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64</w:t>
            </w:r>
          </w:p>
        </w:tc>
        <w:tc>
          <w:tcPr>
            <w:tcW w:w="28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89</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64</w:t>
            </w:r>
          </w:p>
        </w:tc>
      </w:tr>
      <w:tr>
        <w:trPr>
          <w:trHeight w:val="196"/>
        </w:trPr>
        <w:tc>
          <w:tcPr>
            <w:tcW w:w="848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Gross increases related to prior periods tax positions</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12</w:t>
            </w:r>
          </w:p>
        </w:tc>
        <w:tc>
          <w:tcPr>
            <w:tcW w:w="28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181</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31</w:t>
            </w:r>
          </w:p>
        </w:tc>
      </w:tr>
      <w:tr>
        <w:trPr>
          <w:trHeight w:val="196"/>
        </w:trPr>
        <w:tc>
          <w:tcPr>
            <w:tcW w:w="848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Gross decreases related to prior periods tax positions</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(17)</w:t>
            </w:r>
          </w:p>
        </w:tc>
        <w:tc>
          <w:tcPr>
            <w:tcW w:w="28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(19)</w:t>
            </w:r>
          </w:p>
        </w:tc>
      </w:tr>
      <w:tr>
        <w:trPr>
          <w:trHeight w:val="196"/>
        </w:trPr>
        <w:tc>
          <w:tcPr>
            <w:tcW w:w="848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Decrease related to resolutions of audits with tax authorities</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(31)</w:t>
            </w:r>
          </w:p>
        </w:tc>
        <w:tc>
          <w:tcPr>
            <w:tcW w:w="28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(132)</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(3)</w:t>
            </w:r>
          </w:p>
        </w:tc>
      </w:tr>
      <w:tr>
        <w:trPr>
          <w:trHeight w:val="196"/>
        </w:trPr>
        <w:tc>
          <w:tcPr>
            <w:tcW w:w="848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Expiration of the statute of limitations for the assessment of taxes</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(9)</w:t>
            </w:r>
          </w:p>
        </w:tc>
        <w:tc>
          <w:tcPr>
            <w:tcW w:w="28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(3)</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(8)</w:t>
            </w:r>
          </w:p>
        </w:tc>
      </w:tr>
      <w:tr>
        <w:trPr>
          <w:trHeight w:val="196"/>
        </w:trPr>
        <w:tc>
          <w:tcPr>
            <w:tcW w:w="848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Foreign currency translation</w:t>
            </w:r>
          </w:p>
        </w:tc>
        <w:tc>
          <w:tcPr>
            <w:tcW w:w="1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(33)</w:t>
            </w:r>
          </w:p>
        </w:tc>
        <w:tc>
          <w:tcPr>
            <w:tcW w:w="28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4</w:t>
            </w:r>
          </w:p>
        </w:tc>
        <w:tc>
          <w:tcPr>
            <w:tcW w:w="28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(40)</w:t>
            </w:r>
          </w:p>
        </w:tc>
      </w:tr>
      <w:tr>
        <w:trPr>
          <w:trHeight w:val="199"/>
        </w:trPr>
        <w:tc>
          <w:tcPr>
            <w:tcW w:w="84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Balance at end of year</w:t>
            </w: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1,211</w:t>
            </w:r>
          </w:p>
        </w:tc>
        <w:tc>
          <w:tcPr>
            <w:tcW w:w="2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1,225</w:t>
            </w:r>
          </w:p>
        </w:tc>
        <w:tc>
          <w:tcPr>
            <w:tcW w:w="2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1,086</w:t>
            </w:r>
          </w:p>
        </w:tc>
      </w:tr>
    </w:tbl>
    <w:p>
      <w:pPr>
        <w:spacing w:after="0" w:line="175"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As of December 31, 2024, 2023, and 2022, there were $1,211 million, $1,225 million, and $1,086 million, respectively, of unrecognized tax benefits that if recognized would be recorded as a component of tax expense.</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tax years that remain subject to examination by major tax jurisdictions as of December 31, 2024:</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400" w:type="dxa"/>
            <w:vAlign w:val="bottom"/>
          </w:tcPr>
          <w:p>
            <w:pPr>
              <w:spacing w:after="0"/>
              <w:rPr>
                <w:sz w:val="17"/>
                <w:szCs w:val="17"/>
                <w:color w:val="auto"/>
              </w:rPr>
            </w:pPr>
          </w:p>
        </w:tc>
        <w:tc>
          <w:tcPr>
            <w:tcW w:w="4840" w:type="dxa"/>
            <w:vAlign w:val="bottom"/>
            <w:tcBorders>
              <w:bottom w:val="single" w:sz="8" w:color="D7282F"/>
            </w:tcBorders>
            <w:gridSpan w:val="2"/>
          </w:tcPr>
          <w:p>
            <w:pPr>
              <w:ind w:left="1880"/>
              <w:spacing w:after="0"/>
              <w:rPr>
                <w:sz w:val="20"/>
                <w:szCs w:val="20"/>
                <w:color w:val="auto"/>
              </w:rPr>
            </w:pPr>
            <w:r>
              <w:rPr>
                <w:rFonts w:ascii="Arial" w:cs="Arial" w:eastAsia="Arial" w:hAnsi="Arial"/>
                <w:sz w:val="14"/>
                <w:szCs w:val="14"/>
                <w:b w:val="1"/>
                <w:bCs w:val="1"/>
                <w:color w:val="auto"/>
              </w:rPr>
              <w:t>Open Tax Years</w:t>
            </w:r>
          </w:p>
        </w:tc>
      </w:tr>
      <w:tr>
        <w:trPr>
          <w:trHeight w:val="236"/>
        </w:trPr>
        <w:tc>
          <w:tcPr>
            <w:tcW w:w="64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Jurisdiction</w:t>
            </w:r>
          </w:p>
        </w:tc>
        <w:tc>
          <w:tcPr>
            <w:tcW w:w="2260" w:type="dxa"/>
            <w:vAlign w:val="bottom"/>
            <w:tcBorders>
              <w:bottom w:val="single" w:sz="8" w:color="D7282F"/>
            </w:tcBorders>
          </w:tcPr>
          <w:p>
            <w:pPr>
              <w:jc w:val="center"/>
              <w:spacing w:after="0"/>
              <w:rPr>
                <w:sz w:val="20"/>
                <w:szCs w:val="20"/>
                <w:color w:val="auto"/>
              </w:rPr>
            </w:pPr>
            <w:r>
              <w:rPr>
                <w:rFonts w:ascii="Arial" w:cs="Arial" w:eastAsia="Arial" w:hAnsi="Arial"/>
                <w:sz w:val="14"/>
                <w:szCs w:val="14"/>
                <w:b w:val="1"/>
                <w:bCs w:val="1"/>
                <w:color w:val="auto"/>
              </w:rPr>
              <w:t>Examination in progress</w:t>
            </w:r>
          </w:p>
        </w:tc>
        <w:tc>
          <w:tcPr>
            <w:tcW w:w="2580" w:type="dxa"/>
            <w:vAlign w:val="bottom"/>
            <w:tcBorders>
              <w:bottom w:val="single" w:sz="8" w:color="D7282F"/>
            </w:tcBorders>
          </w:tcPr>
          <w:p>
            <w:pPr>
              <w:jc w:val="center"/>
              <w:spacing w:after="0"/>
              <w:rPr>
                <w:sz w:val="20"/>
                <w:szCs w:val="20"/>
                <w:color w:val="auto"/>
              </w:rPr>
            </w:pPr>
            <w:r>
              <w:rPr>
                <w:rFonts w:ascii="Arial" w:cs="Arial" w:eastAsia="Arial" w:hAnsi="Arial"/>
                <w:sz w:val="14"/>
                <w:szCs w:val="14"/>
                <w:b w:val="1"/>
                <w:bCs w:val="1"/>
                <w:color w:val="auto"/>
              </w:rPr>
              <w:t>Examination not yet initiated</w:t>
            </w:r>
          </w:p>
        </w:tc>
      </w:tr>
      <w:tr>
        <w:trPr>
          <w:trHeight w:val="193"/>
        </w:trPr>
        <w:tc>
          <w:tcPr>
            <w:tcW w:w="640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U.S. Federal</w:t>
            </w:r>
          </w:p>
        </w:tc>
        <w:tc>
          <w:tcPr>
            <w:tcW w:w="2260" w:type="dxa"/>
            <w:vAlign w:val="bottom"/>
            <w:tcBorders>
              <w:bottom w:val="single" w:sz="8" w:color="888B8D"/>
            </w:tcBorders>
          </w:tcPr>
          <w:p>
            <w:pPr>
              <w:jc w:val="center"/>
              <w:spacing w:after="0"/>
              <w:rPr>
                <w:sz w:val="20"/>
                <w:szCs w:val="20"/>
                <w:color w:val="auto"/>
              </w:rPr>
            </w:pPr>
            <w:r>
              <w:rPr>
                <w:rFonts w:ascii="Arial" w:cs="Arial" w:eastAsia="Arial" w:hAnsi="Arial"/>
                <w:sz w:val="14"/>
                <w:szCs w:val="14"/>
                <w:color w:val="auto"/>
              </w:rPr>
              <w:t>2017-2021</w:t>
            </w:r>
          </w:p>
        </w:tc>
        <w:tc>
          <w:tcPr>
            <w:tcW w:w="2580" w:type="dxa"/>
            <w:vAlign w:val="bottom"/>
            <w:tcBorders>
              <w:bottom w:val="single" w:sz="8" w:color="888B8D"/>
            </w:tcBorders>
          </w:tcPr>
          <w:p>
            <w:pPr>
              <w:jc w:val="center"/>
              <w:spacing w:after="0"/>
              <w:rPr>
                <w:sz w:val="20"/>
                <w:szCs w:val="20"/>
                <w:color w:val="auto"/>
              </w:rPr>
            </w:pPr>
            <w:r>
              <w:rPr>
                <w:rFonts w:ascii="Arial" w:cs="Arial" w:eastAsia="Arial" w:hAnsi="Arial"/>
                <w:sz w:val="14"/>
                <w:szCs w:val="14"/>
                <w:color w:val="auto"/>
              </w:rPr>
              <w:t>2022-2024</w:t>
            </w:r>
          </w:p>
        </w:tc>
      </w:tr>
      <w:tr>
        <w:trPr>
          <w:trHeight w:val="196"/>
        </w:trPr>
        <w:tc>
          <w:tcPr>
            <w:tcW w:w="640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U.S. State</w:t>
            </w:r>
          </w:p>
        </w:tc>
        <w:tc>
          <w:tcPr>
            <w:tcW w:w="2260" w:type="dxa"/>
            <w:vAlign w:val="bottom"/>
            <w:tcBorders>
              <w:bottom w:val="single" w:sz="8" w:color="888B8D"/>
            </w:tcBorders>
          </w:tcPr>
          <w:p>
            <w:pPr>
              <w:jc w:val="center"/>
              <w:spacing w:after="0"/>
              <w:rPr>
                <w:sz w:val="20"/>
                <w:szCs w:val="20"/>
                <w:color w:val="auto"/>
              </w:rPr>
            </w:pPr>
            <w:r>
              <w:rPr>
                <w:rFonts w:ascii="Arial" w:cs="Arial" w:eastAsia="Arial" w:hAnsi="Arial"/>
                <w:sz w:val="14"/>
                <w:szCs w:val="14"/>
                <w:color w:val="auto"/>
              </w:rPr>
              <w:t>2013-2022</w:t>
            </w:r>
          </w:p>
        </w:tc>
        <w:tc>
          <w:tcPr>
            <w:tcW w:w="2580" w:type="dxa"/>
            <w:vAlign w:val="bottom"/>
            <w:tcBorders>
              <w:bottom w:val="single" w:sz="8" w:color="888B8D"/>
            </w:tcBorders>
          </w:tcPr>
          <w:p>
            <w:pPr>
              <w:jc w:val="center"/>
              <w:spacing w:after="0"/>
              <w:rPr>
                <w:sz w:val="20"/>
                <w:szCs w:val="20"/>
                <w:color w:val="auto"/>
              </w:rPr>
            </w:pPr>
            <w:r>
              <w:rPr>
                <w:rFonts w:ascii="Arial" w:cs="Arial" w:eastAsia="Arial" w:hAnsi="Arial"/>
                <w:sz w:val="14"/>
                <w:szCs w:val="14"/>
                <w:color w:val="auto"/>
              </w:rPr>
              <w:t>2023-2024</w:t>
            </w:r>
          </w:p>
        </w:tc>
      </w:tr>
      <w:tr>
        <w:trPr>
          <w:trHeight w:val="196"/>
        </w:trPr>
        <w:tc>
          <w:tcPr>
            <w:tcW w:w="640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Canada</w:t>
            </w:r>
          </w:p>
        </w:tc>
        <w:tc>
          <w:tcPr>
            <w:tcW w:w="2260" w:type="dxa"/>
            <w:vAlign w:val="bottom"/>
            <w:tcBorders>
              <w:bottom w:val="single" w:sz="8" w:color="888B8D"/>
            </w:tcBorders>
          </w:tcPr>
          <w:p>
            <w:pPr>
              <w:jc w:val="center"/>
              <w:spacing w:after="0"/>
              <w:rPr>
                <w:sz w:val="20"/>
                <w:szCs w:val="20"/>
                <w:color w:val="auto"/>
              </w:rPr>
            </w:pPr>
            <w:r>
              <w:rPr>
                <w:rFonts w:ascii="Arial" w:cs="Arial" w:eastAsia="Arial" w:hAnsi="Arial"/>
                <w:sz w:val="14"/>
                <w:szCs w:val="14"/>
                <w:color w:val="auto"/>
              </w:rPr>
              <w:t>2019-2021</w:t>
            </w:r>
          </w:p>
        </w:tc>
        <w:tc>
          <w:tcPr>
            <w:tcW w:w="2580" w:type="dxa"/>
            <w:vAlign w:val="bottom"/>
            <w:tcBorders>
              <w:bottom w:val="single" w:sz="8" w:color="888B8D"/>
            </w:tcBorders>
          </w:tcPr>
          <w:p>
            <w:pPr>
              <w:jc w:val="center"/>
              <w:spacing w:after="0"/>
              <w:rPr>
                <w:sz w:val="20"/>
                <w:szCs w:val="20"/>
                <w:color w:val="auto"/>
              </w:rPr>
            </w:pPr>
            <w:r>
              <w:rPr>
                <w:rFonts w:ascii="Arial" w:cs="Arial" w:eastAsia="Arial" w:hAnsi="Arial"/>
                <w:sz w:val="14"/>
                <w:szCs w:val="14"/>
                <w:color w:val="auto"/>
              </w:rPr>
              <w:t>2022-2024</w:t>
            </w:r>
          </w:p>
        </w:tc>
      </w:tr>
      <w:tr>
        <w:trPr>
          <w:trHeight w:val="196"/>
        </w:trPr>
        <w:tc>
          <w:tcPr>
            <w:tcW w:w="640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China</w:t>
            </w:r>
          </w:p>
        </w:tc>
        <w:tc>
          <w:tcPr>
            <w:tcW w:w="2260" w:type="dxa"/>
            <w:vAlign w:val="bottom"/>
            <w:tcBorders>
              <w:bottom w:val="single" w:sz="8" w:color="888B8D"/>
            </w:tcBorders>
          </w:tcPr>
          <w:p>
            <w:pPr>
              <w:jc w:val="center"/>
              <w:spacing w:after="0"/>
              <w:rPr>
                <w:sz w:val="20"/>
                <w:szCs w:val="20"/>
                <w:color w:val="auto"/>
              </w:rPr>
            </w:pPr>
            <w:r>
              <w:rPr>
                <w:rFonts w:ascii="Arial" w:cs="Arial" w:eastAsia="Arial" w:hAnsi="Arial"/>
                <w:sz w:val="14"/>
                <w:szCs w:val="14"/>
                <w:color w:val="auto"/>
              </w:rPr>
              <w:t>2013-2024</w:t>
            </w:r>
          </w:p>
        </w:tc>
        <w:tc>
          <w:tcPr>
            <w:tcW w:w="2580" w:type="dxa"/>
            <w:vAlign w:val="bottom"/>
            <w:tcBorders>
              <w:bottom w:val="single" w:sz="8" w:color="888B8D"/>
            </w:tcBorders>
          </w:tcPr>
          <w:p>
            <w:pPr>
              <w:jc w:val="center"/>
              <w:spacing w:after="0"/>
              <w:rPr>
                <w:sz w:val="20"/>
                <w:szCs w:val="20"/>
                <w:color w:val="auto"/>
              </w:rPr>
            </w:pPr>
            <w:r>
              <w:rPr>
                <w:rFonts w:ascii="Arial" w:cs="Arial" w:eastAsia="Arial" w:hAnsi="Arial"/>
                <w:sz w:val="14"/>
                <w:szCs w:val="14"/>
                <w:color w:val="auto"/>
              </w:rPr>
              <w:t>N/A</w:t>
            </w:r>
          </w:p>
        </w:tc>
      </w:tr>
      <w:tr>
        <w:trPr>
          <w:trHeight w:val="196"/>
        </w:trPr>
        <w:tc>
          <w:tcPr>
            <w:tcW w:w="640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Germany</w:t>
            </w:r>
          </w:p>
        </w:tc>
        <w:tc>
          <w:tcPr>
            <w:tcW w:w="2260" w:type="dxa"/>
            <w:vAlign w:val="bottom"/>
            <w:tcBorders>
              <w:bottom w:val="single" w:sz="8" w:color="888B8D"/>
            </w:tcBorders>
          </w:tcPr>
          <w:p>
            <w:pPr>
              <w:jc w:val="center"/>
              <w:spacing w:after="0"/>
              <w:rPr>
                <w:sz w:val="20"/>
                <w:szCs w:val="20"/>
                <w:color w:val="auto"/>
              </w:rPr>
            </w:pPr>
            <w:r>
              <w:rPr>
                <w:rFonts w:ascii="Arial" w:cs="Arial" w:eastAsia="Arial" w:hAnsi="Arial"/>
                <w:sz w:val="14"/>
                <w:szCs w:val="14"/>
                <w:color w:val="auto"/>
              </w:rPr>
              <w:t>2013-2020</w:t>
            </w:r>
          </w:p>
        </w:tc>
        <w:tc>
          <w:tcPr>
            <w:tcW w:w="2580" w:type="dxa"/>
            <w:vAlign w:val="bottom"/>
            <w:tcBorders>
              <w:bottom w:val="single" w:sz="8" w:color="888B8D"/>
            </w:tcBorders>
          </w:tcPr>
          <w:p>
            <w:pPr>
              <w:jc w:val="center"/>
              <w:spacing w:after="0"/>
              <w:rPr>
                <w:sz w:val="20"/>
                <w:szCs w:val="20"/>
                <w:color w:val="auto"/>
              </w:rPr>
            </w:pPr>
            <w:r>
              <w:rPr>
                <w:rFonts w:ascii="Arial" w:cs="Arial" w:eastAsia="Arial" w:hAnsi="Arial"/>
                <w:sz w:val="14"/>
                <w:szCs w:val="14"/>
                <w:color w:val="auto"/>
              </w:rPr>
              <w:t>2021-2024</w:t>
            </w:r>
          </w:p>
        </w:tc>
      </w:tr>
      <w:tr>
        <w:trPr>
          <w:trHeight w:val="196"/>
        </w:trPr>
        <w:tc>
          <w:tcPr>
            <w:tcW w:w="640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India</w:t>
            </w:r>
          </w:p>
        </w:tc>
        <w:tc>
          <w:tcPr>
            <w:tcW w:w="2260" w:type="dxa"/>
            <w:vAlign w:val="bottom"/>
            <w:tcBorders>
              <w:bottom w:val="single" w:sz="8" w:color="888B8D"/>
            </w:tcBorders>
          </w:tcPr>
          <w:p>
            <w:pPr>
              <w:jc w:val="center"/>
              <w:spacing w:after="0"/>
              <w:rPr>
                <w:sz w:val="20"/>
                <w:szCs w:val="20"/>
                <w:color w:val="auto"/>
              </w:rPr>
            </w:pPr>
            <w:r>
              <w:rPr>
                <w:rFonts w:ascii="Arial" w:cs="Arial" w:eastAsia="Arial" w:hAnsi="Arial"/>
                <w:sz w:val="14"/>
                <w:szCs w:val="14"/>
                <w:color w:val="auto"/>
              </w:rPr>
              <w:t>2014-2021</w:t>
            </w:r>
          </w:p>
        </w:tc>
        <w:tc>
          <w:tcPr>
            <w:tcW w:w="2580" w:type="dxa"/>
            <w:vAlign w:val="bottom"/>
            <w:tcBorders>
              <w:bottom w:val="single" w:sz="8" w:color="888B8D"/>
            </w:tcBorders>
          </w:tcPr>
          <w:p>
            <w:pPr>
              <w:jc w:val="center"/>
              <w:spacing w:after="0"/>
              <w:rPr>
                <w:sz w:val="20"/>
                <w:szCs w:val="20"/>
                <w:color w:val="auto"/>
              </w:rPr>
            </w:pPr>
            <w:r>
              <w:rPr>
                <w:rFonts w:ascii="Arial" w:cs="Arial" w:eastAsia="Arial" w:hAnsi="Arial"/>
                <w:sz w:val="14"/>
                <w:szCs w:val="14"/>
                <w:color w:val="auto"/>
              </w:rPr>
              <w:t>2022-2024</w:t>
            </w:r>
          </w:p>
        </w:tc>
      </w:tr>
      <w:tr>
        <w:trPr>
          <w:trHeight w:val="196"/>
        </w:trPr>
        <w:tc>
          <w:tcPr>
            <w:tcW w:w="640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Malaysia</w:t>
            </w:r>
          </w:p>
        </w:tc>
        <w:tc>
          <w:tcPr>
            <w:tcW w:w="2260" w:type="dxa"/>
            <w:vAlign w:val="bottom"/>
            <w:tcBorders>
              <w:bottom w:val="single" w:sz="8" w:color="888B8D"/>
            </w:tcBorders>
          </w:tcPr>
          <w:p>
            <w:pPr>
              <w:jc w:val="center"/>
              <w:spacing w:after="0"/>
              <w:rPr>
                <w:sz w:val="20"/>
                <w:szCs w:val="20"/>
                <w:color w:val="auto"/>
              </w:rPr>
            </w:pPr>
            <w:r>
              <w:rPr>
                <w:rFonts w:ascii="Arial" w:cs="Arial" w:eastAsia="Arial" w:hAnsi="Arial"/>
                <w:sz w:val="14"/>
                <w:szCs w:val="14"/>
                <w:color w:val="auto"/>
              </w:rPr>
              <w:t>2018-2021</w:t>
            </w:r>
          </w:p>
        </w:tc>
        <w:tc>
          <w:tcPr>
            <w:tcW w:w="2580" w:type="dxa"/>
            <w:vAlign w:val="bottom"/>
            <w:tcBorders>
              <w:bottom w:val="single" w:sz="8" w:color="888B8D"/>
            </w:tcBorders>
          </w:tcPr>
          <w:p>
            <w:pPr>
              <w:jc w:val="center"/>
              <w:spacing w:after="0"/>
              <w:rPr>
                <w:sz w:val="20"/>
                <w:szCs w:val="20"/>
                <w:color w:val="auto"/>
              </w:rPr>
            </w:pPr>
            <w:r>
              <w:rPr>
                <w:rFonts w:ascii="Arial" w:cs="Arial" w:eastAsia="Arial" w:hAnsi="Arial"/>
                <w:sz w:val="14"/>
                <w:szCs w:val="14"/>
                <w:color w:val="auto"/>
              </w:rPr>
              <w:t>2022-2024</w:t>
            </w:r>
          </w:p>
        </w:tc>
      </w:tr>
      <w:tr>
        <w:trPr>
          <w:trHeight w:val="196"/>
        </w:trPr>
        <w:tc>
          <w:tcPr>
            <w:tcW w:w="640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Puerto Rico</w:t>
            </w:r>
          </w:p>
        </w:tc>
        <w:tc>
          <w:tcPr>
            <w:tcW w:w="2260" w:type="dxa"/>
            <w:vAlign w:val="bottom"/>
            <w:tcBorders>
              <w:bottom w:val="single" w:sz="8" w:color="888B8D"/>
            </w:tcBorders>
          </w:tcPr>
          <w:p>
            <w:pPr>
              <w:jc w:val="center"/>
              <w:spacing w:after="0"/>
              <w:rPr>
                <w:sz w:val="20"/>
                <w:szCs w:val="20"/>
                <w:color w:val="auto"/>
              </w:rPr>
            </w:pPr>
            <w:r>
              <w:rPr>
                <w:rFonts w:ascii="Arial" w:cs="Arial" w:eastAsia="Arial" w:hAnsi="Arial"/>
                <w:sz w:val="14"/>
                <w:szCs w:val="14"/>
                <w:color w:val="auto"/>
              </w:rPr>
              <w:t>N/A</w:t>
            </w:r>
          </w:p>
        </w:tc>
        <w:tc>
          <w:tcPr>
            <w:tcW w:w="2580" w:type="dxa"/>
            <w:vAlign w:val="bottom"/>
            <w:tcBorders>
              <w:bottom w:val="single" w:sz="8" w:color="888B8D"/>
            </w:tcBorders>
          </w:tcPr>
          <w:p>
            <w:pPr>
              <w:jc w:val="center"/>
              <w:spacing w:after="0"/>
              <w:rPr>
                <w:sz w:val="20"/>
                <w:szCs w:val="20"/>
                <w:color w:val="auto"/>
              </w:rPr>
            </w:pPr>
            <w:r>
              <w:rPr>
                <w:rFonts w:ascii="Arial" w:cs="Arial" w:eastAsia="Arial" w:hAnsi="Arial"/>
                <w:sz w:val="14"/>
                <w:szCs w:val="14"/>
                <w:color w:val="auto"/>
              </w:rPr>
              <w:t>2020-2024</w:t>
            </w:r>
          </w:p>
        </w:tc>
      </w:tr>
      <w:tr>
        <w:trPr>
          <w:trHeight w:val="196"/>
        </w:trPr>
        <w:tc>
          <w:tcPr>
            <w:tcW w:w="640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Switzerland</w:t>
            </w:r>
          </w:p>
        </w:tc>
        <w:tc>
          <w:tcPr>
            <w:tcW w:w="2260" w:type="dxa"/>
            <w:vAlign w:val="bottom"/>
            <w:tcBorders>
              <w:bottom w:val="single" w:sz="8" w:color="888B8D"/>
            </w:tcBorders>
          </w:tcPr>
          <w:p>
            <w:pPr>
              <w:jc w:val="center"/>
              <w:spacing w:after="0"/>
              <w:rPr>
                <w:sz w:val="20"/>
                <w:szCs w:val="20"/>
                <w:color w:val="auto"/>
              </w:rPr>
            </w:pPr>
            <w:r>
              <w:rPr>
                <w:rFonts w:ascii="Arial" w:cs="Arial" w:eastAsia="Arial" w:hAnsi="Arial"/>
                <w:sz w:val="14"/>
                <w:szCs w:val="14"/>
                <w:color w:val="auto"/>
              </w:rPr>
              <w:t>2019-2022</w:t>
            </w:r>
          </w:p>
        </w:tc>
        <w:tc>
          <w:tcPr>
            <w:tcW w:w="2580" w:type="dxa"/>
            <w:vAlign w:val="bottom"/>
            <w:tcBorders>
              <w:bottom w:val="single" w:sz="8" w:color="888B8D"/>
            </w:tcBorders>
          </w:tcPr>
          <w:p>
            <w:pPr>
              <w:jc w:val="center"/>
              <w:spacing w:after="0"/>
              <w:rPr>
                <w:sz w:val="20"/>
                <w:szCs w:val="20"/>
                <w:color w:val="auto"/>
              </w:rPr>
            </w:pPr>
            <w:r>
              <w:rPr>
                <w:rFonts w:ascii="Arial" w:cs="Arial" w:eastAsia="Arial" w:hAnsi="Arial"/>
                <w:sz w:val="14"/>
                <w:szCs w:val="14"/>
                <w:color w:val="auto"/>
              </w:rPr>
              <w:t>2023-2024</w:t>
            </w:r>
          </w:p>
        </w:tc>
      </w:tr>
      <w:tr>
        <w:trPr>
          <w:trHeight w:val="196"/>
        </w:trPr>
        <w:tc>
          <w:tcPr>
            <w:tcW w:w="640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United Kingdom</w:t>
            </w:r>
          </w:p>
        </w:tc>
        <w:tc>
          <w:tcPr>
            <w:tcW w:w="2260" w:type="dxa"/>
            <w:vAlign w:val="bottom"/>
            <w:tcBorders>
              <w:bottom w:val="single" w:sz="8" w:color="D7282F"/>
            </w:tcBorders>
          </w:tcPr>
          <w:p>
            <w:pPr>
              <w:jc w:val="center"/>
              <w:spacing w:after="0"/>
              <w:rPr>
                <w:sz w:val="20"/>
                <w:szCs w:val="20"/>
                <w:color w:val="auto"/>
              </w:rPr>
            </w:pPr>
            <w:r>
              <w:rPr>
                <w:rFonts w:ascii="Arial" w:cs="Arial" w:eastAsia="Arial" w:hAnsi="Arial"/>
                <w:sz w:val="14"/>
                <w:szCs w:val="14"/>
                <w:color w:val="auto"/>
              </w:rPr>
              <w:t>2014-2022</w:t>
            </w:r>
          </w:p>
        </w:tc>
        <w:tc>
          <w:tcPr>
            <w:tcW w:w="2580" w:type="dxa"/>
            <w:vAlign w:val="bottom"/>
            <w:tcBorders>
              <w:bottom w:val="single" w:sz="8" w:color="D7282F"/>
            </w:tcBorders>
          </w:tcPr>
          <w:p>
            <w:pPr>
              <w:jc w:val="center"/>
              <w:spacing w:after="0"/>
              <w:rPr>
                <w:sz w:val="20"/>
                <w:szCs w:val="20"/>
                <w:color w:val="auto"/>
              </w:rPr>
            </w:pPr>
            <w:r>
              <w:rPr>
                <w:rFonts w:ascii="Arial" w:cs="Arial" w:eastAsia="Arial" w:hAnsi="Arial"/>
                <w:sz w:val="14"/>
                <w:szCs w:val="14"/>
                <w:color w:val="auto"/>
              </w:rPr>
              <w:t>2023-2024</w:t>
            </w:r>
          </w:p>
        </w:tc>
      </w:tr>
    </w:tbl>
    <w:p>
      <w:pPr>
        <w:spacing w:after="0" w:line="18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Based on the outcome of these examinations, or as a result of the expiration of statute of limitations for specific jurisdictions, it is reasonably possible that certain unrecognized tax benefits for tax positions taken on previously filed tax returns will materially change from those recorded as liabilities in the Company's financial statements. In addition, the outcome of these examinations may impact the valuation of certain deferred tax assets (such as net operating losses) in future periods.</w:t>
      </w:r>
    </w:p>
    <w:p>
      <w:pPr>
        <w:spacing w:after="0" w:line="200" w:lineRule="exact"/>
        <w:rPr>
          <w:sz w:val="20"/>
          <w:szCs w:val="20"/>
          <w:color w:val="auto"/>
        </w:rPr>
      </w:pPr>
    </w:p>
    <w:p>
      <w:pPr>
        <w:spacing w:after="0" w:line="218" w:lineRule="exact"/>
        <w:rPr>
          <w:sz w:val="20"/>
          <w:szCs w:val="20"/>
          <w:color w:val="auto"/>
        </w:rPr>
      </w:pPr>
    </w:p>
    <w:p>
      <w:pPr>
        <w:ind w:left="400" w:hanging="392"/>
        <w:spacing w:after="0"/>
        <w:tabs>
          <w:tab w:leader="none" w:pos="400" w:val="left"/>
        </w:tabs>
        <w:numPr>
          <w:ilvl w:val="0"/>
          <w:numId w:val="131"/>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77" w:name="page78"/>
    <w:bookmarkEnd w:id="77"/>
    <w:p>
      <w:pPr>
        <w:ind w:left="20"/>
        <w:spacing w:after="0"/>
        <w:tabs>
          <w:tab w:leader="none" w:pos="784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FINANCIAL STATEMENTS AND SUPPLEMENTARY DATA</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2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Unrecognized tax benefits for examinations in progress were $787 million, $803 million, and $640 million as of December 31, 2024, 2023, and 2022, respectively. Estimated interest and penalties related to the underpayment of income taxes are classified as a component of Tax expense in the Consolidated Statement of Operations and totaled $94 million, $74 million, and $5 million for the years ended December 31, 2024, 2023, and 2022, respectively. Accrued interest and penalties were $707 million, $612 million, and $557 million as of December 31, 2024, 2023, and 2022, respectively.</w:t>
      </w:r>
    </w:p>
    <w:p>
      <w:pPr>
        <w:spacing w:after="0" w:line="236" w:lineRule="exact"/>
        <w:rPr>
          <w:sz w:val="20"/>
          <w:szCs w:val="20"/>
          <w:color w:val="auto"/>
        </w:rPr>
      </w:pPr>
    </w:p>
    <w:p>
      <w:pPr>
        <w:spacing w:after="0"/>
        <w:rPr>
          <w:sz w:val="20"/>
          <w:szCs w:val="20"/>
          <w:color w:val="auto"/>
        </w:rPr>
      </w:pPr>
      <w:r>
        <w:rPr>
          <w:rFonts w:ascii="Arial" w:cs="Arial" w:eastAsia="Arial" w:hAnsi="Arial"/>
          <w:sz w:val="29"/>
          <w:szCs w:val="29"/>
          <w:color w:val="D7282F"/>
        </w:rPr>
        <w:t>NOTE 6. INVENTORIES</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480" w:type="dxa"/>
            <w:vAlign w:val="bottom"/>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gridSpan w:val="3"/>
          </w:tcPr>
          <w:p>
            <w:pPr>
              <w:jc w:val="right"/>
              <w:ind w:right="348"/>
              <w:spacing w:after="0"/>
              <w:rPr>
                <w:sz w:val="20"/>
                <w:szCs w:val="20"/>
                <w:color w:val="auto"/>
              </w:rPr>
            </w:pPr>
            <w:r>
              <w:rPr>
                <w:rFonts w:ascii="Arial" w:cs="Arial" w:eastAsia="Arial" w:hAnsi="Arial"/>
                <w:sz w:val="14"/>
                <w:szCs w:val="14"/>
                <w:b w:val="1"/>
                <w:bCs w:val="1"/>
                <w:color w:val="auto"/>
              </w:rPr>
              <w:t>December 31,</w:t>
            </w:r>
          </w:p>
        </w:tc>
      </w:tr>
      <w:tr>
        <w:trPr>
          <w:trHeight w:val="237"/>
        </w:trPr>
        <w:tc>
          <w:tcPr>
            <w:tcW w:w="9480" w:type="dxa"/>
            <w:vAlign w:val="bottom"/>
            <w:tcBorders>
              <w:bottom w:val="single" w:sz="8" w:color="D7282F"/>
            </w:tcBorders>
          </w:tcPr>
          <w:p>
            <w:pPr>
              <w:spacing w:after="0"/>
              <w:rPr>
                <w:sz w:val="20"/>
                <w:szCs w:val="20"/>
                <w:color w:val="auto"/>
              </w:rPr>
            </w:pPr>
          </w:p>
        </w:tc>
        <w:tc>
          <w:tcPr>
            <w:tcW w:w="160" w:type="dxa"/>
            <w:vAlign w:val="bottom"/>
            <w:tcBorders>
              <w:bottom w:val="single" w:sz="8" w:color="D7282F"/>
            </w:tcBorders>
          </w:tcPr>
          <w:p>
            <w:pPr>
              <w:spacing w:after="0"/>
              <w:rPr>
                <w:sz w:val="20"/>
                <w:szCs w:val="20"/>
                <w:color w:val="auto"/>
              </w:rPr>
            </w:pPr>
          </w:p>
        </w:tc>
        <w:tc>
          <w:tcPr>
            <w:tcW w:w="700" w:type="dxa"/>
            <w:vAlign w:val="bottom"/>
            <w:tcBorders>
              <w:bottom w:val="single" w:sz="8" w:color="D7282F"/>
            </w:tcBorders>
          </w:tcPr>
          <w:p>
            <w:pPr>
              <w:jc w:val="right"/>
              <w:ind w:right="248"/>
              <w:spacing w:after="0"/>
              <w:rPr>
                <w:sz w:val="20"/>
                <w:szCs w:val="20"/>
                <w:color w:val="auto"/>
              </w:rPr>
            </w:pPr>
            <w:r>
              <w:rPr>
                <w:rFonts w:ascii="Arial" w:cs="Arial" w:eastAsia="Arial" w:hAnsi="Arial"/>
                <w:sz w:val="14"/>
                <w:szCs w:val="14"/>
                <w:b w:val="1"/>
                <w:bCs w:val="1"/>
                <w:color w:val="auto"/>
              </w:rPr>
              <w:t>2024</w:t>
            </w:r>
          </w:p>
        </w:tc>
        <w:tc>
          <w:tcPr>
            <w:tcW w:w="300" w:type="dxa"/>
            <w:vAlign w:val="bottom"/>
            <w:tcBorders>
              <w:bottom w:val="single" w:sz="8" w:color="D7282F"/>
            </w:tcBorders>
          </w:tcPr>
          <w:p>
            <w:pPr>
              <w:spacing w:after="0"/>
              <w:rPr>
                <w:sz w:val="20"/>
                <w:szCs w:val="20"/>
                <w:color w:val="auto"/>
              </w:rPr>
            </w:pPr>
          </w:p>
        </w:tc>
        <w:tc>
          <w:tcPr>
            <w:tcW w:w="60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2023</w:t>
            </w:r>
          </w:p>
        </w:tc>
      </w:tr>
      <w:tr>
        <w:trPr>
          <w:trHeight w:val="193"/>
        </w:trPr>
        <w:tc>
          <w:tcPr>
            <w:tcW w:w="9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Raw materials</w:t>
            </w:r>
          </w:p>
        </w:tc>
        <w:tc>
          <w:tcPr>
            <w:tcW w:w="160" w:type="dxa"/>
            <w:vAlign w:val="bottom"/>
            <w:tcBorders>
              <w:bottom w:val="single" w:sz="8" w:color="888B8D"/>
            </w:tcBorders>
          </w:tcPr>
          <w:p>
            <w:pPr>
              <w:jc w:val="right"/>
              <w:ind w:right="8"/>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1,528</w:t>
            </w:r>
          </w:p>
        </w:tc>
        <w:tc>
          <w:tcPr>
            <w:tcW w:w="300" w:type="dxa"/>
            <w:vAlign w:val="bottom"/>
            <w:tcBorders>
              <w:bottom w:val="single" w:sz="8" w:color="888B8D"/>
            </w:tcBorders>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1,704</w:t>
            </w:r>
          </w:p>
        </w:tc>
      </w:tr>
      <w:tr>
        <w:trPr>
          <w:trHeight w:val="196"/>
        </w:trPr>
        <w:tc>
          <w:tcPr>
            <w:tcW w:w="9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Work in process</w:t>
            </w:r>
          </w:p>
        </w:tc>
        <w:tc>
          <w:tcPr>
            <w:tcW w:w="160" w:type="dxa"/>
            <w:vAlign w:val="bottom"/>
            <w:tcBorders>
              <w:bottom w:val="single" w:sz="8" w:color="888B8D"/>
            </w:tcBorders>
          </w:tcPr>
          <w:p>
            <w:pPr>
              <w:spacing w:after="0"/>
              <w:rPr>
                <w:sz w:val="17"/>
                <w:szCs w:val="17"/>
                <w:color w:val="auto"/>
              </w:rPr>
            </w:pPr>
          </w:p>
        </w:tc>
        <w:tc>
          <w:tcPr>
            <w:tcW w:w="70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1,346</w:t>
            </w:r>
          </w:p>
        </w:tc>
        <w:tc>
          <w:tcPr>
            <w:tcW w:w="30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1,217</w:t>
            </w:r>
          </w:p>
        </w:tc>
      </w:tr>
      <w:tr>
        <w:trPr>
          <w:trHeight w:val="196"/>
        </w:trPr>
        <w:tc>
          <w:tcPr>
            <w:tcW w:w="94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Finished products</w:t>
            </w:r>
          </w:p>
        </w:tc>
        <w:tc>
          <w:tcPr>
            <w:tcW w:w="16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3,568</w:t>
            </w:r>
          </w:p>
        </w:tc>
        <w:tc>
          <w:tcPr>
            <w:tcW w:w="30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3,257</w:t>
            </w:r>
          </w:p>
        </w:tc>
      </w:tr>
      <w:tr>
        <w:trPr>
          <w:trHeight w:val="199"/>
        </w:trPr>
        <w:tc>
          <w:tcPr>
            <w:tcW w:w="948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Inventories</w:t>
            </w:r>
            <w:r>
              <w:rPr>
                <w:rFonts w:ascii="Arial" w:cs="Arial" w:eastAsia="Arial" w:hAnsi="Arial"/>
                <w:sz w:val="9"/>
                <w:szCs w:val="9"/>
                <w:b w:val="1"/>
                <w:bCs w:val="1"/>
                <w:color w:val="auto"/>
              </w:rPr>
              <w:t>1</w:t>
            </w:r>
          </w:p>
        </w:tc>
        <w:tc>
          <w:tcPr>
            <w:tcW w:w="16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6,442</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6,178</w:t>
            </w:r>
          </w:p>
        </w:tc>
      </w:tr>
    </w:tbl>
    <w:p>
      <w:pPr>
        <w:spacing w:after="0" w:line="198" w:lineRule="exact"/>
        <w:rPr>
          <w:sz w:val="20"/>
          <w:szCs w:val="20"/>
          <w:color w:val="auto"/>
        </w:rPr>
      </w:pPr>
    </w:p>
    <w:p>
      <w:pPr>
        <w:ind w:left="460" w:right="20" w:hanging="324"/>
        <w:spacing w:after="0" w:line="180" w:lineRule="auto"/>
        <w:tabs>
          <w:tab w:leader="none" w:pos="460" w:val="left"/>
        </w:tabs>
        <w:numPr>
          <w:ilvl w:val="0"/>
          <w:numId w:val="132"/>
        </w:numPr>
        <w:rPr>
          <w:rFonts w:ascii="Arial" w:cs="Arial" w:eastAsia="Arial" w:hAnsi="Arial"/>
          <w:sz w:val="25"/>
          <w:szCs w:val="25"/>
          <w:color w:val="auto"/>
          <w:vertAlign w:val="superscript"/>
        </w:rPr>
      </w:pPr>
      <w:r>
        <w:rPr>
          <w:rFonts w:ascii="Arial" w:cs="Arial" w:eastAsia="Arial" w:hAnsi="Arial"/>
          <w:sz w:val="13"/>
          <w:szCs w:val="13"/>
          <w:color w:val="auto"/>
        </w:rPr>
        <w:t xml:space="preserve">As of December 31, 2024, Total Inventories excludes $197 million that are included in Assets held for sale in the Consolidated Balance Sheet. Refer to Note 2 </w:t>
      </w:r>
      <w:r>
        <w:rPr>
          <w:rFonts w:ascii="Arial" w:cs="Arial" w:eastAsia="Arial" w:hAnsi="Arial"/>
          <w:sz w:val="13"/>
          <w:szCs w:val="13"/>
          <w:u w:val="single" w:color="auto"/>
          <w:color w:val="0000FF"/>
        </w:rPr>
        <w:t>Acquisitions, Divestitures, and</w:t>
      </w:r>
      <w:r>
        <w:rPr>
          <w:rFonts w:ascii="Arial" w:cs="Arial" w:eastAsia="Arial" w:hAnsi="Arial"/>
          <w:sz w:val="13"/>
          <w:szCs w:val="13"/>
          <w:color w:val="auto"/>
        </w:rPr>
        <w:t xml:space="preserve"> </w:t>
      </w:r>
      <w:r>
        <w:rPr>
          <w:rFonts w:ascii="Arial" w:cs="Arial" w:eastAsia="Arial" w:hAnsi="Arial"/>
          <w:sz w:val="13"/>
          <w:szCs w:val="13"/>
          <w:u w:val="single" w:color="auto"/>
          <w:color w:val="0000FF"/>
        </w:rPr>
        <w:t>Assets and Liabilities Held for Sale</w:t>
      </w:r>
      <w:r>
        <w:rPr>
          <w:rFonts w:ascii="Arial" w:cs="Arial" w:eastAsia="Arial" w:hAnsi="Arial"/>
          <w:sz w:val="13"/>
          <w:szCs w:val="13"/>
          <w:color w:val="000000"/>
        </w:rPr>
        <w: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9"/>
          <w:szCs w:val="29"/>
          <w:color w:val="D7282F"/>
        </w:rPr>
        <w:t>NOTE 7. PROPERTY, PLANT AND EQUIPMENT—NET</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480" w:type="dxa"/>
            <w:vAlign w:val="bottom"/>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gridSpan w:val="3"/>
          </w:tcPr>
          <w:p>
            <w:pPr>
              <w:jc w:val="right"/>
              <w:ind w:right="348"/>
              <w:spacing w:after="0"/>
              <w:rPr>
                <w:sz w:val="20"/>
                <w:szCs w:val="20"/>
                <w:color w:val="auto"/>
              </w:rPr>
            </w:pPr>
            <w:r>
              <w:rPr>
                <w:rFonts w:ascii="Arial" w:cs="Arial" w:eastAsia="Arial" w:hAnsi="Arial"/>
                <w:sz w:val="14"/>
                <w:szCs w:val="14"/>
                <w:b w:val="1"/>
                <w:bCs w:val="1"/>
                <w:color w:val="auto"/>
              </w:rPr>
              <w:t>December 31,</w:t>
            </w:r>
          </w:p>
        </w:tc>
      </w:tr>
      <w:tr>
        <w:trPr>
          <w:trHeight w:val="237"/>
        </w:trPr>
        <w:tc>
          <w:tcPr>
            <w:tcW w:w="9480" w:type="dxa"/>
            <w:vAlign w:val="bottom"/>
            <w:tcBorders>
              <w:bottom w:val="single" w:sz="8" w:color="D7282F"/>
            </w:tcBorders>
          </w:tcPr>
          <w:p>
            <w:pPr>
              <w:spacing w:after="0"/>
              <w:rPr>
                <w:sz w:val="20"/>
                <w:szCs w:val="20"/>
                <w:color w:val="auto"/>
              </w:rPr>
            </w:pPr>
          </w:p>
        </w:tc>
        <w:tc>
          <w:tcPr>
            <w:tcW w:w="160" w:type="dxa"/>
            <w:vAlign w:val="bottom"/>
            <w:tcBorders>
              <w:bottom w:val="single" w:sz="8" w:color="D7282F"/>
            </w:tcBorders>
          </w:tcPr>
          <w:p>
            <w:pPr>
              <w:spacing w:after="0"/>
              <w:rPr>
                <w:sz w:val="20"/>
                <w:szCs w:val="20"/>
                <w:color w:val="auto"/>
              </w:rPr>
            </w:pPr>
          </w:p>
        </w:tc>
        <w:tc>
          <w:tcPr>
            <w:tcW w:w="700" w:type="dxa"/>
            <w:vAlign w:val="bottom"/>
            <w:tcBorders>
              <w:bottom w:val="single" w:sz="8" w:color="D7282F"/>
            </w:tcBorders>
          </w:tcPr>
          <w:p>
            <w:pPr>
              <w:jc w:val="right"/>
              <w:ind w:right="248"/>
              <w:spacing w:after="0"/>
              <w:rPr>
                <w:sz w:val="20"/>
                <w:szCs w:val="20"/>
                <w:color w:val="auto"/>
              </w:rPr>
            </w:pPr>
            <w:r>
              <w:rPr>
                <w:rFonts w:ascii="Arial" w:cs="Arial" w:eastAsia="Arial" w:hAnsi="Arial"/>
                <w:sz w:val="14"/>
                <w:szCs w:val="14"/>
                <w:b w:val="1"/>
                <w:bCs w:val="1"/>
                <w:color w:val="auto"/>
              </w:rPr>
              <w:t>2024</w:t>
            </w:r>
          </w:p>
        </w:tc>
        <w:tc>
          <w:tcPr>
            <w:tcW w:w="300" w:type="dxa"/>
            <w:vAlign w:val="bottom"/>
            <w:tcBorders>
              <w:bottom w:val="single" w:sz="8" w:color="D7282F"/>
            </w:tcBorders>
          </w:tcPr>
          <w:p>
            <w:pPr>
              <w:spacing w:after="0"/>
              <w:rPr>
                <w:sz w:val="20"/>
                <w:szCs w:val="20"/>
                <w:color w:val="auto"/>
              </w:rPr>
            </w:pPr>
          </w:p>
        </w:tc>
        <w:tc>
          <w:tcPr>
            <w:tcW w:w="60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2023</w:t>
            </w:r>
          </w:p>
        </w:tc>
      </w:tr>
      <w:tr>
        <w:trPr>
          <w:trHeight w:val="193"/>
        </w:trPr>
        <w:tc>
          <w:tcPr>
            <w:tcW w:w="9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Land and improvements</w:t>
            </w:r>
          </w:p>
        </w:tc>
        <w:tc>
          <w:tcPr>
            <w:tcW w:w="16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216</w:t>
            </w:r>
          </w:p>
        </w:tc>
        <w:tc>
          <w:tcPr>
            <w:tcW w:w="3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211</w:t>
            </w:r>
          </w:p>
        </w:tc>
      </w:tr>
      <w:tr>
        <w:trPr>
          <w:trHeight w:val="196"/>
        </w:trPr>
        <w:tc>
          <w:tcPr>
            <w:tcW w:w="9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Machinery and equipment</w:t>
            </w:r>
          </w:p>
        </w:tc>
        <w:tc>
          <w:tcPr>
            <w:tcW w:w="160" w:type="dxa"/>
            <w:vAlign w:val="bottom"/>
            <w:tcBorders>
              <w:bottom w:val="single" w:sz="8" w:color="61656A"/>
            </w:tcBorders>
          </w:tcPr>
          <w:p>
            <w:pPr>
              <w:spacing w:after="0"/>
              <w:rPr>
                <w:sz w:val="17"/>
                <w:szCs w:val="17"/>
                <w:color w:val="auto"/>
              </w:rPr>
            </w:pPr>
          </w:p>
        </w:tc>
        <w:tc>
          <w:tcPr>
            <w:tcW w:w="70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10,965</w:t>
            </w:r>
          </w:p>
        </w:tc>
        <w:tc>
          <w:tcPr>
            <w:tcW w:w="30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10,717</w:t>
            </w:r>
          </w:p>
        </w:tc>
      </w:tr>
      <w:tr>
        <w:trPr>
          <w:trHeight w:val="196"/>
        </w:trPr>
        <w:tc>
          <w:tcPr>
            <w:tcW w:w="9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Buildings and improvements</w:t>
            </w:r>
          </w:p>
        </w:tc>
        <w:tc>
          <w:tcPr>
            <w:tcW w:w="160" w:type="dxa"/>
            <w:vAlign w:val="bottom"/>
            <w:tcBorders>
              <w:bottom w:val="single" w:sz="8" w:color="61656A"/>
            </w:tcBorders>
          </w:tcPr>
          <w:p>
            <w:pPr>
              <w:spacing w:after="0"/>
              <w:rPr>
                <w:sz w:val="17"/>
                <w:szCs w:val="17"/>
                <w:color w:val="auto"/>
              </w:rPr>
            </w:pPr>
          </w:p>
        </w:tc>
        <w:tc>
          <w:tcPr>
            <w:tcW w:w="70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3,658</w:t>
            </w:r>
          </w:p>
        </w:tc>
        <w:tc>
          <w:tcPr>
            <w:tcW w:w="30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3,528</w:t>
            </w:r>
          </w:p>
        </w:tc>
      </w:tr>
      <w:tr>
        <w:trPr>
          <w:trHeight w:val="196"/>
        </w:trPr>
        <w:tc>
          <w:tcPr>
            <w:tcW w:w="94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Construction in progress</w:t>
            </w:r>
          </w:p>
        </w:tc>
        <w:tc>
          <w:tcPr>
            <w:tcW w:w="16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1,013</w:t>
            </w:r>
          </w:p>
        </w:tc>
        <w:tc>
          <w:tcPr>
            <w:tcW w:w="30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878</w:t>
            </w:r>
          </w:p>
        </w:tc>
      </w:tr>
      <w:tr>
        <w:trPr>
          <w:trHeight w:val="199"/>
        </w:trPr>
        <w:tc>
          <w:tcPr>
            <w:tcW w:w="948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Property, plant and equipment</w:t>
            </w:r>
          </w:p>
        </w:tc>
        <w:tc>
          <w:tcPr>
            <w:tcW w:w="16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15,852</w:t>
            </w:r>
          </w:p>
        </w:tc>
        <w:tc>
          <w:tcPr>
            <w:tcW w:w="30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15,334</w:t>
            </w:r>
          </w:p>
        </w:tc>
      </w:tr>
      <w:tr>
        <w:trPr>
          <w:trHeight w:val="193"/>
        </w:trPr>
        <w:tc>
          <w:tcPr>
            <w:tcW w:w="94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Less: Accumulated depreciation</w:t>
            </w:r>
          </w:p>
        </w:tc>
        <w:tc>
          <w:tcPr>
            <w:tcW w:w="160" w:type="dxa"/>
            <w:vAlign w:val="bottom"/>
            <w:tcBorders>
              <w:bottom w:val="single" w:sz="8" w:color="D7282F"/>
            </w:tcBorders>
          </w:tcPr>
          <w:p>
            <w:pPr>
              <w:spacing w:after="0"/>
              <w:rPr>
                <w:sz w:val="16"/>
                <w:szCs w:val="16"/>
                <w:color w:val="auto"/>
              </w:rPr>
            </w:pP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9,658</w:t>
            </w:r>
          </w:p>
        </w:tc>
        <w:tc>
          <w:tcPr>
            <w:tcW w:w="300" w:type="dxa"/>
            <w:vAlign w:val="bottom"/>
            <w:tcBorders>
              <w:bottom w:val="single" w:sz="8" w:color="D7282F"/>
            </w:tcBorders>
          </w:tcPr>
          <w:p>
            <w:pPr>
              <w:spacing w:after="0"/>
              <w:rPr>
                <w:sz w:val="16"/>
                <w:szCs w:val="16"/>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9,674</w:t>
            </w:r>
          </w:p>
        </w:tc>
      </w:tr>
      <w:tr>
        <w:trPr>
          <w:trHeight w:val="200"/>
        </w:trPr>
        <w:tc>
          <w:tcPr>
            <w:tcW w:w="9480" w:type="dxa"/>
            <w:vAlign w:val="bottom"/>
            <w:tcBorders>
              <w:bottom w:val="single" w:sz="8" w:color="D7282F"/>
            </w:tcBorders>
          </w:tcPr>
          <w:p>
            <w:pPr>
              <w:ind w:left="240"/>
              <w:spacing w:after="0" w:line="200" w:lineRule="exact"/>
              <w:rPr>
                <w:sz w:val="20"/>
                <w:szCs w:val="20"/>
                <w:color w:val="auto"/>
              </w:rPr>
            </w:pPr>
            <w:r>
              <w:rPr>
                <w:rFonts w:ascii="Arial" w:cs="Arial" w:eastAsia="Arial" w:hAnsi="Arial"/>
                <w:sz w:val="14"/>
                <w:szCs w:val="14"/>
                <w:b w:val="1"/>
                <w:bCs w:val="1"/>
                <w:color w:val="auto"/>
              </w:rPr>
              <w:t>Total Property, plant and equipment—net</w:t>
            </w:r>
            <w:r>
              <w:rPr>
                <w:rFonts w:ascii="Arial" w:cs="Arial" w:eastAsia="Arial" w:hAnsi="Arial"/>
                <w:sz w:val="18"/>
                <w:szCs w:val="18"/>
                <w:b w:val="1"/>
                <w:bCs w:val="1"/>
                <w:color w:val="auto"/>
                <w:vertAlign w:val="superscript"/>
              </w:rPr>
              <w:t>1</w:t>
            </w:r>
          </w:p>
        </w:tc>
        <w:tc>
          <w:tcPr>
            <w:tcW w:w="16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6,194</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5,660</w:t>
            </w:r>
          </w:p>
        </w:tc>
      </w:tr>
    </w:tbl>
    <w:p>
      <w:pPr>
        <w:spacing w:after="0" w:line="198" w:lineRule="exact"/>
        <w:rPr>
          <w:sz w:val="20"/>
          <w:szCs w:val="20"/>
          <w:color w:val="auto"/>
        </w:rPr>
      </w:pPr>
    </w:p>
    <w:p>
      <w:pPr>
        <w:ind w:left="460" w:right="20" w:hanging="324"/>
        <w:spacing w:after="0" w:line="182" w:lineRule="auto"/>
        <w:tabs>
          <w:tab w:leader="none" w:pos="460" w:val="left"/>
        </w:tabs>
        <w:numPr>
          <w:ilvl w:val="0"/>
          <w:numId w:val="133"/>
        </w:numPr>
        <w:rPr>
          <w:rFonts w:ascii="Arial" w:cs="Arial" w:eastAsia="Arial" w:hAnsi="Arial"/>
          <w:sz w:val="24"/>
          <w:szCs w:val="24"/>
          <w:color w:val="auto"/>
          <w:vertAlign w:val="superscript"/>
        </w:rPr>
      </w:pPr>
      <w:r>
        <w:rPr>
          <w:rFonts w:ascii="Arial" w:cs="Arial" w:eastAsia="Arial" w:hAnsi="Arial"/>
          <w:sz w:val="12"/>
          <w:szCs w:val="12"/>
          <w:color w:val="auto"/>
        </w:rPr>
        <w:t xml:space="preserve">As of December 31, 2024, Total Property, plant and equipment—net excludes $155 million that are included in Assets held for sale in the Consolidated Balance Sheet. Refer to Note 2 </w:t>
      </w:r>
      <w:r>
        <w:rPr>
          <w:rFonts w:ascii="Arial" w:cs="Arial" w:eastAsia="Arial" w:hAnsi="Arial"/>
          <w:sz w:val="12"/>
          <w:szCs w:val="12"/>
          <w:u w:val="single" w:color="auto"/>
          <w:color w:val="0000FF"/>
        </w:rPr>
        <w:t>Acquisitions, Divestitures, and Assets and Liabilities Held for Sale</w:t>
      </w:r>
      <w:r>
        <w:rPr>
          <w:rFonts w:ascii="Arial" w:cs="Arial" w:eastAsia="Arial" w:hAnsi="Arial"/>
          <w:sz w:val="12"/>
          <w:szCs w:val="12"/>
          <w:color w:val="000000"/>
        </w:rPr>
        <w:t>.</w:t>
      </w: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color w:val="auto"/>
        </w:rPr>
        <w:t>Depreciation expense was $671 million, $659 million, and $657 million for the years ended December 31, 2024, 2023, and 2022, respectively.</w:t>
      </w:r>
    </w:p>
    <w:p>
      <w:pPr>
        <w:spacing w:after="0" w:line="200" w:lineRule="exact"/>
        <w:rPr>
          <w:sz w:val="20"/>
          <w:szCs w:val="20"/>
          <w:color w:val="auto"/>
        </w:rPr>
      </w:pPr>
    </w:p>
    <w:p>
      <w:pPr>
        <w:spacing w:after="0" w:line="252" w:lineRule="exact"/>
        <w:rPr>
          <w:sz w:val="20"/>
          <w:szCs w:val="20"/>
          <w:color w:val="auto"/>
        </w:rPr>
      </w:pPr>
    </w:p>
    <w:p>
      <w:pPr>
        <w:ind w:left="400" w:hanging="392"/>
        <w:spacing w:after="0"/>
        <w:tabs>
          <w:tab w:leader="none" w:pos="400" w:val="left"/>
        </w:tabs>
        <w:numPr>
          <w:ilvl w:val="0"/>
          <w:numId w:val="134"/>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78" w:name="page79"/>
    <w:bookmarkEnd w:id="78"/>
    <w:p>
      <w:pPr>
        <w:ind w:left="20"/>
        <w:spacing w:after="0"/>
        <w:tabs>
          <w:tab w:leader="none" w:pos="784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FINANCIAL STATEMENTS AND SUPPLEMENTARY DATA</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29"/>
          <w:szCs w:val="29"/>
          <w:color w:val="D7282F"/>
        </w:rPr>
        <w:t>NOTE 8. GOODWILL AND OTHER INTANGIBLE ASSETS—NET</w:t>
      </w:r>
    </w:p>
    <w:p>
      <w:pPr>
        <w:spacing w:after="0" w:line="25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following table summarizes the change in the carrying amount of goodwill for the years ended December 31, 2024, and 2023, by reportable business segment:</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rPr>
              <w:t>Aerospace</w:t>
            </w:r>
          </w:p>
        </w:tc>
        <w:tc>
          <w:tcPr>
            <w:tcW w:w="140" w:type="dxa"/>
            <w:vAlign w:val="bottom"/>
          </w:tcPr>
          <w:p>
            <w:pPr>
              <w:spacing w:after="0"/>
              <w:rPr>
                <w:sz w:val="14"/>
                <w:szCs w:val="14"/>
                <w:color w:val="auto"/>
              </w:rPr>
            </w:pPr>
          </w:p>
        </w:tc>
        <w:tc>
          <w:tcPr>
            <w:tcW w:w="12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rPr>
              <w:t>Industrial</w:t>
            </w:r>
          </w:p>
        </w:tc>
        <w:tc>
          <w:tcPr>
            <w:tcW w:w="160" w:type="dxa"/>
            <w:vAlign w:val="bottom"/>
          </w:tcPr>
          <w:p>
            <w:pPr>
              <w:spacing w:after="0"/>
              <w:rPr>
                <w:sz w:val="14"/>
                <w:szCs w:val="14"/>
                <w:color w:val="auto"/>
              </w:rPr>
            </w:pPr>
          </w:p>
        </w:tc>
        <w:tc>
          <w:tcPr>
            <w:tcW w:w="12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rPr>
              <w:t>Building</w:t>
            </w:r>
          </w:p>
        </w:tc>
        <w:tc>
          <w:tcPr>
            <w:tcW w:w="120" w:type="dxa"/>
            <w:vAlign w:val="bottom"/>
          </w:tcPr>
          <w:p>
            <w:pPr>
              <w:spacing w:after="0"/>
              <w:rPr>
                <w:sz w:val="14"/>
                <w:szCs w:val="14"/>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Energy and</w:t>
            </w:r>
          </w:p>
        </w:tc>
        <w:tc>
          <w:tcPr>
            <w:tcW w:w="120" w:type="dxa"/>
            <w:vAlign w:val="bottom"/>
          </w:tcPr>
          <w:p>
            <w:pPr>
              <w:spacing w:after="0"/>
              <w:rPr>
                <w:sz w:val="14"/>
                <w:szCs w:val="14"/>
                <w:color w:val="auto"/>
              </w:rPr>
            </w:pPr>
          </w:p>
        </w:tc>
        <w:tc>
          <w:tcPr>
            <w:tcW w:w="13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Corporate and</w:t>
            </w: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rPr>
              <w:t>Sustainability</w:t>
            </w:r>
          </w:p>
        </w:tc>
        <w:tc>
          <w:tcPr>
            <w:tcW w:w="12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99"/>
              </w:rPr>
              <w:t>Total Goodwill</w:t>
            </w:r>
          </w:p>
        </w:tc>
        <w:tc>
          <w:tcPr>
            <w:tcW w:w="0" w:type="dxa"/>
            <w:vAlign w:val="bottom"/>
          </w:tcPr>
          <w:p>
            <w:pPr>
              <w:spacing w:after="0"/>
              <w:rPr>
                <w:sz w:val="1"/>
                <w:szCs w:val="1"/>
                <w:color w:val="auto"/>
              </w:rPr>
            </w:pPr>
          </w:p>
        </w:tc>
      </w:tr>
      <w:tr>
        <w:trPr>
          <w:trHeight w:val="189"/>
        </w:trPr>
        <w:tc>
          <w:tcPr>
            <w:tcW w:w="2880" w:type="dxa"/>
            <w:vAlign w:val="bottom"/>
            <w:tcBorders>
              <w:bottom w:val="single" w:sz="8" w:color="D7282F"/>
            </w:tcBorders>
          </w:tcPr>
          <w:p>
            <w:pPr>
              <w:spacing w:after="0"/>
              <w:rPr>
                <w:sz w:val="16"/>
                <w:szCs w:val="16"/>
                <w:color w:val="auto"/>
              </w:rPr>
            </w:pPr>
          </w:p>
        </w:tc>
        <w:tc>
          <w:tcPr>
            <w:tcW w:w="140" w:type="dxa"/>
            <w:vAlign w:val="bottom"/>
            <w:tcBorders>
              <w:bottom w:val="single" w:sz="8" w:color="D7282F"/>
            </w:tcBorders>
          </w:tcPr>
          <w:p>
            <w:pPr>
              <w:spacing w:after="0"/>
              <w:rPr>
                <w:sz w:val="16"/>
                <w:szCs w:val="16"/>
                <w:color w:val="auto"/>
              </w:rPr>
            </w:pPr>
          </w:p>
        </w:tc>
        <w:tc>
          <w:tcPr>
            <w:tcW w:w="1320" w:type="dxa"/>
            <w:vAlign w:val="bottom"/>
            <w:tcBorders>
              <w:bottom w:val="single" w:sz="8" w:color="D7282F"/>
            </w:tcBorders>
            <w:gridSpan w:val="2"/>
          </w:tcPr>
          <w:p>
            <w:pPr>
              <w:jc w:val="center"/>
              <w:ind w:right="360"/>
              <w:spacing w:after="0"/>
              <w:rPr>
                <w:sz w:val="20"/>
                <w:szCs w:val="20"/>
                <w:color w:val="auto"/>
              </w:rPr>
            </w:pPr>
            <w:r>
              <w:rPr>
                <w:rFonts w:ascii="Arial" w:cs="Arial" w:eastAsia="Arial" w:hAnsi="Arial"/>
                <w:sz w:val="14"/>
                <w:szCs w:val="14"/>
                <w:b w:val="1"/>
                <w:bCs w:val="1"/>
                <w:color w:val="auto"/>
              </w:rPr>
              <w:t>Technologies</w:t>
            </w:r>
          </w:p>
        </w:tc>
        <w:tc>
          <w:tcPr>
            <w:tcW w:w="140" w:type="dxa"/>
            <w:vAlign w:val="bottom"/>
            <w:tcBorders>
              <w:bottom w:val="single" w:sz="8" w:color="D7282F"/>
            </w:tcBorders>
          </w:tcPr>
          <w:p>
            <w:pPr>
              <w:spacing w:after="0"/>
              <w:rPr>
                <w:sz w:val="16"/>
                <w:szCs w:val="16"/>
                <w:color w:val="auto"/>
              </w:rPr>
            </w:pPr>
          </w:p>
        </w:tc>
        <w:tc>
          <w:tcPr>
            <w:tcW w:w="1260" w:type="dxa"/>
            <w:vAlign w:val="bottom"/>
            <w:tcBorders>
              <w:bottom w:val="single" w:sz="8" w:color="D7282F"/>
            </w:tcBorders>
            <w:gridSpan w:val="2"/>
          </w:tcPr>
          <w:p>
            <w:pPr>
              <w:jc w:val="center"/>
              <w:ind w:right="380"/>
              <w:spacing w:after="0"/>
              <w:rPr>
                <w:sz w:val="20"/>
                <w:szCs w:val="20"/>
                <w:color w:val="auto"/>
              </w:rPr>
            </w:pPr>
            <w:r>
              <w:rPr>
                <w:rFonts w:ascii="Arial" w:cs="Arial" w:eastAsia="Arial" w:hAnsi="Arial"/>
                <w:sz w:val="14"/>
                <w:szCs w:val="14"/>
                <w:b w:val="1"/>
                <w:bCs w:val="1"/>
                <w:color w:val="auto"/>
              </w:rPr>
              <w:t>Automation</w:t>
            </w:r>
          </w:p>
        </w:tc>
        <w:tc>
          <w:tcPr>
            <w:tcW w:w="160" w:type="dxa"/>
            <w:vAlign w:val="bottom"/>
            <w:tcBorders>
              <w:bottom w:val="single" w:sz="8" w:color="D7282F"/>
            </w:tcBorders>
          </w:tcPr>
          <w:p>
            <w:pPr>
              <w:spacing w:after="0"/>
              <w:rPr>
                <w:sz w:val="16"/>
                <w:szCs w:val="16"/>
                <w:color w:val="auto"/>
              </w:rPr>
            </w:pPr>
          </w:p>
        </w:tc>
        <w:tc>
          <w:tcPr>
            <w:tcW w:w="1280" w:type="dxa"/>
            <w:vAlign w:val="bottom"/>
            <w:tcBorders>
              <w:bottom w:val="single" w:sz="8" w:color="D7282F"/>
            </w:tcBorders>
            <w:gridSpan w:val="2"/>
          </w:tcPr>
          <w:p>
            <w:pPr>
              <w:jc w:val="center"/>
              <w:ind w:right="400"/>
              <w:spacing w:after="0"/>
              <w:rPr>
                <w:sz w:val="20"/>
                <w:szCs w:val="20"/>
                <w:color w:val="auto"/>
              </w:rPr>
            </w:pPr>
            <w:r>
              <w:rPr>
                <w:rFonts w:ascii="Arial" w:cs="Arial" w:eastAsia="Arial" w:hAnsi="Arial"/>
                <w:sz w:val="14"/>
                <w:szCs w:val="14"/>
                <w:b w:val="1"/>
                <w:bCs w:val="1"/>
                <w:color w:val="auto"/>
              </w:rPr>
              <w:t>Automation</w:t>
            </w:r>
          </w:p>
        </w:tc>
        <w:tc>
          <w:tcPr>
            <w:tcW w:w="120" w:type="dxa"/>
            <w:vAlign w:val="bottom"/>
            <w:tcBorders>
              <w:bottom w:val="single" w:sz="8" w:color="D7282F"/>
            </w:tcBorders>
          </w:tcPr>
          <w:p>
            <w:pPr>
              <w:spacing w:after="0"/>
              <w:rPr>
                <w:sz w:val="16"/>
                <w:szCs w:val="16"/>
                <w:color w:val="auto"/>
              </w:rPr>
            </w:pPr>
          </w:p>
        </w:tc>
        <w:tc>
          <w:tcPr>
            <w:tcW w:w="1340" w:type="dxa"/>
            <w:vAlign w:val="bottom"/>
            <w:tcBorders>
              <w:bottom w:val="single" w:sz="8" w:color="D7282F"/>
            </w:tcBorders>
            <w:gridSpan w:val="2"/>
          </w:tcPr>
          <w:p>
            <w:pPr>
              <w:jc w:val="center"/>
              <w:ind w:right="340"/>
              <w:spacing w:after="0"/>
              <w:rPr>
                <w:sz w:val="20"/>
                <w:szCs w:val="20"/>
                <w:color w:val="auto"/>
              </w:rPr>
            </w:pPr>
            <w:r>
              <w:rPr>
                <w:rFonts w:ascii="Arial" w:cs="Arial" w:eastAsia="Arial" w:hAnsi="Arial"/>
                <w:sz w:val="14"/>
                <w:szCs w:val="14"/>
                <w:b w:val="1"/>
                <w:bCs w:val="1"/>
                <w:color w:val="auto"/>
              </w:rPr>
              <w:t>Solutions</w:t>
            </w:r>
          </w:p>
        </w:tc>
        <w:tc>
          <w:tcPr>
            <w:tcW w:w="120" w:type="dxa"/>
            <w:vAlign w:val="bottom"/>
            <w:tcBorders>
              <w:bottom w:val="single" w:sz="8" w:color="D7282F"/>
            </w:tcBorders>
          </w:tcPr>
          <w:p>
            <w:pPr>
              <w:spacing w:after="0"/>
              <w:rPr>
                <w:sz w:val="16"/>
                <w:szCs w:val="16"/>
                <w:color w:val="auto"/>
              </w:rPr>
            </w:pPr>
          </w:p>
        </w:tc>
        <w:tc>
          <w:tcPr>
            <w:tcW w:w="1300" w:type="dxa"/>
            <w:vAlign w:val="bottom"/>
            <w:tcBorders>
              <w:bottom w:val="single" w:sz="8" w:color="D7282F"/>
            </w:tcBorders>
            <w:gridSpan w:val="2"/>
          </w:tcPr>
          <w:p>
            <w:pPr>
              <w:jc w:val="center"/>
              <w:ind w:right="320"/>
              <w:spacing w:after="0"/>
              <w:rPr>
                <w:sz w:val="20"/>
                <w:szCs w:val="20"/>
                <w:color w:val="auto"/>
              </w:rPr>
            </w:pPr>
            <w:r>
              <w:rPr>
                <w:rFonts w:ascii="Arial" w:cs="Arial" w:eastAsia="Arial" w:hAnsi="Arial"/>
                <w:sz w:val="14"/>
                <w:szCs w:val="14"/>
                <w:b w:val="1"/>
                <w:bCs w:val="1"/>
                <w:color w:val="auto"/>
              </w:rPr>
              <w:t>All Other</w:t>
            </w:r>
          </w:p>
        </w:tc>
        <w:tc>
          <w:tcPr>
            <w:tcW w:w="100" w:type="dxa"/>
            <w:vAlign w:val="bottom"/>
            <w:tcBorders>
              <w:bottom w:val="single" w:sz="8" w:color="D7282F"/>
            </w:tcBorders>
          </w:tcPr>
          <w:p>
            <w:pPr>
              <w:spacing w:after="0"/>
              <w:rPr>
                <w:sz w:val="16"/>
                <w:szCs w:val="16"/>
                <w:color w:val="auto"/>
              </w:rPr>
            </w:pPr>
          </w:p>
        </w:tc>
        <w:tc>
          <w:tcPr>
            <w:tcW w:w="1080" w:type="dxa"/>
            <w:vAlign w:val="bottom"/>
            <w:tcBorders>
              <w:bottom w:val="single" w:sz="8" w:color="D7282F"/>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8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December 31, 2022</w:t>
            </w:r>
          </w:p>
        </w:tc>
        <w:tc>
          <w:tcPr>
            <w:tcW w:w="1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2,376</w:t>
            </w:r>
          </w:p>
        </w:tc>
        <w:tc>
          <w:tcPr>
            <w:tcW w:w="220" w:type="dxa"/>
            <w:vAlign w:val="bottom"/>
            <w:tcBorders>
              <w:bottom w:val="single" w:sz="8" w:color="D7282F"/>
            </w:tcBorders>
          </w:tcPr>
          <w:p>
            <w:pPr>
              <w:spacing w:after="0"/>
              <w:rPr>
                <w:sz w:val="16"/>
                <w:szCs w:val="16"/>
                <w:color w:val="auto"/>
              </w:rPr>
            </w:pPr>
          </w:p>
        </w:tc>
        <w:tc>
          <w:tcPr>
            <w:tcW w:w="1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9,183</w:t>
            </w:r>
          </w:p>
        </w:tc>
        <w:tc>
          <w:tcPr>
            <w:tcW w:w="220" w:type="dxa"/>
            <w:vAlign w:val="bottom"/>
            <w:tcBorders>
              <w:bottom w:val="single" w:sz="8" w:color="D7282F"/>
            </w:tcBorders>
          </w:tcPr>
          <w:p>
            <w:pPr>
              <w:spacing w:after="0"/>
              <w:rPr>
                <w:sz w:val="16"/>
                <w:szCs w:val="16"/>
                <w:color w:val="auto"/>
              </w:rPr>
            </w:pP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3,338</w:t>
            </w:r>
          </w:p>
        </w:tc>
        <w:tc>
          <w:tcPr>
            <w:tcW w:w="240" w:type="dxa"/>
            <w:vAlign w:val="bottom"/>
            <w:tcBorders>
              <w:bottom w:val="single" w:sz="8" w:color="D7282F"/>
            </w:tcBorders>
          </w:tcPr>
          <w:p>
            <w:pPr>
              <w:spacing w:after="0"/>
              <w:rPr>
                <w:sz w:val="16"/>
                <w:szCs w:val="16"/>
                <w:color w:val="auto"/>
              </w:rPr>
            </w:pPr>
          </w:p>
        </w:tc>
        <w:tc>
          <w:tcPr>
            <w:tcW w:w="1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1,726</w:t>
            </w:r>
          </w:p>
        </w:tc>
        <w:tc>
          <w:tcPr>
            <w:tcW w:w="220" w:type="dxa"/>
            <w:vAlign w:val="bottom"/>
            <w:tcBorders>
              <w:bottom w:val="single" w:sz="8" w:color="D7282F"/>
            </w:tcBorders>
          </w:tcPr>
          <w:p>
            <w:pPr>
              <w:spacing w:after="0"/>
              <w:rPr>
                <w:sz w:val="16"/>
                <w:szCs w:val="16"/>
                <w:color w:val="auto"/>
              </w:rPr>
            </w:pPr>
          </w:p>
        </w:tc>
        <w:tc>
          <w:tcPr>
            <w:tcW w:w="1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874</w:t>
            </w:r>
          </w:p>
        </w:tc>
        <w:tc>
          <w:tcPr>
            <w:tcW w:w="220" w:type="dxa"/>
            <w:vAlign w:val="bottom"/>
            <w:tcBorders>
              <w:bottom w:val="single" w:sz="8" w:color="D7282F"/>
            </w:tcBorders>
          </w:tcPr>
          <w:p>
            <w:pPr>
              <w:spacing w:after="0"/>
              <w:rPr>
                <w:sz w:val="16"/>
                <w:szCs w:val="16"/>
                <w:color w:val="auto"/>
              </w:rPr>
            </w:pPr>
          </w:p>
        </w:tc>
        <w:tc>
          <w:tcPr>
            <w:tcW w:w="1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17,497</w:t>
            </w:r>
          </w:p>
        </w:tc>
        <w:tc>
          <w:tcPr>
            <w:tcW w:w="0" w:type="dxa"/>
            <w:vAlign w:val="bottom"/>
          </w:tcPr>
          <w:p>
            <w:pPr>
              <w:spacing w:after="0"/>
              <w:rPr>
                <w:sz w:val="1"/>
                <w:szCs w:val="1"/>
                <w:color w:val="auto"/>
              </w:rPr>
            </w:pPr>
          </w:p>
        </w:tc>
      </w:tr>
      <w:tr>
        <w:trPr>
          <w:trHeight w:val="193"/>
        </w:trPr>
        <w:tc>
          <w:tcPr>
            <w:tcW w:w="2880" w:type="dxa"/>
            <w:vAlign w:val="bottom"/>
          </w:tcPr>
          <w:p>
            <w:pPr>
              <w:ind w:left="140"/>
              <w:spacing w:after="0"/>
              <w:rPr>
                <w:sz w:val="20"/>
                <w:szCs w:val="20"/>
                <w:color w:val="auto"/>
              </w:rPr>
            </w:pPr>
            <w:r>
              <w:rPr>
                <w:rFonts w:ascii="Arial" w:cs="Arial" w:eastAsia="Arial" w:hAnsi="Arial"/>
                <w:sz w:val="14"/>
                <w:szCs w:val="14"/>
                <w:color w:val="auto"/>
              </w:rPr>
              <w:t>Acquisitions</w:t>
            </w:r>
          </w:p>
        </w:tc>
        <w:tc>
          <w:tcPr>
            <w:tcW w:w="140" w:type="dxa"/>
            <w:vAlign w:val="bottom"/>
          </w:tcPr>
          <w:p>
            <w:pPr>
              <w:spacing w:after="0"/>
              <w:rPr>
                <w:sz w:val="16"/>
                <w:szCs w:val="16"/>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392</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392</w:t>
            </w:r>
          </w:p>
        </w:tc>
        <w:tc>
          <w:tcPr>
            <w:tcW w:w="0" w:type="dxa"/>
            <w:vAlign w:val="bottom"/>
          </w:tcPr>
          <w:p>
            <w:pPr>
              <w:spacing w:after="0"/>
              <w:rPr>
                <w:sz w:val="1"/>
                <w:szCs w:val="1"/>
                <w:color w:val="auto"/>
              </w:rPr>
            </w:pPr>
          </w:p>
        </w:tc>
      </w:tr>
      <w:tr>
        <w:trPr>
          <w:trHeight w:val="196"/>
        </w:trPr>
        <w:tc>
          <w:tcPr>
            <w:tcW w:w="2880" w:type="dxa"/>
            <w:vAlign w:val="bottom"/>
            <w:tcBorders>
              <w:top w:val="single" w:sz="8" w:color="888B8D"/>
              <w:bottom w:val="single" w:sz="8" w:color="D7282F"/>
            </w:tcBorders>
          </w:tcPr>
          <w:p>
            <w:pPr>
              <w:ind w:left="140"/>
              <w:spacing w:after="0"/>
              <w:rPr>
                <w:sz w:val="20"/>
                <w:szCs w:val="20"/>
                <w:color w:val="auto"/>
              </w:rPr>
            </w:pPr>
            <w:r>
              <w:rPr>
                <w:rFonts w:ascii="Arial" w:cs="Arial" w:eastAsia="Arial" w:hAnsi="Arial"/>
                <w:sz w:val="14"/>
                <w:szCs w:val="14"/>
                <w:color w:val="auto"/>
              </w:rPr>
              <w:t>Currency translation adjustment</w:t>
            </w:r>
          </w:p>
        </w:tc>
        <w:tc>
          <w:tcPr>
            <w:tcW w:w="140" w:type="dxa"/>
            <w:vAlign w:val="bottom"/>
            <w:tcBorders>
              <w:top w:val="single" w:sz="8" w:color="888B8D"/>
              <w:bottom w:val="single" w:sz="8" w:color="D7282F"/>
            </w:tcBorders>
          </w:tcPr>
          <w:p>
            <w:pPr>
              <w:spacing w:after="0"/>
              <w:rPr>
                <w:sz w:val="17"/>
                <w:szCs w:val="17"/>
                <w:color w:val="auto"/>
              </w:rPr>
            </w:pPr>
          </w:p>
        </w:tc>
        <w:tc>
          <w:tcPr>
            <w:tcW w:w="1100" w:type="dxa"/>
            <w:vAlign w:val="bottom"/>
            <w:tcBorders>
              <w:top w:val="single" w:sz="8" w:color="888B8D"/>
              <w:bottom w:val="single" w:sz="8" w:color="D7282F"/>
            </w:tcBorders>
          </w:tcPr>
          <w:p>
            <w:pPr>
              <w:jc w:val="right"/>
              <w:ind w:right="8"/>
              <w:spacing w:after="0"/>
              <w:rPr>
                <w:sz w:val="20"/>
                <w:szCs w:val="20"/>
                <w:color w:val="auto"/>
              </w:rPr>
            </w:pPr>
            <w:r>
              <w:rPr>
                <w:rFonts w:ascii="Arial" w:cs="Arial" w:eastAsia="Arial" w:hAnsi="Arial"/>
                <w:sz w:val="14"/>
                <w:szCs w:val="14"/>
                <w:color w:val="auto"/>
              </w:rPr>
              <w:t>10</w:t>
            </w:r>
          </w:p>
        </w:tc>
        <w:tc>
          <w:tcPr>
            <w:tcW w:w="220" w:type="dxa"/>
            <w:vAlign w:val="bottom"/>
            <w:tcBorders>
              <w:top w:val="single" w:sz="8" w:color="888B8D"/>
              <w:bottom w:val="single" w:sz="8" w:color="D7282F"/>
            </w:tcBorders>
          </w:tcPr>
          <w:p>
            <w:pPr>
              <w:spacing w:after="0"/>
              <w:rPr>
                <w:sz w:val="17"/>
                <w:szCs w:val="17"/>
                <w:color w:val="auto"/>
              </w:rPr>
            </w:pPr>
          </w:p>
        </w:tc>
        <w:tc>
          <w:tcPr>
            <w:tcW w:w="140" w:type="dxa"/>
            <w:vAlign w:val="bottom"/>
            <w:tcBorders>
              <w:top w:val="single" w:sz="8" w:color="888B8D"/>
              <w:bottom w:val="single" w:sz="8" w:color="D7282F"/>
            </w:tcBorders>
          </w:tcPr>
          <w:p>
            <w:pPr>
              <w:spacing w:after="0"/>
              <w:rPr>
                <w:sz w:val="17"/>
                <w:szCs w:val="17"/>
                <w:color w:val="auto"/>
              </w:rPr>
            </w:pPr>
          </w:p>
        </w:tc>
        <w:tc>
          <w:tcPr>
            <w:tcW w:w="1040" w:type="dxa"/>
            <w:vAlign w:val="bottom"/>
            <w:tcBorders>
              <w:top w:val="single" w:sz="8" w:color="888B8D"/>
              <w:bottom w:val="single" w:sz="8" w:color="D7282F"/>
            </w:tcBorders>
          </w:tcPr>
          <w:p>
            <w:pPr>
              <w:jc w:val="right"/>
              <w:ind w:right="8"/>
              <w:spacing w:after="0"/>
              <w:rPr>
                <w:sz w:val="20"/>
                <w:szCs w:val="20"/>
                <w:color w:val="auto"/>
              </w:rPr>
            </w:pPr>
            <w:r>
              <w:rPr>
                <w:rFonts w:ascii="Arial" w:cs="Arial" w:eastAsia="Arial" w:hAnsi="Arial"/>
                <w:sz w:val="14"/>
                <w:szCs w:val="14"/>
                <w:color w:val="auto"/>
              </w:rPr>
              <w:t>75</w:t>
            </w:r>
          </w:p>
        </w:tc>
        <w:tc>
          <w:tcPr>
            <w:tcW w:w="220" w:type="dxa"/>
            <w:vAlign w:val="bottom"/>
            <w:tcBorders>
              <w:top w:val="single" w:sz="8" w:color="888B8D"/>
              <w:bottom w:val="single" w:sz="8" w:color="D7282F"/>
            </w:tcBorders>
          </w:tcPr>
          <w:p>
            <w:pPr>
              <w:spacing w:after="0"/>
              <w:rPr>
                <w:sz w:val="17"/>
                <w:szCs w:val="17"/>
                <w:color w:val="auto"/>
              </w:rPr>
            </w:pPr>
          </w:p>
        </w:tc>
        <w:tc>
          <w:tcPr>
            <w:tcW w:w="160" w:type="dxa"/>
            <w:vAlign w:val="bottom"/>
            <w:tcBorders>
              <w:top w:val="single" w:sz="8" w:color="888B8D"/>
              <w:bottom w:val="single" w:sz="8" w:color="D7282F"/>
            </w:tcBorders>
          </w:tcPr>
          <w:p>
            <w:pPr>
              <w:spacing w:after="0"/>
              <w:rPr>
                <w:sz w:val="17"/>
                <w:szCs w:val="17"/>
                <w:color w:val="auto"/>
              </w:rPr>
            </w:pPr>
          </w:p>
        </w:tc>
        <w:tc>
          <w:tcPr>
            <w:tcW w:w="1040" w:type="dxa"/>
            <w:vAlign w:val="bottom"/>
            <w:tcBorders>
              <w:top w:val="single" w:sz="8" w:color="888B8D"/>
              <w:bottom w:val="single" w:sz="8" w:color="D7282F"/>
            </w:tcBorders>
          </w:tcPr>
          <w:p>
            <w:pPr>
              <w:jc w:val="right"/>
              <w:spacing w:after="0"/>
              <w:rPr>
                <w:sz w:val="20"/>
                <w:szCs w:val="20"/>
                <w:color w:val="auto"/>
              </w:rPr>
            </w:pPr>
            <w:r>
              <w:rPr>
                <w:rFonts w:ascii="Arial" w:cs="Arial" w:eastAsia="Arial" w:hAnsi="Arial"/>
                <w:sz w:val="14"/>
                <w:szCs w:val="14"/>
                <w:color w:val="auto"/>
              </w:rPr>
              <w:t>42</w:t>
            </w:r>
          </w:p>
        </w:tc>
        <w:tc>
          <w:tcPr>
            <w:tcW w:w="240" w:type="dxa"/>
            <w:vAlign w:val="bottom"/>
            <w:tcBorders>
              <w:top w:val="single" w:sz="8" w:color="888B8D"/>
              <w:bottom w:val="single" w:sz="8" w:color="D7282F"/>
            </w:tcBorders>
          </w:tcPr>
          <w:p>
            <w:pPr>
              <w:spacing w:after="0"/>
              <w:rPr>
                <w:sz w:val="17"/>
                <w:szCs w:val="17"/>
                <w:color w:val="auto"/>
              </w:rPr>
            </w:pPr>
          </w:p>
        </w:tc>
        <w:tc>
          <w:tcPr>
            <w:tcW w:w="120" w:type="dxa"/>
            <w:vAlign w:val="bottom"/>
            <w:tcBorders>
              <w:top w:val="single" w:sz="8" w:color="888B8D"/>
              <w:bottom w:val="single" w:sz="8" w:color="D7282F"/>
            </w:tcBorders>
          </w:tcPr>
          <w:p>
            <w:pPr>
              <w:spacing w:after="0"/>
              <w:rPr>
                <w:sz w:val="17"/>
                <w:szCs w:val="17"/>
                <w:color w:val="auto"/>
              </w:rPr>
            </w:pPr>
          </w:p>
        </w:tc>
        <w:tc>
          <w:tcPr>
            <w:tcW w:w="1120" w:type="dxa"/>
            <w:vAlign w:val="bottom"/>
            <w:tcBorders>
              <w:top w:val="single" w:sz="8" w:color="888B8D"/>
              <w:bottom w:val="single" w:sz="8" w:color="D7282F"/>
            </w:tcBorders>
          </w:tcPr>
          <w:p>
            <w:pPr>
              <w:jc w:val="right"/>
              <w:spacing w:after="0"/>
              <w:rPr>
                <w:sz w:val="20"/>
                <w:szCs w:val="20"/>
                <w:color w:val="auto"/>
              </w:rPr>
            </w:pPr>
            <w:r>
              <w:rPr>
                <w:rFonts w:ascii="Arial" w:cs="Arial" w:eastAsia="Arial" w:hAnsi="Arial"/>
                <w:sz w:val="14"/>
                <w:szCs w:val="14"/>
                <w:color w:val="auto"/>
              </w:rPr>
              <w:t>1</w:t>
            </w:r>
          </w:p>
        </w:tc>
        <w:tc>
          <w:tcPr>
            <w:tcW w:w="220" w:type="dxa"/>
            <w:vAlign w:val="bottom"/>
            <w:tcBorders>
              <w:top w:val="single" w:sz="8" w:color="888B8D"/>
              <w:bottom w:val="single" w:sz="8" w:color="D7282F"/>
            </w:tcBorders>
          </w:tcPr>
          <w:p>
            <w:pPr>
              <w:spacing w:after="0"/>
              <w:rPr>
                <w:sz w:val="17"/>
                <w:szCs w:val="17"/>
                <w:color w:val="auto"/>
              </w:rPr>
            </w:pPr>
          </w:p>
        </w:tc>
        <w:tc>
          <w:tcPr>
            <w:tcW w:w="120" w:type="dxa"/>
            <w:vAlign w:val="bottom"/>
            <w:tcBorders>
              <w:top w:val="single" w:sz="8" w:color="888B8D"/>
              <w:bottom w:val="single" w:sz="8" w:color="D7282F"/>
            </w:tcBorders>
          </w:tcPr>
          <w:p>
            <w:pPr>
              <w:spacing w:after="0"/>
              <w:rPr>
                <w:sz w:val="17"/>
                <w:szCs w:val="17"/>
                <w:color w:val="auto"/>
              </w:rPr>
            </w:pPr>
          </w:p>
        </w:tc>
        <w:tc>
          <w:tcPr>
            <w:tcW w:w="1080" w:type="dxa"/>
            <w:vAlign w:val="bottom"/>
            <w:tcBorders>
              <w:top w:val="single" w:sz="8" w:color="888B8D"/>
              <w:bottom w:val="single" w:sz="8" w:color="D7282F"/>
            </w:tcBorders>
          </w:tcPr>
          <w:p>
            <w:pPr>
              <w:jc w:val="right"/>
              <w:spacing w:after="0"/>
              <w:rPr>
                <w:sz w:val="20"/>
                <w:szCs w:val="20"/>
                <w:color w:val="auto"/>
              </w:rPr>
            </w:pPr>
            <w:r>
              <w:rPr>
                <w:rFonts w:ascii="Arial" w:cs="Arial" w:eastAsia="Arial" w:hAnsi="Arial"/>
                <w:sz w:val="14"/>
                <w:szCs w:val="14"/>
                <w:color w:val="auto"/>
              </w:rPr>
              <w:t>32</w:t>
            </w:r>
          </w:p>
        </w:tc>
        <w:tc>
          <w:tcPr>
            <w:tcW w:w="220" w:type="dxa"/>
            <w:vAlign w:val="bottom"/>
            <w:tcBorders>
              <w:top w:val="single" w:sz="8" w:color="61656A"/>
              <w:bottom w:val="single" w:sz="8" w:color="D7282F"/>
            </w:tcBorders>
          </w:tcPr>
          <w:p>
            <w:pPr>
              <w:spacing w:after="0"/>
              <w:rPr>
                <w:sz w:val="17"/>
                <w:szCs w:val="17"/>
                <w:color w:val="auto"/>
              </w:rPr>
            </w:pPr>
          </w:p>
        </w:tc>
        <w:tc>
          <w:tcPr>
            <w:tcW w:w="100" w:type="dxa"/>
            <w:vAlign w:val="bottom"/>
            <w:tcBorders>
              <w:top w:val="single" w:sz="8" w:color="61656A"/>
              <w:bottom w:val="single" w:sz="8" w:color="D7282F"/>
            </w:tcBorders>
          </w:tcPr>
          <w:p>
            <w:pPr>
              <w:spacing w:after="0"/>
              <w:rPr>
                <w:sz w:val="17"/>
                <w:szCs w:val="17"/>
                <w:color w:val="auto"/>
              </w:rPr>
            </w:pPr>
          </w:p>
        </w:tc>
        <w:tc>
          <w:tcPr>
            <w:tcW w:w="1080" w:type="dxa"/>
            <w:vAlign w:val="bottom"/>
            <w:tcBorders>
              <w:top w:val="single" w:sz="8" w:color="61656A"/>
              <w:bottom w:val="single" w:sz="8" w:color="D7282F"/>
            </w:tcBorders>
          </w:tcPr>
          <w:p>
            <w:pPr>
              <w:jc w:val="right"/>
              <w:spacing w:after="0"/>
              <w:rPr>
                <w:sz w:val="20"/>
                <w:szCs w:val="20"/>
                <w:color w:val="auto"/>
              </w:rPr>
            </w:pPr>
            <w:r>
              <w:rPr>
                <w:rFonts w:ascii="Arial" w:cs="Arial" w:eastAsia="Arial" w:hAnsi="Arial"/>
                <w:sz w:val="14"/>
                <w:szCs w:val="14"/>
                <w:color w:val="auto"/>
              </w:rPr>
              <w:t>160</w:t>
            </w:r>
          </w:p>
        </w:tc>
        <w:tc>
          <w:tcPr>
            <w:tcW w:w="0" w:type="dxa"/>
            <w:vAlign w:val="bottom"/>
          </w:tcPr>
          <w:p>
            <w:pPr>
              <w:spacing w:after="0"/>
              <w:rPr>
                <w:sz w:val="1"/>
                <w:szCs w:val="1"/>
                <w:color w:val="auto"/>
              </w:rPr>
            </w:pPr>
          </w:p>
        </w:tc>
      </w:tr>
      <w:tr>
        <w:trPr>
          <w:trHeight w:val="199"/>
        </w:trPr>
        <w:tc>
          <w:tcPr>
            <w:tcW w:w="28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December 31, 2023</w:t>
            </w:r>
          </w:p>
        </w:tc>
        <w:tc>
          <w:tcPr>
            <w:tcW w:w="140" w:type="dxa"/>
            <w:vAlign w:val="bottom"/>
            <w:tcBorders>
              <w:bottom w:val="single" w:sz="8" w:color="D7282F"/>
            </w:tcBorders>
          </w:tcPr>
          <w:p>
            <w:pPr>
              <w:spacing w:after="0"/>
              <w:rPr>
                <w:sz w:val="17"/>
                <w:szCs w:val="17"/>
                <w:color w:val="auto"/>
              </w:rPr>
            </w:pPr>
          </w:p>
        </w:tc>
        <w:tc>
          <w:tcPr>
            <w:tcW w:w="11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2,386</w:t>
            </w:r>
          </w:p>
        </w:tc>
        <w:tc>
          <w:tcPr>
            <w:tcW w:w="220" w:type="dxa"/>
            <w:vAlign w:val="bottom"/>
            <w:tcBorders>
              <w:bottom w:val="single" w:sz="8" w:color="D7282F"/>
            </w:tcBorders>
          </w:tcPr>
          <w:p>
            <w:pPr>
              <w:spacing w:after="0"/>
              <w:rPr>
                <w:sz w:val="17"/>
                <w:szCs w:val="17"/>
                <w:color w:val="auto"/>
              </w:rPr>
            </w:pPr>
          </w:p>
        </w:tc>
        <w:tc>
          <w:tcPr>
            <w:tcW w:w="140" w:type="dxa"/>
            <w:vAlign w:val="bottom"/>
            <w:tcBorders>
              <w:bottom w:val="single" w:sz="8" w:color="D7282F"/>
            </w:tcBorders>
          </w:tcPr>
          <w:p>
            <w:pPr>
              <w:spacing w:after="0"/>
              <w:rPr>
                <w:sz w:val="17"/>
                <w:szCs w:val="17"/>
                <w:color w:val="auto"/>
              </w:rPr>
            </w:pPr>
          </w:p>
        </w:tc>
        <w:tc>
          <w:tcPr>
            <w:tcW w:w="104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9,650</w:t>
            </w:r>
          </w:p>
        </w:tc>
        <w:tc>
          <w:tcPr>
            <w:tcW w:w="220" w:type="dxa"/>
            <w:vAlign w:val="bottom"/>
            <w:tcBorders>
              <w:bottom w:val="single" w:sz="8" w:color="D7282F"/>
            </w:tcBorders>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10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3,380</w:t>
            </w:r>
          </w:p>
        </w:tc>
        <w:tc>
          <w:tcPr>
            <w:tcW w:w="240" w:type="dxa"/>
            <w:vAlign w:val="bottom"/>
            <w:tcBorders>
              <w:bottom w:val="single" w:sz="8" w:color="D7282F"/>
            </w:tcBorders>
          </w:tcPr>
          <w:p>
            <w:pPr>
              <w:spacing w:after="0"/>
              <w:rPr>
                <w:sz w:val="17"/>
                <w:szCs w:val="17"/>
                <w:color w:val="auto"/>
              </w:rPr>
            </w:pPr>
          </w:p>
        </w:tc>
        <w:tc>
          <w:tcPr>
            <w:tcW w:w="120" w:type="dxa"/>
            <w:vAlign w:val="bottom"/>
            <w:tcBorders>
              <w:bottom w:val="single" w:sz="8" w:color="D7282F"/>
            </w:tcBorders>
          </w:tcPr>
          <w:p>
            <w:pPr>
              <w:spacing w:after="0"/>
              <w:rPr>
                <w:sz w:val="17"/>
                <w:szCs w:val="17"/>
                <w:color w:val="auto"/>
              </w:rPr>
            </w:pPr>
          </w:p>
        </w:tc>
        <w:tc>
          <w:tcPr>
            <w:tcW w:w="11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1,727</w:t>
            </w:r>
          </w:p>
        </w:tc>
        <w:tc>
          <w:tcPr>
            <w:tcW w:w="220" w:type="dxa"/>
            <w:vAlign w:val="bottom"/>
            <w:tcBorders>
              <w:bottom w:val="single" w:sz="8" w:color="D7282F"/>
            </w:tcBorders>
          </w:tcPr>
          <w:p>
            <w:pPr>
              <w:spacing w:after="0"/>
              <w:rPr>
                <w:sz w:val="17"/>
                <w:szCs w:val="17"/>
                <w:color w:val="auto"/>
              </w:rPr>
            </w:pPr>
          </w:p>
        </w:tc>
        <w:tc>
          <w:tcPr>
            <w:tcW w:w="120" w:type="dxa"/>
            <w:vAlign w:val="bottom"/>
            <w:tcBorders>
              <w:bottom w:val="single" w:sz="8" w:color="D7282F"/>
            </w:tcBorders>
          </w:tcPr>
          <w:p>
            <w:pPr>
              <w:spacing w:after="0"/>
              <w:rPr>
                <w:sz w:val="17"/>
                <w:szCs w:val="17"/>
                <w:color w:val="auto"/>
              </w:rPr>
            </w:pPr>
          </w:p>
        </w:tc>
        <w:tc>
          <w:tcPr>
            <w:tcW w:w="10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906</w:t>
            </w:r>
          </w:p>
        </w:tc>
        <w:tc>
          <w:tcPr>
            <w:tcW w:w="220" w:type="dxa"/>
            <w:vAlign w:val="bottom"/>
            <w:tcBorders>
              <w:bottom w:val="single" w:sz="8" w:color="D7282F"/>
            </w:tcBorders>
          </w:tcPr>
          <w:p>
            <w:pPr>
              <w:spacing w:after="0"/>
              <w:rPr>
                <w:sz w:val="17"/>
                <w:szCs w:val="17"/>
                <w:color w:val="auto"/>
              </w:rPr>
            </w:pPr>
          </w:p>
        </w:tc>
        <w:tc>
          <w:tcPr>
            <w:tcW w:w="100" w:type="dxa"/>
            <w:vAlign w:val="bottom"/>
            <w:tcBorders>
              <w:bottom w:val="single" w:sz="8" w:color="D7282F"/>
            </w:tcBorders>
          </w:tcPr>
          <w:p>
            <w:pPr>
              <w:spacing w:after="0"/>
              <w:rPr>
                <w:sz w:val="17"/>
                <w:szCs w:val="17"/>
                <w:color w:val="auto"/>
              </w:rPr>
            </w:pPr>
          </w:p>
        </w:tc>
        <w:tc>
          <w:tcPr>
            <w:tcW w:w="10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18,049</w:t>
            </w:r>
          </w:p>
        </w:tc>
        <w:tc>
          <w:tcPr>
            <w:tcW w:w="0" w:type="dxa"/>
            <w:vAlign w:val="bottom"/>
          </w:tcPr>
          <w:p>
            <w:pPr>
              <w:spacing w:after="0"/>
              <w:rPr>
                <w:sz w:val="1"/>
                <w:szCs w:val="1"/>
                <w:color w:val="auto"/>
              </w:rPr>
            </w:pPr>
          </w:p>
        </w:tc>
      </w:tr>
      <w:tr>
        <w:trPr>
          <w:trHeight w:val="193"/>
        </w:trPr>
        <w:tc>
          <w:tcPr>
            <w:tcW w:w="288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Acquisitions</w:t>
            </w:r>
          </w:p>
        </w:tc>
        <w:tc>
          <w:tcPr>
            <w:tcW w:w="140" w:type="dxa"/>
            <w:vAlign w:val="bottom"/>
            <w:tcBorders>
              <w:bottom w:val="single" w:sz="8" w:color="888B8D"/>
            </w:tcBorders>
          </w:tcPr>
          <w:p>
            <w:pPr>
              <w:spacing w:after="0"/>
              <w:rPr>
                <w:sz w:val="16"/>
                <w:szCs w:val="16"/>
                <w:color w:val="auto"/>
              </w:rPr>
            </w:pPr>
          </w:p>
        </w:tc>
        <w:tc>
          <w:tcPr>
            <w:tcW w:w="1100" w:type="dxa"/>
            <w:vAlign w:val="bottom"/>
            <w:tcBorders>
              <w:bottom w:val="single" w:sz="8" w:color="888B8D"/>
            </w:tcBorders>
          </w:tcPr>
          <w:p>
            <w:pPr>
              <w:jc w:val="right"/>
              <w:ind w:right="8"/>
              <w:spacing w:after="0"/>
              <w:rPr>
                <w:sz w:val="20"/>
                <w:szCs w:val="20"/>
                <w:color w:val="auto"/>
              </w:rPr>
            </w:pPr>
            <w:r>
              <w:rPr>
                <w:rFonts w:ascii="Arial" w:cs="Arial" w:eastAsia="Arial" w:hAnsi="Arial"/>
                <w:sz w:val="14"/>
                <w:szCs w:val="14"/>
                <w:color w:val="auto"/>
              </w:rPr>
              <w:t>660</w:t>
            </w:r>
          </w:p>
        </w:tc>
        <w:tc>
          <w:tcPr>
            <w:tcW w:w="220" w:type="dxa"/>
            <w:vAlign w:val="bottom"/>
            <w:tcBorders>
              <w:bottom w:val="single" w:sz="8" w:color="888B8D"/>
            </w:tcBorders>
          </w:tcPr>
          <w:p>
            <w:pPr>
              <w:spacing w:after="0"/>
              <w:rPr>
                <w:sz w:val="16"/>
                <w:szCs w:val="16"/>
                <w:color w:val="auto"/>
              </w:rPr>
            </w:pPr>
          </w:p>
        </w:tc>
        <w:tc>
          <w:tcPr>
            <w:tcW w:w="140" w:type="dxa"/>
            <w:vAlign w:val="bottom"/>
            <w:tcBorders>
              <w:bottom w:val="single" w:sz="8" w:color="888B8D"/>
            </w:tcBorders>
          </w:tcPr>
          <w:p>
            <w:pPr>
              <w:spacing w:after="0"/>
              <w:rPr>
                <w:sz w:val="16"/>
                <w:szCs w:val="16"/>
                <w:color w:val="auto"/>
              </w:rPr>
            </w:pPr>
          </w:p>
        </w:tc>
        <w:tc>
          <w:tcPr>
            <w:tcW w:w="1260" w:type="dxa"/>
            <w:vAlign w:val="bottom"/>
            <w:tcBorders>
              <w:bottom w:val="single" w:sz="8" w:color="888B8D"/>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888B8D"/>
            </w:tcBorders>
          </w:tcPr>
          <w:p>
            <w:pPr>
              <w:spacing w:after="0"/>
              <w:rPr>
                <w:sz w:val="16"/>
                <w:szCs w:val="16"/>
                <w:color w:val="auto"/>
              </w:rPr>
            </w:pPr>
          </w:p>
        </w:tc>
        <w:tc>
          <w:tcPr>
            <w:tcW w:w="10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2,827</w:t>
            </w:r>
          </w:p>
        </w:tc>
        <w:tc>
          <w:tcPr>
            <w:tcW w:w="240" w:type="dxa"/>
            <w:vAlign w:val="bottom"/>
            <w:tcBorders>
              <w:bottom w:val="single" w:sz="8" w:color="888B8D"/>
            </w:tcBorders>
          </w:tcPr>
          <w:p>
            <w:pPr>
              <w:spacing w:after="0"/>
              <w:rPr>
                <w:sz w:val="16"/>
                <w:szCs w:val="16"/>
                <w:color w:val="auto"/>
              </w:rPr>
            </w:pPr>
          </w:p>
        </w:tc>
        <w:tc>
          <w:tcPr>
            <w:tcW w:w="120" w:type="dxa"/>
            <w:vAlign w:val="bottom"/>
            <w:tcBorders>
              <w:bottom w:val="single" w:sz="8" w:color="888B8D"/>
            </w:tcBorders>
          </w:tcPr>
          <w:p>
            <w:pPr>
              <w:spacing w:after="0"/>
              <w:rPr>
                <w:sz w:val="16"/>
                <w:szCs w:val="16"/>
                <w:color w:val="auto"/>
              </w:rPr>
            </w:pPr>
          </w:p>
        </w:tc>
        <w:tc>
          <w:tcPr>
            <w:tcW w:w="112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876</w:t>
            </w:r>
          </w:p>
        </w:tc>
        <w:tc>
          <w:tcPr>
            <w:tcW w:w="220" w:type="dxa"/>
            <w:vAlign w:val="bottom"/>
            <w:tcBorders>
              <w:bottom w:val="single" w:sz="8" w:color="888B8D"/>
            </w:tcBorders>
          </w:tcPr>
          <w:p>
            <w:pPr>
              <w:spacing w:after="0"/>
              <w:rPr>
                <w:sz w:val="16"/>
                <w:szCs w:val="16"/>
                <w:color w:val="auto"/>
              </w:rPr>
            </w:pPr>
          </w:p>
        </w:tc>
        <w:tc>
          <w:tcPr>
            <w:tcW w:w="120" w:type="dxa"/>
            <w:vAlign w:val="bottom"/>
            <w:tcBorders>
              <w:bottom w:val="single" w:sz="8" w:color="888B8D"/>
            </w:tcBorders>
          </w:tcPr>
          <w:p>
            <w:pPr>
              <w:spacing w:after="0"/>
              <w:rPr>
                <w:sz w:val="16"/>
                <w:szCs w:val="16"/>
                <w:color w:val="auto"/>
              </w:rPr>
            </w:pPr>
          </w:p>
        </w:tc>
        <w:tc>
          <w:tcPr>
            <w:tcW w:w="1300" w:type="dxa"/>
            <w:vAlign w:val="bottom"/>
            <w:tcBorders>
              <w:bottom w:val="single" w:sz="8" w:color="888B8D"/>
            </w:tcBorders>
            <w:gridSpan w:val="2"/>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888B8D"/>
            </w:tcBorders>
          </w:tcPr>
          <w:p>
            <w:pPr>
              <w:spacing w:after="0"/>
              <w:rPr>
                <w:sz w:val="16"/>
                <w:szCs w:val="16"/>
                <w:color w:val="auto"/>
              </w:rPr>
            </w:pPr>
          </w:p>
        </w:tc>
        <w:tc>
          <w:tcPr>
            <w:tcW w:w="108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4,363</w:t>
            </w:r>
          </w:p>
        </w:tc>
        <w:tc>
          <w:tcPr>
            <w:tcW w:w="0" w:type="dxa"/>
            <w:vAlign w:val="bottom"/>
          </w:tcPr>
          <w:p>
            <w:pPr>
              <w:spacing w:after="0"/>
              <w:rPr>
                <w:sz w:val="1"/>
                <w:szCs w:val="1"/>
                <w:color w:val="auto"/>
              </w:rPr>
            </w:pPr>
          </w:p>
        </w:tc>
      </w:tr>
      <w:tr>
        <w:trPr>
          <w:trHeight w:val="196"/>
        </w:trPr>
        <w:tc>
          <w:tcPr>
            <w:tcW w:w="28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Currency translation adjustment</w:t>
            </w:r>
          </w:p>
        </w:tc>
        <w:tc>
          <w:tcPr>
            <w:tcW w:w="140" w:type="dxa"/>
            <w:vAlign w:val="bottom"/>
            <w:tcBorders>
              <w:bottom w:val="single" w:sz="8" w:color="888B8D"/>
            </w:tcBorders>
          </w:tcPr>
          <w:p>
            <w:pPr>
              <w:spacing w:after="0"/>
              <w:rPr>
                <w:sz w:val="17"/>
                <w:szCs w:val="17"/>
                <w:color w:val="auto"/>
              </w:rPr>
            </w:pPr>
          </w:p>
        </w:tc>
        <w:tc>
          <w:tcPr>
            <w:tcW w:w="11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(18)</w:t>
            </w:r>
          </w:p>
        </w:tc>
        <w:tc>
          <w:tcPr>
            <w:tcW w:w="220" w:type="dxa"/>
            <w:vAlign w:val="bottom"/>
            <w:tcBorders>
              <w:bottom w:val="single" w:sz="8" w:color="61656A"/>
            </w:tcBorders>
          </w:tcPr>
          <w:p>
            <w:pPr>
              <w:spacing w:after="0"/>
              <w:rPr>
                <w:sz w:val="17"/>
                <w:szCs w:val="17"/>
                <w:color w:val="auto"/>
              </w:rPr>
            </w:pPr>
          </w:p>
        </w:tc>
        <w:tc>
          <w:tcPr>
            <w:tcW w:w="140" w:type="dxa"/>
            <w:vAlign w:val="bottom"/>
            <w:tcBorders>
              <w:bottom w:val="single" w:sz="8" w:color="888B8D"/>
            </w:tcBorders>
          </w:tcPr>
          <w:p>
            <w:pPr>
              <w:spacing w:after="0"/>
              <w:rPr>
                <w:sz w:val="17"/>
                <w:szCs w:val="17"/>
                <w:color w:val="auto"/>
              </w:rPr>
            </w:pPr>
          </w:p>
        </w:tc>
        <w:tc>
          <w:tcPr>
            <w:tcW w:w="10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(75)</w:t>
            </w:r>
          </w:p>
        </w:tc>
        <w:tc>
          <w:tcPr>
            <w:tcW w:w="220" w:type="dxa"/>
            <w:vAlign w:val="bottom"/>
            <w:tcBorders>
              <w:bottom w:val="single" w:sz="8" w:color="61656A"/>
            </w:tcBorders>
          </w:tcPr>
          <w:p>
            <w:pPr>
              <w:spacing w:after="0"/>
              <w:rPr>
                <w:sz w:val="17"/>
                <w:szCs w:val="17"/>
                <w:color w:val="auto"/>
              </w:rPr>
            </w:pPr>
          </w:p>
        </w:tc>
        <w:tc>
          <w:tcPr>
            <w:tcW w:w="160" w:type="dxa"/>
            <w:vAlign w:val="bottom"/>
            <w:tcBorders>
              <w:bottom w:val="single" w:sz="8" w:color="888B8D"/>
            </w:tcBorders>
          </w:tcPr>
          <w:p>
            <w:pPr>
              <w:spacing w:after="0"/>
              <w:rPr>
                <w:sz w:val="17"/>
                <w:szCs w:val="17"/>
                <w:color w:val="auto"/>
              </w:rPr>
            </w:pPr>
          </w:p>
        </w:tc>
        <w:tc>
          <w:tcPr>
            <w:tcW w:w="10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(71)</w:t>
            </w:r>
          </w:p>
        </w:tc>
        <w:tc>
          <w:tcPr>
            <w:tcW w:w="240" w:type="dxa"/>
            <w:vAlign w:val="bottom"/>
            <w:tcBorders>
              <w:bottom w:val="single" w:sz="8" w:color="61656A"/>
            </w:tcBorders>
          </w:tcPr>
          <w:p>
            <w:pPr>
              <w:spacing w:after="0"/>
              <w:rPr>
                <w:sz w:val="17"/>
                <w:szCs w:val="17"/>
                <w:color w:val="auto"/>
              </w:rPr>
            </w:pPr>
          </w:p>
        </w:tc>
        <w:tc>
          <w:tcPr>
            <w:tcW w:w="120" w:type="dxa"/>
            <w:vAlign w:val="bottom"/>
            <w:tcBorders>
              <w:bottom w:val="single" w:sz="8" w:color="888B8D"/>
            </w:tcBorders>
          </w:tcPr>
          <w:p>
            <w:pPr>
              <w:spacing w:after="0"/>
              <w:rPr>
                <w:sz w:val="17"/>
                <w:szCs w:val="17"/>
                <w:color w:val="auto"/>
              </w:rPr>
            </w:pPr>
          </w:p>
        </w:tc>
        <w:tc>
          <w:tcPr>
            <w:tcW w:w="112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(5)</w:t>
            </w:r>
          </w:p>
        </w:tc>
        <w:tc>
          <w:tcPr>
            <w:tcW w:w="220" w:type="dxa"/>
            <w:vAlign w:val="bottom"/>
            <w:tcBorders>
              <w:bottom w:val="single" w:sz="8" w:color="61656A"/>
            </w:tcBorders>
          </w:tcPr>
          <w:p>
            <w:pPr>
              <w:spacing w:after="0"/>
              <w:rPr>
                <w:sz w:val="17"/>
                <w:szCs w:val="17"/>
                <w:color w:val="auto"/>
              </w:rPr>
            </w:pPr>
          </w:p>
        </w:tc>
        <w:tc>
          <w:tcPr>
            <w:tcW w:w="120" w:type="dxa"/>
            <w:vAlign w:val="bottom"/>
            <w:tcBorders>
              <w:bottom w:val="single" w:sz="8" w:color="888B8D"/>
            </w:tcBorders>
          </w:tcPr>
          <w:p>
            <w:pPr>
              <w:spacing w:after="0"/>
              <w:rPr>
                <w:sz w:val="17"/>
                <w:szCs w:val="17"/>
                <w:color w:val="auto"/>
              </w:rPr>
            </w:pPr>
          </w:p>
        </w:tc>
        <w:tc>
          <w:tcPr>
            <w:tcW w:w="108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(7)</w:t>
            </w:r>
          </w:p>
        </w:tc>
        <w:tc>
          <w:tcPr>
            <w:tcW w:w="220" w:type="dxa"/>
            <w:vAlign w:val="bottom"/>
            <w:tcBorders>
              <w:bottom w:val="single" w:sz="8" w:color="61656A"/>
            </w:tcBorders>
          </w:tcPr>
          <w:p>
            <w:pPr>
              <w:spacing w:after="0"/>
              <w:rPr>
                <w:sz w:val="17"/>
                <w:szCs w:val="17"/>
                <w:color w:val="auto"/>
              </w:rPr>
            </w:pPr>
          </w:p>
        </w:tc>
        <w:tc>
          <w:tcPr>
            <w:tcW w:w="100" w:type="dxa"/>
            <w:vAlign w:val="bottom"/>
            <w:tcBorders>
              <w:bottom w:val="single" w:sz="8" w:color="888B8D"/>
            </w:tcBorders>
          </w:tcPr>
          <w:p>
            <w:pPr>
              <w:spacing w:after="0"/>
              <w:rPr>
                <w:sz w:val="17"/>
                <w:szCs w:val="17"/>
                <w:color w:val="auto"/>
              </w:rPr>
            </w:pPr>
          </w:p>
        </w:tc>
        <w:tc>
          <w:tcPr>
            <w:tcW w:w="108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(176)</w:t>
            </w:r>
          </w:p>
        </w:tc>
        <w:tc>
          <w:tcPr>
            <w:tcW w:w="0" w:type="dxa"/>
            <w:vAlign w:val="bottom"/>
          </w:tcPr>
          <w:p>
            <w:pPr>
              <w:spacing w:after="0"/>
              <w:rPr>
                <w:sz w:val="1"/>
                <w:szCs w:val="1"/>
                <w:color w:val="auto"/>
              </w:rPr>
            </w:pPr>
          </w:p>
        </w:tc>
      </w:tr>
      <w:tr>
        <w:trPr>
          <w:trHeight w:val="196"/>
        </w:trPr>
        <w:tc>
          <w:tcPr>
            <w:tcW w:w="288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Reclassified to Assets held for sale</w:t>
            </w:r>
          </w:p>
        </w:tc>
        <w:tc>
          <w:tcPr>
            <w:tcW w:w="140" w:type="dxa"/>
            <w:vAlign w:val="bottom"/>
            <w:tcBorders>
              <w:bottom w:val="single" w:sz="8" w:color="D7282F"/>
            </w:tcBorders>
          </w:tcPr>
          <w:p>
            <w:pPr>
              <w:spacing w:after="0"/>
              <w:rPr>
                <w:sz w:val="17"/>
                <w:szCs w:val="17"/>
                <w:color w:val="auto"/>
              </w:rPr>
            </w:pPr>
          </w:p>
        </w:tc>
        <w:tc>
          <w:tcPr>
            <w:tcW w:w="1320" w:type="dxa"/>
            <w:vAlign w:val="bottom"/>
            <w:tcBorders>
              <w:bottom w:val="single" w:sz="8" w:color="D7282F"/>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D7282F"/>
            </w:tcBorders>
          </w:tcPr>
          <w:p>
            <w:pPr>
              <w:spacing w:after="0"/>
              <w:rPr>
                <w:sz w:val="17"/>
                <w:szCs w:val="17"/>
                <w:color w:val="auto"/>
              </w:rPr>
            </w:pPr>
          </w:p>
        </w:tc>
        <w:tc>
          <w:tcPr>
            <w:tcW w:w="10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(411)</w:t>
            </w:r>
          </w:p>
        </w:tc>
        <w:tc>
          <w:tcPr>
            <w:tcW w:w="220" w:type="dxa"/>
            <w:vAlign w:val="bottom"/>
            <w:tcBorders>
              <w:bottom w:val="single" w:sz="8" w:color="D7282F"/>
            </w:tcBorders>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1280" w:type="dxa"/>
            <w:vAlign w:val="bottom"/>
            <w:tcBorders>
              <w:bottom w:val="single" w:sz="8" w:color="D7282F"/>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D7282F"/>
            </w:tcBorders>
          </w:tcPr>
          <w:p>
            <w:pPr>
              <w:spacing w:after="0"/>
              <w:rPr>
                <w:sz w:val="17"/>
                <w:szCs w:val="17"/>
                <w:color w:val="auto"/>
              </w:rPr>
            </w:pPr>
          </w:p>
        </w:tc>
        <w:tc>
          <w:tcPr>
            <w:tcW w:w="1340" w:type="dxa"/>
            <w:vAlign w:val="bottom"/>
            <w:tcBorders>
              <w:bottom w:val="single" w:sz="8" w:color="D7282F"/>
            </w:tcBorders>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D7282F"/>
            </w:tcBorders>
          </w:tcPr>
          <w:p>
            <w:pPr>
              <w:spacing w:after="0"/>
              <w:rPr>
                <w:sz w:val="17"/>
                <w:szCs w:val="17"/>
                <w:color w:val="auto"/>
              </w:rPr>
            </w:pPr>
          </w:p>
        </w:tc>
        <w:tc>
          <w:tcPr>
            <w:tcW w:w="1300" w:type="dxa"/>
            <w:vAlign w:val="bottom"/>
            <w:tcBorders>
              <w:bottom w:val="single" w:sz="8" w:color="D7282F"/>
            </w:tcBorders>
            <w:gridSpan w:val="2"/>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D7282F"/>
            </w:tcBorders>
          </w:tcPr>
          <w:p>
            <w:pPr>
              <w:spacing w:after="0"/>
              <w:rPr>
                <w:sz w:val="17"/>
                <w:szCs w:val="17"/>
                <w:color w:val="auto"/>
              </w:rPr>
            </w:pPr>
          </w:p>
        </w:tc>
        <w:tc>
          <w:tcPr>
            <w:tcW w:w="10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(411)</w:t>
            </w:r>
          </w:p>
        </w:tc>
        <w:tc>
          <w:tcPr>
            <w:tcW w:w="0" w:type="dxa"/>
            <w:vAlign w:val="bottom"/>
          </w:tcPr>
          <w:p>
            <w:pPr>
              <w:spacing w:after="0"/>
              <w:rPr>
                <w:sz w:val="1"/>
                <w:szCs w:val="1"/>
                <w:color w:val="auto"/>
              </w:rPr>
            </w:pPr>
          </w:p>
        </w:tc>
      </w:tr>
      <w:tr>
        <w:trPr>
          <w:trHeight w:val="199"/>
        </w:trPr>
        <w:tc>
          <w:tcPr>
            <w:tcW w:w="28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December 31, 2024</w:t>
            </w:r>
          </w:p>
        </w:tc>
        <w:tc>
          <w:tcPr>
            <w:tcW w:w="1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3,028</w:t>
            </w:r>
          </w:p>
        </w:tc>
        <w:tc>
          <w:tcPr>
            <w:tcW w:w="220" w:type="dxa"/>
            <w:vAlign w:val="bottom"/>
            <w:tcBorders>
              <w:bottom w:val="single" w:sz="8" w:color="D7282F"/>
            </w:tcBorders>
          </w:tcPr>
          <w:p>
            <w:pPr>
              <w:spacing w:after="0"/>
              <w:rPr>
                <w:sz w:val="17"/>
                <w:szCs w:val="17"/>
                <w:color w:val="auto"/>
              </w:rPr>
            </w:pPr>
          </w:p>
        </w:tc>
        <w:tc>
          <w:tcPr>
            <w:tcW w:w="1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9,164</w:t>
            </w:r>
          </w:p>
        </w:tc>
        <w:tc>
          <w:tcPr>
            <w:tcW w:w="220" w:type="dxa"/>
            <w:vAlign w:val="bottom"/>
            <w:tcBorders>
              <w:bottom w:val="single" w:sz="8" w:color="D7282F"/>
            </w:tcBorders>
          </w:tcPr>
          <w:p>
            <w:pPr>
              <w:spacing w:after="0"/>
              <w:rPr>
                <w:sz w:val="17"/>
                <w:szCs w:val="17"/>
                <w:color w:val="auto"/>
              </w:rPr>
            </w:pP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6,136</w:t>
            </w:r>
          </w:p>
        </w:tc>
        <w:tc>
          <w:tcPr>
            <w:tcW w:w="240" w:type="dxa"/>
            <w:vAlign w:val="bottom"/>
            <w:tcBorders>
              <w:bottom w:val="single" w:sz="8" w:color="D7282F"/>
            </w:tcBorders>
          </w:tcPr>
          <w:p>
            <w:pPr>
              <w:spacing w:after="0"/>
              <w:rPr>
                <w:sz w:val="17"/>
                <w:szCs w:val="17"/>
                <w:color w:val="auto"/>
              </w:rPr>
            </w:pPr>
          </w:p>
        </w:tc>
        <w:tc>
          <w:tcPr>
            <w:tcW w:w="1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2,598</w:t>
            </w:r>
          </w:p>
        </w:tc>
        <w:tc>
          <w:tcPr>
            <w:tcW w:w="220" w:type="dxa"/>
            <w:vAlign w:val="bottom"/>
            <w:tcBorders>
              <w:bottom w:val="single" w:sz="8" w:color="D7282F"/>
            </w:tcBorders>
          </w:tcPr>
          <w:p>
            <w:pPr>
              <w:spacing w:after="0"/>
              <w:rPr>
                <w:sz w:val="17"/>
                <w:szCs w:val="17"/>
                <w:color w:val="auto"/>
              </w:rPr>
            </w:pPr>
          </w:p>
        </w:tc>
        <w:tc>
          <w:tcPr>
            <w:tcW w:w="1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899</w:t>
            </w:r>
          </w:p>
        </w:tc>
        <w:tc>
          <w:tcPr>
            <w:tcW w:w="220" w:type="dxa"/>
            <w:vAlign w:val="bottom"/>
            <w:tcBorders>
              <w:bottom w:val="single" w:sz="8" w:color="D7282F"/>
            </w:tcBorders>
          </w:tcPr>
          <w:p>
            <w:pPr>
              <w:spacing w:after="0"/>
              <w:rPr>
                <w:sz w:val="17"/>
                <w:szCs w:val="17"/>
                <w:color w:val="auto"/>
              </w:rPr>
            </w:pPr>
          </w:p>
        </w:tc>
        <w:tc>
          <w:tcPr>
            <w:tcW w:w="1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21,825</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Other intangible assets are comprised of:</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900" w:type="dxa"/>
            <w:vAlign w:val="bottom"/>
          </w:tcPr>
          <w:p>
            <w:pPr>
              <w:spacing w:after="0"/>
              <w:rPr>
                <w:sz w:val="17"/>
                <w:szCs w:val="17"/>
                <w:color w:val="auto"/>
              </w:rPr>
            </w:pPr>
          </w:p>
        </w:tc>
        <w:tc>
          <w:tcPr>
            <w:tcW w:w="140" w:type="dxa"/>
            <w:vAlign w:val="bottom"/>
            <w:tcBorders>
              <w:bottom w:val="single" w:sz="8" w:color="D7282F"/>
            </w:tcBorders>
          </w:tcPr>
          <w:p>
            <w:pPr>
              <w:spacing w:after="0"/>
              <w:rPr>
                <w:sz w:val="17"/>
                <w:szCs w:val="17"/>
                <w:color w:val="auto"/>
              </w:rPr>
            </w:pPr>
          </w:p>
        </w:tc>
        <w:tc>
          <w:tcPr>
            <w:tcW w:w="860" w:type="dxa"/>
            <w:vAlign w:val="bottom"/>
            <w:tcBorders>
              <w:bottom w:val="single" w:sz="8" w:color="D7282F"/>
            </w:tcBorders>
          </w:tcPr>
          <w:p>
            <w:pPr>
              <w:spacing w:after="0"/>
              <w:rPr>
                <w:sz w:val="17"/>
                <w:szCs w:val="17"/>
                <w:color w:val="auto"/>
              </w:rPr>
            </w:pPr>
          </w:p>
        </w:tc>
        <w:tc>
          <w:tcPr>
            <w:tcW w:w="1560" w:type="dxa"/>
            <w:vAlign w:val="bottom"/>
            <w:tcBorders>
              <w:bottom w:val="single" w:sz="8" w:color="D7282F"/>
            </w:tcBorders>
            <w:gridSpan w:val="2"/>
          </w:tcPr>
          <w:p>
            <w:pPr>
              <w:jc w:val="center"/>
              <w:spacing w:after="0"/>
              <w:rPr>
                <w:sz w:val="20"/>
                <w:szCs w:val="20"/>
                <w:color w:val="auto"/>
              </w:rPr>
            </w:pPr>
            <w:r>
              <w:rPr>
                <w:rFonts w:ascii="Arial" w:cs="Arial" w:eastAsia="Arial" w:hAnsi="Arial"/>
                <w:sz w:val="14"/>
                <w:szCs w:val="14"/>
                <w:b w:val="1"/>
                <w:bCs w:val="1"/>
                <w:color w:val="auto"/>
              </w:rPr>
              <w:t>December 31, 2024</w:t>
            </w:r>
          </w:p>
        </w:tc>
        <w:tc>
          <w:tcPr>
            <w:tcW w:w="22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bottom w:val="single" w:sz="8" w:color="D7282F"/>
            </w:tcBorders>
          </w:tcPr>
          <w:p>
            <w:pPr>
              <w:spacing w:after="0"/>
              <w:rPr>
                <w:sz w:val="17"/>
                <w:szCs w:val="17"/>
                <w:color w:val="auto"/>
              </w:rPr>
            </w:pPr>
          </w:p>
        </w:tc>
        <w:tc>
          <w:tcPr>
            <w:tcW w:w="860" w:type="dxa"/>
            <w:vAlign w:val="bottom"/>
            <w:tcBorders>
              <w:bottom w:val="single" w:sz="8" w:color="D7282F"/>
            </w:tcBorders>
          </w:tcPr>
          <w:p>
            <w:pPr>
              <w:spacing w:after="0"/>
              <w:rPr>
                <w:sz w:val="17"/>
                <w:szCs w:val="17"/>
                <w:color w:val="auto"/>
              </w:rPr>
            </w:pPr>
          </w:p>
        </w:tc>
        <w:tc>
          <w:tcPr>
            <w:tcW w:w="1560" w:type="dxa"/>
            <w:vAlign w:val="bottom"/>
            <w:tcBorders>
              <w:bottom w:val="single" w:sz="8" w:color="D7282F"/>
            </w:tcBorders>
            <w:gridSpan w:val="2"/>
          </w:tcPr>
          <w:p>
            <w:pPr>
              <w:jc w:val="right"/>
              <w:ind w:right="48"/>
              <w:spacing w:after="0"/>
              <w:rPr>
                <w:sz w:val="20"/>
                <w:szCs w:val="20"/>
                <w:color w:val="auto"/>
              </w:rPr>
            </w:pPr>
            <w:r>
              <w:rPr>
                <w:rFonts w:ascii="Arial" w:cs="Arial" w:eastAsia="Arial" w:hAnsi="Arial"/>
                <w:sz w:val="14"/>
                <w:szCs w:val="14"/>
                <w:b w:val="1"/>
                <w:bCs w:val="1"/>
                <w:color w:val="auto"/>
              </w:rPr>
              <w:t>December 31, 2023</w:t>
            </w:r>
          </w:p>
        </w:tc>
        <w:tc>
          <w:tcPr>
            <w:tcW w:w="22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spacing w:after="0"/>
              <w:rPr>
                <w:sz w:val="17"/>
                <w:szCs w:val="17"/>
                <w:color w:val="auto"/>
              </w:rPr>
            </w:pPr>
          </w:p>
        </w:tc>
        <w:tc>
          <w:tcPr>
            <w:tcW w:w="0" w:type="dxa"/>
            <w:vAlign w:val="bottom"/>
          </w:tcPr>
          <w:p>
            <w:pPr>
              <w:spacing w:after="0"/>
              <w:rPr>
                <w:sz w:val="1"/>
                <w:szCs w:val="1"/>
                <w:color w:val="auto"/>
              </w:rPr>
            </w:pPr>
          </w:p>
        </w:tc>
      </w:tr>
      <w:tr>
        <w:trPr>
          <w:trHeight w:val="278"/>
        </w:trPr>
        <w:tc>
          <w:tcPr>
            <w:tcW w:w="3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center"/>
              <w:ind w:right="148"/>
              <w:spacing w:after="0"/>
              <w:rPr>
                <w:sz w:val="20"/>
                <w:szCs w:val="20"/>
                <w:color w:val="auto"/>
              </w:rPr>
            </w:pPr>
            <w:r>
              <w:rPr>
                <w:rFonts w:ascii="Arial" w:cs="Arial" w:eastAsia="Arial" w:hAnsi="Arial"/>
                <w:sz w:val="14"/>
                <w:szCs w:val="14"/>
                <w:b w:val="1"/>
                <w:bCs w:val="1"/>
                <w:color w:val="auto"/>
                <w:w w:val="98"/>
              </w:rPr>
              <w:t>Gross</w:t>
            </w:r>
          </w:p>
        </w:tc>
        <w:tc>
          <w:tcPr>
            <w:tcW w:w="280" w:type="dxa"/>
            <w:vAlign w:val="bottom"/>
          </w:tcPr>
          <w:p>
            <w:pPr>
              <w:spacing w:after="0"/>
              <w:rPr>
                <w:sz w:val="24"/>
                <w:szCs w:val="24"/>
                <w:color w:val="auto"/>
              </w:rPr>
            </w:pPr>
          </w:p>
        </w:tc>
        <w:tc>
          <w:tcPr>
            <w:tcW w:w="1280" w:type="dxa"/>
            <w:vAlign w:val="bottom"/>
            <w:vMerge w:val="restart"/>
          </w:tcPr>
          <w:p>
            <w:pPr>
              <w:jc w:val="center"/>
              <w:ind w:right="188"/>
              <w:spacing w:after="0"/>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24"/>
                <w:szCs w:val="24"/>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7"/>
              </w:rPr>
              <w:t>Net</w:t>
            </w:r>
          </w:p>
        </w:tc>
        <w:tc>
          <w:tcPr>
            <w:tcW w:w="140" w:type="dxa"/>
            <w:vAlign w:val="bottom"/>
          </w:tcPr>
          <w:p>
            <w:pPr>
              <w:spacing w:after="0"/>
              <w:rPr>
                <w:sz w:val="24"/>
                <w:szCs w:val="24"/>
                <w:color w:val="auto"/>
              </w:rPr>
            </w:pPr>
          </w:p>
        </w:tc>
        <w:tc>
          <w:tcPr>
            <w:tcW w:w="860" w:type="dxa"/>
            <w:vAlign w:val="bottom"/>
          </w:tcPr>
          <w:p>
            <w:pPr>
              <w:jc w:val="center"/>
              <w:ind w:right="148"/>
              <w:spacing w:after="0"/>
              <w:rPr>
                <w:sz w:val="20"/>
                <w:szCs w:val="20"/>
                <w:color w:val="auto"/>
              </w:rPr>
            </w:pPr>
            <w:r>
              <w:rPr>
                <w:rFonts w:ascii="Arial" w:cs="Arial" w:eastAsia="Arial" w:hAnsi="Arial"/>
                <w:sz w:val="14"/>
                <w:szCs w:val="14"/>
                <w:b w:val="1"/>
                <w:bCs w:val="1"/>
                <w:color w:val="auto"/>
                <w:w w:val="98"/>
              </w:rPr>
              <w:t>Gross</w:t>
            </w:r>
          </w:p>
        </w:tc>
        <w:tc>
          <w:tcPr>
            <w:tcW w:w="380" w:type="dxa"/>
            <w:vAlign w:val="bottom"/>
          </w:tcPr>
          <w:p>
            <w:pPr>
              <w:spacing w:after="0"/>
              <w:rPr>
                <w:sz w:val="24"/>
                <w:szCs w:val="24"/>
                <w:color w:val="auto"/>
              </w:rPr>
            </w:pPr>
          </w:p>
        </w:tc>
        <w:tc>
          <w:tcPr>
            <w:tcW w:w="118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24"/>
                <w:szCs w:val="24"/>
                <w:color w:val="auto"/>
              </w:rPr>
            </w:pPr>
          </w:p>
        </w:tc>
        <w:tc>
          <w:tcPr>
            <w:tcW w:w="780" w:type="dxa"/>
            <w:vAlign w:val="bottom"/>
          </w:tcPr>
          <w:p>
            <w:pPr>
              <w:jc w:val="center"/>
              <w:ind w:right="48"/>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48"/>
        </w:trPr>
        <w:tc>
          <w:tcPr>
            <w:tcW w:w="3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148"/>
              <w:spacing w:after="0" w:line="149" w:lineRule="exact"/>
              <w:rPr>
                <w:sz w:val="20"/>
                <w:szCs w:val="20"/>
                <w:color w:val="auto"/>
              </w:rPr>
            </w:pPr>
            <w:r>
              <w:rPr>
                <w:rFonts w:ascii="Arial" w:cs="Arial" w:eastAsia="Arial" w:hAnsi="Arial"/>
                <w:sz w:val="14"/>
                <w:szCs w:val="14"/>
                <w:b w:val="1"/>
                <w:bCs w:val="1"/>
                <w:color w:val="auto"/>
              </w:rPr>
              <w:t>Carrying</w:t>
            </w:r>
          </w:p>
        </w:tc>
        <w:tc>
          <w:tcPr>
            <w:tcW w:w="28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rPr>
              <w:t>Carrying</w:t>
            </w:r>
          </w:p>
        </w:tc>
        <w:tc>
          <w:tcPr>
            <w:tcW w:w="140" w:type="dxa"/>
            <w:vAlign w:val="bottom"/>
          </w:tcPr>
          <w:p>
            <w:pPr>
              <w:spacing w:after="0"/>
              <w:rPr>
                <w:sz w:val="12"/>
                <w:szCs w:val="12"/>
                <w:color w:val="auto"/>
              </w:rPr>
            </w:pPr>
          </w:p>
        </w:tc>
        <w:tc>
          <w:tcPr>
            <w:tcW w:w="860" w:type="dxa"/>
            <w:vAlign w:val="bottom"/>
          </w:tcPr>
          <w:p>
            <w:pPr>
              <w:jc w:val="center"/>
              <w:ind w:right="148"/>
              <w:spacing w:after="0" w:line="149" w:lineRule="exact"/>
              <w:rPr>
                <w:sz w:val="20"/>
                <w:szCs w:val="20"/>
                <w:color w:val="auto"/>
              </w:rPr>
            </w:pPr>
            <w:r>
              <w:rPr>
                <w:rFonts w:ascii="Arial" w:cs="Arial" w:eastAsia="Arial" w:hAnsi="Arial"/>
                <w:sz w:val="14"/>
                <w:szCs w:val="14"/>
                <w:b w:val="1"/>
                <w:bCs w:val="1"/>
                <w:color w:val="auto"/>
              </w:rPr>
              <w:t>Carrying</w:t>
            </w:r>
          </w:p>
        </w:tc>
        <w:tc>
          <w:tcPr>
            <w:tcW w:w="38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89"/>
        </w:trPr>
        <w:tc>
          <w:tcPr>
            <w:tcW w:w="3900" w:type="dxa"/>
            <w:vAlign w:val="bottom"/>
            <w:tcBorders>
              <w:bottom w:val="single" w:sz="8" w:color="D7282F"/>
            </w:tcBorders>
          </w:tcPr>
          <w:p>
            <w:pPr>
              <w:spacing w:after="0"/>
              <w:rPr>
                <w:sz w:val="16"/>
                <w:szCs w:val="16"/>
                <w:color w:val="auto"/>
              </w:rPr>
            </w:pPr>
          </w:p>
        </w:tc>
        <w:tc>
          <w:tcPr>
            <w:tcW w:w="140" w:type="dxa"/>
            <w:vAlign w:val="bottom"/>
            <w:tcBorders>
              <w:bottom w:val="single" w:sz="8" w:color="D7282F"/>
            </w:tcBorders>
          </w:tcPr>
          <w:p>
            <w:pPr>
              <w:spacing w:after="0"/>
              <w:rPr>
                <w:sz w:val="16"/>
                <w:szCs w:val="16"/>
                <w:color w:val="auto"/>
              </w:rPr>
            </w:pPr>
          </w:p>
        </w:tc>
        <w:tc>
          <w:tcPr>
            <w:tcW w:w="860" w:type="dxa"/>
            <w:vAlign w:val="bottom"/>
            <w:tcBorders>
              <w:bottom w:val="single" w:sz="8" w:color="D7282F"/>
            </w:tcBorders>
          </w:tcPr>
          <w:p>
            <w:pPr>
              <w:jc w:val="center"/>
              <w:ind w:right="128"/>
              <w:spacing w:after="0"/>
              <w:rPr>
                <w:sz w:val="20"/>
                <w:szCs w:val="20"/>
                <w:color w:val="auto"/>
              </w:rPr>
            </w:pPr>
            <w:r>
              <w:rPr>
                <w:rFonts w:ascii="Arial" w:cs="Arial" w:eastAsia="Arial" w:hAnsi="Arial"/>
                <w:sz w:val="14"/>
                <w:szCs w:val="14"/>
                <w:b w:val="1"/>
                <w:bCs w:val="1"/>
                <w:color w:val="auto"/>
              </w:rPr>
              <w:t>Amount</w:t>
            </w:r>
          </w:p>
        </w:tc>
        <w:tc>
          <w:tcPr>
            <w:tcW w:w="280" w:type="dxa"/>
            <w:vAlign w:val="bottom"/>
            <w:tcBorders>
              <w:bottom w:val="single" w:sz="8" w:color="D7282F"/>
            </w:tcBorders>
          </w:tcPr>
          <w:p>
            <w:pPr>
              <w:spacing w:after="0"/>
              <w:rPr>
                <w:sz w:val="16"/>
                <w:szCs w:val="16"/>
                <w:color w:val="auto"/>
              </w:rPr>
            </w:pPr>
          </w:p>
        </w:tc>
        <w:tc>
          <w:tcPr>
            <w:tcW w:w="1280" w:type="dxa"/>
            <w:vAlign w:val="bottom"/>
            <w:tcBorders>
              <w:bottom w:val="single" w:sz="8" w:color="D7282F"/>
            </w:tcBorders>
          </w:tcPr>
          <w:p>
            <w:pPr>
              <w:jc w:val="center"/>
              <w:ind w:right="208"/>
              <w:spacing w:after="0"/>
              <w:rPr>
                <w:sz w:val="20"/>
                <w:szCs w:val="20"/>
                <w:color w:val="auto"/>
              </w:rPr>
            </w:pPr>
            <w:r>
              <w:rPr>
                <w:rFonts w:ascii="Arial" w:cs="Arial" w:eastAsia="Arial" w:hAnsi="Arial"/>
                <w:sz w:val="14"/>
                <w:szCs w:val="14"/>
                <w:b w:val="1"/>
                <w:bCs w:val="1"/>
                <w:color w:val="auto"/>
              </w:rPr>
              <w:t>Amortization</w:t>
            </w:r>
          </w:p>
        </w:tc>
        <w:tc>
          <w:tcPr>
            <w:tcW w:w="220" w:type="dxa"/>
            <w:vAlign w:val="bottom"/>
            <w:tcBorders>
              <w:bottom w:val="single" w:sz="8" w:color="D7282F"/>
            </w:tcBorders>
          </w:tcPr>
          <w:p>
            <w:pPr>
              <w:spacing w:after="0"/>
              <w:rPr>
                <w:sz w:val="16"/>
                <w:szCs w:val="16"/>
                <w:color w:val="auto"/>
              </w:rPr>
            </w:pPr>
          </w:p>
        </w:tc>
        <w:tc>
          <w:tcPr>
            <w:tcW w:w="1000" w:type="dxa"/>
            <w:vAlign w:val="bottom"/>
            <w:tcBorders>
              <w:bottom w:val="single" w:sz="8" w:color="D7282F"/>
            </w:tcBorders>
            <w:gridSpan w:val="2"/>
          </w:tcPr>
          <w:p>
            <w:pPr>
              <w:jc w:val="center"/>
              <w:ind w:right="340"/>
              <w:spacing w:after="0"/>
              <w:rPr>
                <w:sz w:val="20"/>
                <w:szCs w:val="20"/>
                <w:color w:val="auto"/>
              </w:rPr>
            </w:pPr>
            <w:r>
              <w:rPr>
                <w:rFonts w:ascii="Arial" w:cs="Arial" w:eastAsia="Arial" w:hAnsi="Arial"/>
                <w:sz w:val="14"/>
                <w:szCs w:val="14"/>
                <w:b w:val="1"/>
                <w:bCs w:val="1"/>
                <w:color w:val="auto"/>
              </w:rPr>
              <w:t>Amount</w:t>
            </w:r>
          </w:p>
        </w:tc>
        <w:tc>
          <w:tcPr>
            <w:tcW w:w="140" w:type="dxa"/>
            <w:vAlign w:val="bottom"/>
            <w:tcBorders>
              <w:bottom w:val="single" w:sz="8" w:color="D7282F"/>
            </w:tcBorders>
          </w:tcPr>
          <w:p>
            <w:pPr>
              <w:spacing w:after="0"/>
              <w:rPr>
                <w:sz w:val="16"/>
                <w:szCs w:val="16"/>
                <w:color w:val="auto"/>
              </w:rPr>
            </w:pPr>
          </w:p>
        </w:tc>
        <w:tc>
          <w:tcPr>
            <w:tcW w:w="860" w:type="dxa"/>
            <w:vAlign w:val="bottom"/>
            <w:tcBorders>
              <w:bottom w:val="single" w:sz="8" w:color="D7282F"/>
            </w:tcBorders>
          </w:tcPr>
          <w:p>
            <w:pPr>
              <w:jc w:val="center"/>
              <w:ind w:right="128"/>
              <w:spacing w:after="0"/>
              <w:rPr>
                <w:sz w:val="20"/>
                <w:szCs w:val="20"/>
                <w:color w:val="auto"/>
              </w:rPr>
            </w:pPr>
            <w:r>
              <w:rPr>
                <w:rFonts w:ascii="Arial" w:cs="Arial" w:eastAsia="Arial" w:hAnsi="Arial"/>
                <w:sz w:val="14"/>
                <w:szCs w:val="14"/>
                <w:b w:val="1"/>
                <w:bCs w:val="1"/>
                <w:color w:val="auto"/>
              </w:rPr>
              <w:t>Amount</w:t>
            </w:r>
          </w:p>
        </w:tc>
        <w:tc>
          <w:tcPr>
            <w:tcW w:w="380" w:type="dxa"/>
            <w:vAlign w:val="bottom"/>
            <w:tcBorders>
              <w:bottom w:val="single" w:sz="8" w:color="D7282F"/>
            </w:tcBorders>
          </w:tcPr>
          <w:p>
            <w:pPr>
              <w:spacing w:after="0"/>
              <w:rPr>
                <w:sz w:val="16"/>
                <w:szCs w:val="16"/>
                <w:color w:val="auto"/>
              </w:rPr>
            </w:pPr>
          </w:p>
        </w:tc>
        <w:tc>
          <w:tcPr>
            <w:tcW w:w="11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Amortization</w:t>
            </w:r>
          </w:p>
        </w:tc>
        <w:tc>
          <w:tcPr>
            <w:tcW w:w="220" w:type="dxa"/>
            <w:vAlign w:val="bottom"/>
            <w:tcBorders>
              <w:bottom w:val="single" w:sz="8" w:color="D7282F"/>
            </w:tcBorders>
          </w:tcPr>
          <w:p>
            <w:pPr>
              <w:spacing w:after="0"/>
              <w:rPr>
                <w:sz w:val="16"/>
                <w:szCs w:val="16"/>
                <w:color w:val="auto"/>
              </w:rPr>
            </w:pPr>
          </w:p>
        </w:tc>
        <w:tc>
          <w:tcPr>
            <w:tcW w:w="780" w:type="dxa"/>
            <w:vAlign w:val="bottom"/>
            <w:tcBorders>
              <w:bottom w:val="single" w:sz="8" w:color="D7282F"/>
            </w:tcBorders>
          </w:tcPr>
          <w:p>
            <w:pPr>
              <w:jc w:val="center"/>
              <w:ind w:right="48"/>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95"/>
        </w:trPr>
        <w:tc>
          <w:tcPr>
            <w:tcW w:w="390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Definite-life intangibles</w:t>
            </w:r>
          </w:p>
        </w:tc>
        <w:tc>
          <w:tcPr>
            <w:tcW w:w="140" w:type="dxa"/>
            <w:vAlign w:val="bottom"/>
            <w:tcBorders>
              <w:bottom w:val="single" w:sz="8" w:color="61656A"/>
            </w:tcBorders>
          </w:tcPr>
          <w:p>
            <w:pPr>
              <w:spacing w:after="0"/>
              <w:rPr>
                <w:sz w:val="16"/>
                <w:szCs w:val="16"/>
                <w:color w:val="auto"/>
              </w:rPr>
            </w:pPr>
          </w:p>
        </w:tc>
        <w:tc>
          <w:tcPr>
            <w:tcW w:w="860" w:type="dxa"/>
            <w:vAlign w:val="bottom"/>
            <w:tcBorders>
              <w:bottom w:val="single" w:sz="8" w:color="61656A"/>
            </w:tcBorders>
          </w:tcPr>
          <w:p>
            <w:pPr>
              <w:spacing w:after="0"/>
              <w:rPr>
                <w:sz w:val="16"/>
                <w:szCs w:val="16"/>
                <w:color w:val="auto"/>
              </w:rPr>
            </w:pPr>
          </w:p>
        </w:tc>
        <w:tc>
          <w:tcPr>
            <w:tcW w:w="280" w:type="dxa"/>
            <w:vAlign w:val="bottom"/>
            <w:tcBorders>
              <w:bottom w:val="single" w:sz="8" w:color="61656A"/>
            </w:tcBorders>
          </w:tcPr>
          <w:p>
            <w:pPr>
              <w:spacing w:after="0"/>
              <w:rPr>
                <w:sz w:val="16"/>
                <w:szCs w:val="16"/>
                <w:color w:val="auto"/>
              </w:rPr>
            </w:pPr>
          </w:p>
        </w:tc>
        <w:tc>
          <w:tcPr>
            <w:tcW w:w="128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78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140" w:type="dxa"/>
            <w:vAlign w:val="bottom"/>
            <w:tcBorders>
              <w:bottom w:val="single" w:sz="8" w:color="61656A"/>
            </w:tcBorders>
          </w:tcPr>
          <w:p>
            <w:pPr>
              <w:spacing w:after="0"/>
              <w:rPr>
                <w:sz w:val="16"/>
                <w:szCs w:val="16"/>
                <w:color w:val="auto"/>
              </w:rPr>
            </w:pPr>
          </w:p>
        </w:tc>
        <w:tc>
          <w:tcPr>
            <w:tcW w:w="860" w:type="dxa"/>
            <w:vAlign w:val="bottom"/>
            <w:tcBorders>
              <w:bottom w:val="single" w:sz="8" w:color="61656A"/>
            </w:tcBorders>
          </w:tcPr>
          <w:p>
            <w:pPr>
              <w:spacing w:after="0"/>
              <w:rPr>
                <w:sz w:val="16"/>
                <w:szCs w:val="16"/>
                <w:color w:val="auto"/>
              </w:rPr>
            </w:pPr>
          </w:p>
        </w:tc>
        <w:tc>
          <w:tcPr>
            <w:tcW w:w="380" w:type="dxa"/>
            <w:vAlign w:val="bottom"/>
            <w:tcBorders>
              <w:bottom w:val="single" w:sz="8" w:color="61656A"/>
            </w:tcBorders>
          </w:tcPr>
          <w:p>
            <w:pPr>
              <w:spacing w:after="0"/>
              <w:rPr>
                <w:sz w:val="16"/>
                <w:szCs w:val="16"/>
                <w:color w:val="auto"/>
              </w:rPr>
            </w:pPr>
          </w:p>
        </w:tc>
        <w:tc>
          <w:tcPr>
            <w:tcW w:w="118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780" w:type="dxa"/>
            <w:vAlign w:val="bottom"/>
            <w:tcBorders>
              <w:bottom w:val="single" w:sz="8" w:color="61656A"/>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9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Patents and technology</w:t>
            </w:r>
          </w:p>
        </w:tc>
        <w:tc>
          <w:tcPr>
            <w:tcW w:w="1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3,513</w:t>
            </w:r>
          </w:p>
        </w:tc>
        <w:tc>
          <w:tcPr>
            <w:tcW w:w="2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(1,849)</w:t>
            </w:r>
          </w:p>
        </w:tc>
        <w:tc>
          <w:tcPr>
            <w:tcW w:w="2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1,664</w:t>
            </w:r>
          </w:p>
        </w:tc>
        <w:tc>
          <w:tcPr>
            <w:tcW w:w="220" w:type="dxa"/>
            <w:vAlign w:val="bottom"/>
            <w:tcBorders>
              <w:bottom w:val="single" w:sz="8" w:color="61656A"/>
            </w:tcBorders>
          </w:tcPr>
          <w:p>
            <w:pPr>
              <w:spacing w:after="0"/>
              <w:rPr>
                <w:sz w:val="16"/>
                <w:szCs w:val="16"/>
                <w:color w:val="auto"/>
              </w:rPr>
            </w:pPr>
          </w:p>
        </w:tc>
        <w:tc>
          <w:tcPr>
            <w:tcW w:w="1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2,399</w:t>
            </w:r>
          </w:p>
        </w:tc>
        <w:tc>
          <w:tcPr>
            <w:tcW w:w="38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(1,837)</w:t>
            </w:r>
          </w:p>
        </w:tc>
        <w:tc>
          <w:tcPr>
            <w:tcW w:w="2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562</w:t>
            </w:r>
          </w:p>
        </w:tc>
        <w:tc>
          <w:tcPr>
            <w:tcW w:w="0" w:type="dxa"/>
            <w:vAlign w:val="bottom"/>
          </w:tcPr>
          <w:p>
            <w:pPr>
              <w:spacing w:after="0"/>
              <w:rPr>
                <w:sz w:val="1"/>
                <w:szCs w:val="1"/>
                <w:color w:val="auto"/>
              </w:rPr>
            </w:pPr>
          </w:p>
        </w:tc>
      </w:tr>
      <w:tr>
        <w:trPr>
          <w:trHeight w:val="196"/>
        </w:trPr>
        <w:tc>
          <w:tcPr>
            <w:tcW w:w="39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Customer relationships</w:t>
            </w:r>
          </w:p>
        </w:tc>
        <w:tc>
          <w:tcPr>
            <w:tcW w:w="140" w:type="dxa"/>
            <w:vAlign w:val="bottom"/>
            <w:tcBorders>
              <w:bottom w:val="single" w:sz="8" w:color="61656A"/>
            </w:tcBorders>
          </w:tcPr>
          <w:p>
            <w:pPr>
              <w:spacing w:after="0"/>
              <w:rPr>
                <w:sz w:val="17"/>
                <w:szCs w:val="17"/>
                <w:color w:val="auto"/>
              </w:rPr>
            </w:pPr>
          </w:p>
        </w:tc>
        <w:tc>
          <w:tcPr>
            <w:tcW w:w="86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6,411</w:t>
            </w:r>
          </w:p>
        </w:tc>
        <w:tc>
          <w:tcPr>
            <w:tcW w:w="280" w:type="dxa"/>
            <w:vAlign w:val="bottom"/>
            <w:tcBorders>
              <w:bottom w:val="single" w:sz="8" w:color="61656A"/>
            </w:tcBorders>
          </w:tcPr>
          <w:p>
            <w:pPr>
              <w:spacing w:after="0"/>
              <w:rPr>
                <w:sz w:val="17"/>
                <w:szCs w:val="17"/>
                <w:color w:val="auto"/>
              </w:rPr>
            </w:pPr>
          </w:p>
        </w:tc>
        <w:tc>
          <w:tcPr>
            <w:tcW w:w="12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(2,251)</w:t>
            </w:r>
          </w:p>
        </w:tc>
        <w:tc>
          <w:tcPr>
            <w:tcW w:w="22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4,160</w:t>
            </w:r>
          </w:p>
        </w:tc>
        <w:tc>
          <w:tcPr>
            <w:tcW w:w="220" w:type="dxa"/>
            <w:vAlign w:val="bottom"/>
            <w:tcBorders>
              <w:bottom w:val="single" w:sz="8" w:color="61656A"/>
            </w:tcBorders>
          </w:tcPr>
          <w:p>
            <w:pPr>
              <w:spacing w:after="0"/>
              <w:rPr>
                <w:sz w:val="17"/>
                <w:szCs w:val="17"/>
                <w:color w:val="auto"/>
              </w:rPr>
            </w:pPr>
          </w:p>
        </w:tc>
        <w:tc>
          <w:tcPr>
            <w:tcW w:w="140" w:type="dxa"/>
            <w:vAlign w:val="bottom"/>
            <w:tcBorders>
              <w:bottom w:val="single" w:sz="8" w:color="61656A"/>
            </w:tcBorders>
          </w:tcPr>
          <w:p>
            <w:pPr>
              <w:spacing w:after="0"/>
              <w:rPr>
                <w:sz w:val="17"/>
                <w:szCs w:val="17"/>
                <w:color w:val="auto"/>
              </w:rPr>
            </w:pPr>
          </w:p>
        </w:tc>
        <w:tc>
          <w:tcPr>
            <w:tcW w:w="86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4,199</w:t>
            </w:r>
          </w:p>
        </w:tc>
        <w:tc>
          <w:tcPr>
            <w:tcW w:w="380" w:type="dxa"/>
            <w:vAlign w:val="bottom"/>
            <w:tcBorders>
              <w:bottom w:val="single" w:sz="8" w:color="61656A"/>
            </w:tcBorders>
          </w:tcPr>
          <w:p>
            <w:pPr>
              <w:spacing w:after="0"/>
              <w:rPr>
                <w:sz w:val="17"/>
                <w:szCs w:val="17"/>
                <w:color w:val="auto"/>
              </w:rPr>
            </w:pPr>
          </w:p>
        </w:tc>
        <w:tc>
          <w:tcPr>
            <w:tcW w:w="11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(2,601)</w:t>
            </w:r>
          </w:p>
        </w:tc>
        <w:tc>
          <w:tcPr>
            <w:tcW w:w="22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1,598</w:t>
            </w:r>
          </w:p>
        </w:tc>
        <w:tc>
          <w:tcPr>
            <w:tcW w:w="0" w:type="dxa"/>
            <w:vAlign w:val="bottom"/>
          </w:tcPr>
          <w:p>
            <w:pPr>
              <w:spacing w:after="0"/>
              <w:rPr>
                <w:sz w:val="1"/>
                <w:szCs w:val="1"/>
                <w:color w:val="auto"/>
              </w:rPr>
            </w:pPr>
          </w:p>
        </w:tc>
      </w:tr>
      <w:tr>
        <w:trPr>
          <w:trHeight w:val="196"/>
        </w:trPr>
        <w:tc>
          <w:tcPr>
            <w:tcW w:w="39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Trademarks</w:t>
            </w:r>
          </w:p>
        </w:tc>
        <w:tc>
          <w:tcPr>
            <w:tcW w:w="140" w:type="dxa"/>
            <w:vAlign w:val="bottom"/>
            <w:tcBorders>
              <w:bottom w:val="single" w:sz="8" w:color="61656A"/>
            </w:tcBorders>
          </w:tcPr>
          <w:p>
            <w:pPr>
              <w:spacing w:after="0"/>
              <w:rPr>
                <w:sz w:val="17"/>
                <w:szCs w:val="17"/>
                <w:color w:val="auto"/>
              </w:rPr>
            </w:pPr>
          </w:p>
        </w:tc>
        <w:tc>
          <w:tcPr>
            <w:tcW w:w="86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398</w:t>
            </w:r>
          </w:p>
        </w:tc>
        <w:tc>
          <w:tcPr>
            <w:tcW w:w="280" w:type="dxa"/>
            <w:vAlign w:val="bottom"/>
            <w:tcBorders>
              <w:bottom w:val="single" w:sz="8" w:color="61656A"/>
            </w:tcBorders>
          </w:tcPr>
          <w:p>
            <w:pPr>
              <w:spacing w:after="0"/>
              <w:rPr>
                <w:sz w:val="17"/>
                <w:szCs w:val="17"/>
                <w:color w:val="auto"/>
              </w:rPr>
            </w:pPr>
          </w:p>
        </w:tc>
        <w:tc>
          <w:tcPr>
            <w:tcW w:w="12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(296)</w:t>
            </w:r>
          </w:p>
        </w:tc>
        <w:tc>
          <w:tcPr>
            <w:tcW w:w="22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102</w:t>
            </w:r>
          </w:p>
        </w:tc>
        <w:tc>
          <w:tcPr>
            <w:tcW w:w="220" w:type="dxa"/>
            <w:vAlign w:val="bottom"/>
            <w:tcBorders>
              <w:bottom w:val="single" w:sz="8" w:color="61656A"/>
            </w:tcBorders>
          </w:tcPr>
          <w:p>
            <w:pPr>
              <w:spacing w:after="0"/>
              <w:rPr>
                <w:sz w:val="17"/>
                <w:szCs w:val="17"/>
                <w:color w:val="auto"/>
              </w:rPr>
            </w:pPr>
          </w:p>
        </w:tc>
        <w:tc>
          <w:tcPr>
            <w:tcW w:w="140" w:type="dxa"/>
            <w:vAlign w:val="bottom"/>
            <w:tcBorders>
              <w:bottom w:val="single" w:sz="8" w:color="61656A"/>
            </w:tcBorders>
          </w:tcPr>
          <w:p>
            <w:pPr>
              <w:spacing w:after="0"/>
              <w:rPr>
                <w:sz w:val="17"/>
                <w:szCs w:val="17"/>
                <w:color w:val="auto"/>
              </w:rPr>
            </w:pPr>
          </w:p>
        </w:tc>
        <w:tc>
          <w:tcPr>
            <w:tcW w:w="86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362</w:t>
            </w:r>
          </w:p>
        </w:tc>
        <w:tc>
          <w:tcPr>
            <w:tcW w:w="380" w:type="dxa"/>
            <w:vAlign w:val="bottom"/>
            <w:tcBorders>
              <w:bottom w:val="single" w:sz="8" w:color="61656A"/>
            </w:tcBorders>
          </w:tcPr>
          <w:p>
            <w:pPr>
              <w:spacing w:after="0"/>
              <w:rPr>
                <w:sz w:val="17"/>
                <w:szCs w:val="17"/>
                <w:color w:val="auto"/>
              </w:rPr>
            </w:pPr>
          </w:p>
        </w:tc>
        <w:tc>
          <w:tcPr>
            <w:tcW w:w="11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(284)</w:t>
            </w:r>
          </w:p>
        </w:tc>
        <w:tc>
          <w:tcPr>
            <w:tcW w:w="22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196"/>
        </w:trPr>
        <w:tc>
          <w:tcPr>
            <w:tcW w:w="390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Other</w:t>
            </w:r>
          </w:p>
        </w:tc>
        <w:tc>
          <w:tcPr>
            <w:tcW w:w="140" w:type="dxa"/>
            <w:vAlign w:val="bottom"/>
            <w:tcBorders>
              <w:bottom w:val="single" w:sz="8" w:color="D7282F"/>
            </w:tcBorders>
          </w:tcPr>
          <w:p>
            <w:pPr>
              <w:spacing w:after="0"/>
              <w:rPr>
                <w:sz w:val="17"/>
                <w:szCs w:val="17"/>
                <w:color w:val="auto"/>
              </w:rPr>
            </w:pPr>
          </w:p>
        </w:tc>
        <w:tc>
          <w:tcPr>
            <w:tcW w:w="8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561</w:t>
            </w:r>
          </w:p>
        </w:tc>
        <w:tc>
          <w:tcPr>
            <w:tcW w:w="280" w:type="dxa"/>
            <w:vAlign w:val="bottom"/>
            <w:tcBorders>
              <w:bottom w:val="single" w:sz="8" w:color="D7282F"/>
            </w:tcBorders>
          </w:tcPr>
          <w:p>
            <w:pPr>
              <w:spacing w:after="0"/>
              <w:rPr>
                <w:sz w:val="17"/>
                <w:szCs w:val="17"/>
                <w:color w:val="auto"/>
              </w:rPr>
            </w:pPr>
          </w:p>
        </w:tc>
        <w:tc>
          <w:tcPr>
            <w:tcW w:w="12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(270)</w:t>
            </w:r>
          </w:p>
        </w:tc>
        <w:tc>
          <w:tcPr>
            <w:tcW w:w="22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291</w:t>
            </w:r>
          </w:p>
        </w:tc>
        <w:tc>
          <w:tcPr>
            <w:tcW w:w="220" w:type="dxa"/>
            <w:vAlign w:val="bottom"/>
            <w:tcBorders>
              <w:bottom w:val="single" w:sz="8" w:color="D7282F"/>
            </w:tcBorders>
          </w:tcPr>
          <w:p>
            <w:pPr>
              <w:spacing w:after="0"/>
              <w:rPr>
                <w:sz w:val="17"/>
                <w:szCs w:val="17"/>
                <w:color w:val="auto"/>
              </w:rPr>
            </w:pPr>
          </w:p>
        </w:tc>
        <w:tc>
          <w:tcPr>
            <w:tcW w:w="140" w:type="dxa"/>
            <w:vAlign w:val="bottom"/>
            <w:tcBorders>
              <w:bottom w:val="single" w:sz="8" w:color="D7282F"/>
            </w:tcBorders>
          </w:tcPr>
          <w:p>
            <w:pPr>
              <w:spacing w:after="0"/>
              <w:rPr>
                <w:sz w:val="17"/>
                <w:szCs w:val="17"/>
                <w:color w:val="auto"/>
              </w:rPr>
            </w:pPr>
          </w:p>
        </w:tc>
        <w:tc>
          <w:tcPr>
            <w:tcW w:w="8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299</w:t>
            </w:r>
          </w:p>
        </w:tc>
        <w:tc>
          <w:tcPr>
            <w:tcW w:w="380" w:type="dxa"/>
            <w:vAlign w:val="bottom"/>
            <w:tcBorders>
              <w:bottom w:val="single" w:sz="8" w:color="D7282F"/>
            </w:tcBorders>
          </w:tcPr>
          <w:p>
            <w:pPr>
              <w:spacing w:after="0"/>
              <w:rPr>
                <w:sz w:val="17"/>
                <w:szCs w:val="17"/>
                <w:color w:val="auto"/>
              </w:rPr>
            </w:pPr>
          </w:p>
        </w:tc>
        <w:tc>
          <w:tcPr>
            <w:tcW w:w="11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(277)</w:t>
            </w:r>
          </w:p>
        </w:tc>
        <w:tc>
          <w:tcPr>
            <w:tcW w:w="22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99"/>
        </w:trPr>
        <w:tc>
          <w:tcPr>
            <w:tcW w:w="390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definite-life intangibles—net</w:t>
            </w:r>
          </w:p>
        </w:tc>
        <w:tc>
          <w:tcPr>
            <w:tcW w:w="140" w:type="dxa"/>
            <w:vAlign w:val="bottom"/>
            <w:tcBorders>
              <w:bottom w:val="single" w:sz="8" w:color="D7282F"/>
            </w:tcBorders>
          </w:tcPr>
          <w:p>
            <w:pPr>
              <w:spacing w:after="0"/>
              <w:rPr>
                <w:sz w:val="17"/>
                <w:szCs w:val="17"/>
                <w:color w:val="auto"/>
              </w:rPr>
            </w:pPr>
          </w:p>
        </w:tc>
        <w:tc>
          <w:tcPr>
            <w:tcW w:w="8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10,883</w:t>
            </w:r>
          </w:p>
        </w:tc>
        <w:tc>
          <w:tcPr>
            <w:tcW w:w="280" w:type="dxa"/>
            <w:vAlign w:val="bottom"/>
            <w:tcBorders>
              <w:bottom w:val="single" w:sz="8" w:color="D7282F"/>
            </w:tcBorders>
          </w:tcPr>
          <w:p>
            <w:pPr>
              <w:spacing w:after="0"/>
              <w:rPr>
                <w:sz w:val="17"/>
                <w:szCs w:val="17"/>
                <w:color w:val="auto"/>
              </w:rPr>
            </w:pPr>
          </w:p>
        </w:tc>
        <w:tc>
          <w:tcPr>
            <w:tcW w:w="12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(4,666)</w:t>
            </w:r>
          </w:p>
        </w:tc>
        <w:tc>
          <w:tcPr>
            <w:tcW w:w="22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6,217</w:t>
            </w:r>
          </w:p>
        </w:tc>
        <w:tc>
          <w:tcPr>
            <w:tcW w:w="220" w:type="dxa"/>
            <w:vAlign w:val="bottom"/>
            <w:tcBorders>
              <w:bottom w:val="single" w:sz="8" w:color="D7282F"/>
            </w:tcBorders>
          </w:tcPr>
          <w:p>
            <w:pPr>
              <w:spacing w:after="0"/>
              <w:rPr>
                <w:sz w:val="17"/>
                <w:szCs w:val="17"/>
                <w:color w:val="auto"/>
              </w:rPr>
            </w:pPr>
          </w:p>
        </w:tc>
        <w:tc>
          <w:tcPr>
            <w:tcW w:w="140" w:type="dxa"/>
            <w:vAlign w:val="bottom"/>
            <w:tcBorders>
              <w:bottom w:val="single" w:sz="8" w:color="D7282F"/>
            </w:tcBorders>
          </w:tcPr>
          <w:p>
            <w:pPr>
              <w:spacing w:after="0"/>
              <w:rPr>
                <w:sz w:val="17"/>
                <w:szCs w:val="17"/>
                <w:color w:val="auto"/>
              </w:rPr>
            </w:pPr>
          </w:p>
        </w:tc>
        <w:tc>
          <w:tcPr>
            <w:tcW w:w="8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7,259</w:t>
            </w:r>
          </w:p>
        </w:tc>
        <w:tc>
          <w:tcPr>
            <w:tcW w:w="380" w:type="dxa"/>
            <w:vAlign w:val="bottom"/>
            <w:tcBorders>
              <w:bottom w:val="single" w:sz="8" w:color="D7282F"/>
            </w:tcBorders>
          </w:tcPr>
          <w:p>
            <w:pPr>
              <w:spacing w:after="0"/>
              <w:rPr>
                <w:sz w:val="17"/>
                <w:szCs w:val="17"/>
                <w:color w:val="auto"/>
              </w:rPr>
            </w:pPr>
          </w:p>
        </w:tc>
        <w:tc>
          <w:tcPr>
            <w:tcW w:w="11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(4,999)</w:t>
            </w:r>
          </w:p>
        </w:tc>
        <w:tc>
          <w:tcPr>
            <w:tcW w:w="22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2,260</w:t>
            </w:r>
          </w:p>
        </w:tc>
        <w:tc>
          <w:tcPr>
            <w:tcW w:w="0" w:type="dxa"/>
            <w:vAlign w:val="bottom"/>
          </w:tcPr>
          <w:p>
            <w:pPr>
              <w:spacing w:after="0"/>
              <w:rPr>
                <w:sz w:val="1"/>
                <w:szCs w:val="1"/>
                <w:color w:val="auto"/>
              </w:rPr>
            </w:pPr>
          </w:p>
        </w:tc>
      </w:tr>
      <w:tr>
        <w:trPr>
          <w:trHeight w:val="196"/>
        </w:trPr>
        <w:tc>
          <w:tcPr>
            <w:tcW w:w="390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Indefinite-life intangibles</w:t>
            </w:r>
          </w:p>
        </w:tc>
        <w:tc>
          <w:tcPr>
            <w:tcW w:w="140" w:type="dxa"/>
            <w:vAlign w:val="bottom"/>
            <w:tcBorders>
              <w:bottom w:val="single" w:sz="8" w:color="61656A"/>
            </w:tcBorders>
          </w:tcPr>
          <w:p>
            <w:pPr>
              <w:spacing w:after="0"/>
              <w:rPr>
                <w:sz w:val="17"/>
                <w:szCs w:val="17"/>
                <w:color w:val="auto"/>
              </w:rPr>
            </w:pPr>
          </w:p>
        </w:tc>
        <w:tc>
          <w:tcPr>
            <w:tcW w:w="860" w:type="dxa"/>
            <w:vAlign w:val="bottom"/>
            <w:tcBorders>
              <w:bottom w:val="single" w:sz="8" w:color="61656A"/>
            </w:tcBorders>
          </w:tcPr>
          <w:p>
            <w:pPr>
              <w:spacing w:after="0"/>
              <w:rPr>
                <w:sz w:val="17"/>
                <w:szCs w:val="17"/>
                <w:color w:val="auto"/>
              </w:rPr>
            </w:pPr>
          </w:p>
        </w:tc>
        <w:tc>
          <w:tcPr>
            <w:tcW w:w="280" w:type="dxa"/>
            <w:vAlign w:val="bottom"/>
            <w:tcBorders>
              <w:bottom w:val="single" w:sz="8" w:color="61656A"/>
            </w:tcBorders>
          </w:tcPr>
          <w:p>
            <w:pPr>
              <w:spacing w:after="0"/>
              <w:rPr>
                <w:sz w:val="17"/>
                <w:szCs w:val="17"/>
                <w:color w:val="auto"/>
              </w:rPr>
            </w:pPr>
          </w:p>
        </w:tc>
        <w:tc>
          <w:tcPr>
            <w:tcW w:w="1280" w:type="dxa"/>
            <w:vAlign w:val="bottom"/>
            <w:tcBorders>
              <w:bottom w:val="single" w:sz="8" w:color="61656A"/>
            </w:tcBorders>
          </w:tcPr>
          <w:p>
            <w:pPr>
              <w:spacing w:after="0"/>
              <w:rPr>
                <w:sz w:val="17"/>
                <w:szCs w:val="17"/>
                <w:color w:val="auto"/>
              </w:rPr>
            </w:pPr>
          </w:p>
        </w:tc>
        <w:tc>
          <w:tcPr>
            <w:tcW w:w="22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spacing w:after="0"/>
              <w:rPr>
                <w:sz w:val="17"/>
                <w:szCs w:val="17"/>
                <w:color w:val="auto"/>
              </w:rPr>
            </w:pPr>
          </w:p>
        </w:tc>
        <w:tc>
          <w:tcPr>
            <w:tcW w:w="220" w:type="dxa"/>
            <w:vAlign w:val="bottom"/>
            <w:tcBorders>
              <w:bottom w:val="single" w:sz="8" w:color="61656A"/>
            </w:tcBorders>
          </w:tcPr>
          <w:p>
            <w:pPr>
              <w:spacing w:after="0"/>
              <w:rPr>
                <w:sz w:val="17"/>
                <w:szCs w:val="17"/>
                <w:color w:val="auto"/>
              </w:rPr>
            </w:pPr>
          </w:p>
        </w:tc>
        <w:tc>
          <w:tcPr>
            <w:tcW w:w="140" w:type="dxa"/>
            <w:vAlign w:val="bottom"/>
            <w:tcBorders>
              <w:bottom w:val="single" w:sz="8" w:color="61656A"/>
            </w:tcBorders>
          </w:tcPr>
          <w:p>
            <w:pPr>
              <w:spacing w:after="0"/>
              <w:rPr>
                <w:sz w:val="17"/>
                <w:szCs w:val="17"/>
                <w:color w:val="auto"/>
              </w:rPr>
            </w:pPr>
          </w:p>
        </w:tc>
        <w:tc>
          <w:tcPr>
            <w:tcW w:w="860" w:type="dxa"/>
            <w:vAlign w:val="bottom"/>
            <w:tcBorders>
              <w:bottom w:val="single" w:sz="8" w:color="61656A"/>
            </w:tcBorders>
          </w:tcPr>
          <w:p>
            <w:pPr>
              <w:spacing w:after="0"/>
              <w:rPr>
                <w:sz w:val="17"/>
                <w:szCs w:val="17"/>
                <w:color w:val="auto"/>
              </w:rPr>
            </w:pPr>
          </w:p>
        </w:tc>
        <w:tc>
          <w:tcPr>
            <w:tcW w:w="380" w:type="dxa"/>
            <w:vAlign w:val="bottom"/>
            <w:tcBorders>
              <w:bottom w:val="single" w:sz="8" w:color="61656A"/>
            </w:tcBorders>
          </w:tcPr>
          <w:p>
            <w:pPr>
              <w:spacing w:after="0"/>
              <w:rPr>
                <w:sz w:val="17"/>
                <w:szCs w:val="17"/>
                <w:color w:val="auto"/>
              </w:rPr>
            </w:pPr>
          </w:p>
        </w:tc>
        <w:tc>
          <w:tcPr>
            <w:tcW w:w="1180" w:type="dxa"/>
            <w:vAlign w:val="bottom"/>
            <w:tcBorders>
              <w:bottom w:val="single" w:sz="8" w:color="61656A"/>
            </w:tcBorders>
          </w:tcPr>
          <w:p>
            <w:pPr>
              <w:spacing w:after="0"/>
              <w:rPr>
                <w:sz w:val="17"/>
                <w:szCs w:val="17"/>
                <w:color w:val="auto"/>
              </w:rPr>
            </w:pPr>
          </w:p>
        </w:tc>
        <w:tc>
          <w:tcPr>
            <w:tcW w:w="22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900" w:type="dxa"/>
            <w:vAlign w:val="bottom"/>
            <w:tcBorders>
              <w:bottom w:val="single" w:sz="8" w:color="D7282F"/>
            </w:tcBorders>
          </w:tcPr>
          <w:p>
            <w:pPr>
              <w:ind w:left="140"/>
              <w:spacing w:after="0" w:line="197" w:lineRule="exact"/>
              <w:rPr>
                <w:sz w:val="20"/>
                <w:szCs w:val="20"/>
                <w:color w:val="auto"/>
              </w:rPr>
            </w:pPr>
            <w:r>
              <w:rPr>
                <w:rFonts w:ascii="Arial" w:cs="Arial" w:eastAsia="Arial" w:hAnsi="Arial"/>
                <w:sz w:val="14"/>
                <w:szCs w:val="14"/>
                <w:color w:val="auto"/>
              </w:rPr>
              <w:t>Trademarks</w:t>
            </w:r>
            <w:r>
              <w:rPr>
                <w:rFonts w:ascii="Arial" w:cs="Arial" w:eastAsia="Arial" w:hAnsi="Arial"/>
                <w:sz w:val="18"/>
                <w:szCs w:val="18"/>
                <w:color w:val="auto"/>
                <w:vertAlign w:val="superscript"/>
              </w:rPr>
              <w:t>2</w:t>
            </w:r>
          </w:p>
        </w:tc>
        <w:tc>
          <w:tcPr>
            <w:tcW w:w="140" w:type="dxa"/>
            <w:vAlign w:val="bottom"/>
            <w:tcBorders>
              <w:bottom w:val="single" w:sz="8" w:color="D7282F"/>
            </w:tcBorders>
          </w:tcPr>
          <w:p>
            <w:pPr>
              <w:spacing w:after="0"/>
              <w:rPr>
                <w:sz w:val="17"/>
                <w:szCs w:val="17"/>
                <w:color w:val="auto"/>
              </w:rPr>
            </w:pPr>
          </w:p>
        </w:tc>
        <w:tc>
          <w:tcPr>
            <w:tcW w:w="8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439</w:t>
            </w:r>
          </w:p>
        </w:tc>
        <w:tc>
          <w:tcPr>
            <w:tcW w:w="280" w:type="dxa"/>
            <w:vAlign w:val="bottom"/>
            <w:tcBorders>
              <w:bottom w:val="single" w:sz="8" w:color="D7282F"/>
            </w:tcBorders>
          </w:tcPr>
          <w:p>
            <w:pPr>
              <w:spacing w:after="0"/>
              <w:rPr>
                <w:sz w:val="17"/>
                <w:szCs w:val="17"/>
                <w:color w:val="auto"/>
              </w:rPr>
            </w:pPr>
          </w:p>
        </w:tc>
        <w:tc>
          <w:tcPr>
            <w:tcW w:w="1280" w:type="dxa"/>
            <w:vAlign w:val="bottom"/>
            <w:tcBorders>
              <w:bottom w:val="single" w:sz="8" w:color="D7282F"/>
            </w:tcBorders>
          </w:tcPr>
          <w:p>
            <w:pPr>
              <w:jc w:val="right"/>
              <w:ind w:right="12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439</w:t>
            </w:r>
          </w:p>
        </w:tc>
        <w:tc>
          <w:tcPr>
            <w:tcW w:w="220" w:type="dxa"/>
            <w:vAlign w:val="bottom"/>
            <w:tcBorders>
              <w:bottom w:val="single" w:sz="8" w:color="D7282F"/>
            </w:tcBorders>
          </w:tcPr>
          <w:p>
            <w:pPr>
              <w:spacing w:after="0"/>
              <w:rPr>
                <w:sz w:val="17"/>
                <w:szCs w:val="17"/>
                <w:color w:val="auto"/>
              </w:rPr>
            </w:pPr>
          </w:p>
        </w:tc>
        <w:tc>
          <w:tcPr>
            <w:tcW w:w="140" w:type="dxa"/>
            <w:vAlign w:val="bottom"/>
            <w:tcBorders>
              <w:bottom w:val="single" w:sz="8" w:color="D7282F"/>
            </w:tcBorders>
          </w:tcPr>
          <w:p>
            <w:pPr>
              <w:spacing w:after="0"/>
              <w:rPr>
                <w:sz w:val="17"/>
                <w:szCs w:val="17"/>
                <w:color w:val="auto"/>
              </w:rPr>
            </w:pPr>
          </w:p>
        </w:tc>
        <w:tc>
          <w:tcPr>
            <w:tcW w:w="8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971</w:t>
            </w:r>
          </w:p>
        </w:tc>
        <w:tc>
          <w:tcPr>
            <w:tcW w:w="380" w:type="dxa"/>
            <w:vAlign w:val="bottom"/>
            <w:tcBorders>
              <w:bottom w:val="single" w:sz="8" w:color="D7282F"/>
            </w:tcBorders>
          </w:tcPr>
          <w:p>
            <w:pPr>
              <w:spacing w:after="0"/>
              <w:rPr>
                <w:sz w:val="17"/>
                <w:szCs w:val="17"/>
                <w:color w:val="auto"/>
              </w:rPr>
            </w:pPr>
          </w:p>
        </w:tc>
        <w:tc>
          <w:tcPr>
            <w:tcW w:w="1180" w:type="dxa"/>
            <w:vAlign w:val="bottom"/>
            <w:tcBorders>
              <w:bottom w:val="single" w:sz="8" w:color="D7282F"/>
            </w:tcBorders>
          </w:tcPr>
          <w:p>
            <w:pPr>
              <w:jc w:val="right"/>
              <w:ind w:right="12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971</w:t>
            </w:r>
          </w:p>
        </w:tc>
        <w:tc>
          <w:tcPr>
            <w:tcW w:w="0" w:type="dxa"/>
            <w:vAlign w:val="bottom"/>
          </w:tcPr>
          <w:p>
            <w:pPr>
              <w:spacing w:after="0"/>
              <w:rPr>
                <w:sz w:val="1"/>
                <w:szCs w:val="1"/>
                <w:color w:val="auto"/>
              </w:rPr>
            </w:pPr>
          </w:p>
        </w:tc>
      </w:tr>
      <w:tr>
        <w:trPr>
          <w:trHeight w:val="196"/>
        </w:trPr>
        <w:tc>
          <w:tcPr>
            <w:tcW w:w="3900" w:type="dxa"/>
            <w:vAlign w:val="bottom"/>
            <w:tcBorders>
              <w:bottom w:val="single" w:sz="8" w:color="D7282F"/>
            </w:tcBorders>
          </w:tcPr>
          <w:p>
            <w:pPr>
              <w:ind w:left="360"/>
              <w:spacing w:after="0" w:line="196" w:lineRule="exact"/>
              <w:rPr>
                <w:sz w:val="20"/>
                <w:szCs w:val="20"/>
                <w:color w:val="auto"/>
              </w:rPr>
            </w:pPr>
            <w:r>
              <w:rPr>
                <w:rFonts w:ascii="Arial" w:cs="Arial" w:eastAsia="Arial" w:hAnsi="Arial"/>
                <w:sz w:val="14"/>
                <w:szCs w:val="14"/>
                <w:b w:val="1"/>
                <w:bCs w:val="1"/>
                <w:color w:val="auto"/>
              </w:rPr>
              <w:t>Total Other intangible assets—net</w:t>
            </w:r>
            <w:r>
              <w:rPr>
                <w:rFonts w:ascii="Arial" w:cs="Arial" w:eastAsia="Arial" w:hAnsi="Arial"/>
                <w:sz w:val="18"/>
                <w:szCs w:val="18"/>
                <w:b w:val="1"/>
                <w:bCs w:val="1"/>
                <w:color w:val="auto"/>
                <w:vertAlign w:val="superscript"/>
              </w:rPr>
              <w:t>1</w:t>
            </w:r>
          </w:p>
        </w:tc>
        <w:tc>
          <w:tcPr>
            <w:tcW w:w="1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11,322</w:t>
            </w:r>
          </w:p>
        </w:tc>
        <w:tc>
          <w:tcPr>
            <w:tcW w:w="2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(4,666)</w:t>
            </w: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6,656</w:t>
            </w:r>
          </w:p>
        </w:tc>
        <w:tc>
          <w:tcPr>
            <w:tcW w:w="220" w:type="dxa"/>
            <w:vAlign w:val="bottom"/>
            <w:tcBorders>
              <w:bottom w:val="single" w:sz="8" w:color="D7282F"/>
            </w:tcBorders>
          </w:tcPr>
          <w:p>
            <w:pPr>
              <w:spacing w:after="0"/>
              <w:rPr>
                <w:sz w:val="17"/>
                <w:szCs w:val="17"/>
                <w:color w:val="auto"/>
              </w:rPr>
            </w:pPr>
          </w:p>
        </w:tc>
        <w:tc>
          <w:tcPr>
            <w:tcW w:w="1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8,230</w:t>
            </w:r>
          </w:p>
        </w:tc>
        <w:tc>
          <w:tcPr>
            <w:tcW w:w="3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(4,999)</w:t>
            </w: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3,231</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80" w:right="20" w:hanging="344"/>
        <w:spacing w:after="0" w:line="182" w:lineRule="auto"/>
        <w:tabs>
          <w:tab w:leader="none" w:pos="480" w:val="left"/>
        </w:tabs>
        <w:numPr>
          <w:ilvl w:val="0"/>
          <w:numId w:val="135"/>
        </w:numPr>
        <w:rPr>
          <w:rFonts w:ascii="Arial" w:cs="Arial" w:eastAsia="Arial" w:hAnsi="Arial"/>
          <w:sz w:val="24"/>
          <w:szCs w:val="24"/>
          <w:color w:val="auto"/>
          <w:vertAlign w:val="superscript"/>
        </w:rPr>
      </w:pPr>
      <w:r>
        <w:rPr>
          <w:rFonts w:ascii="Arial" w:cs="Arial" w:eastAsia="Arial" w:hAnsi="Arial"/>
          <w:sz w:val="12"/>
          <w:szCs w:val="12"/>
          <w:color w:val="auto"/>
        </w:rPr>
        <w:t xml:space="preserve">As of December 31, 2024, Total Other intangible assets—net excludes net carrying amount of $116 million of customer relationships and net carrying amount of $481 million of indefinite-life trademarks that are included in Assets held for sale in the Consolidated Balance Sheet. Refer to Note 2 </w:t>
      </w:r>
      <w:r>
        <w:rPr>
          <w:rFonts w:ascii="Arial" w:cs="Arial" w:eastAsia="Arial" w:hAnsi="Arial"/>
          <w:sz w:val="12"/>
          <w:szCs w:val="12"/>
          <w:u w:val="single" w:color="auto"/>
          <w:color w:val="0000FF"/>
        </w:rPr>
        <w:t>Acquisitions, Divestitures, and Assets and Liabilities Held for Sale</w:t>
      </w:r>
      <w:r>
        <w:rPr>
          <w:rFonts w:ascii="Arial" w:cs="Arial" w:eastAsia="Arial" w:hAnsi="Arial"/>
          <w:sz w:val="12"/>
          <w:szCs w:val="12"/>
          <w:color w:val="auto"/>
        </w:rPr>
        <w:t>.</w:t>
      </w:r>
    </w:p>
    <w:p>
      <w:pPr>
        <w:spacing w:after="0" w:line="105" w:lineRule="exact"/>
        <w:rPr>
          <w:sz w:val="20"/>
          <w:szCs w:val="20"/>
          <w:color w:val="auto"/>
        </w:rPr>
      </w:pPr>
    </w:p>
    <w:p>
      <w:pPr>
        <w:ind w:left="480" w:hanging="344"/>
        <w:spacing w:after="0"/>
        <w:tabs>
          <w:tab w:leader="none" w:pos="480" w:val="left"/>
        </w:tabs>
        <w:numPr>
          <w:ilvl w:val="0"/>
          <w:numId w:val="136"/>
        </w:numPr>
        <w:rPr>
          <w:rFonts w:ascii="Arial" w:cs="Arial" w:eastAsia="Arial" w:hAnsi="Arial"/>
          <w:sz w:val="13"/>
          <w:szCs w:val="13"/>
          <w:color w:val="auto"/>
        </w:rPr>
      </w:pPr>
      <w:r>
        <w:rPr>
          <w:rFonts w:ascii="Arial" w:cs="Arial" w:eastAsia="Arial" w:hAnsi="Arial"/>
          <w:sz w:val="13"/>
          <w:szCs w:val="13"/>
          <w:color w:val="auto"/>
        </w:rPr>
        <w:t>An impairment charge of $48 million was recorded on indefinite-lived intangible assets related to the personal protective equipment business during year ended December 31, 2024.</w:t>
      </w:r>
    </w:p>
    <w:p>
      <w:pPr>
        <w:spacing w:after="0" w:line="23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Intangible assets amortization expense includes $415 million, $292 million, and $333 million for the years ended December 31, 2024, 2023, and 2022, respectively. Estimated future intangible asset amortization expense for each of the next five years for intangible assets recorded as of December 31, 2024, is as follows: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980" w:type="dxa"/>
            <w:vAlign w:val="bottom"/>
            <w:tcBorders>
              <w:bottom w:val="single" w:sz="8" w:color="D7282F"/>
            </w:tcBorders>
          </w:tcPr>
          <w:p>
            <w:pPr>
              <w:spacing w:after="0"/>
              <w:rPr>
                <w:sz w:val="17"/>
                <w:szCs w:val="17"/>
                <w:color w:val="auto"/>
              </w:rPr>
            </w:pPr>
          </w:p>
        </w:tc>
        <w:tc>
          <w:tcPr>
            <w:tcW w:w="4740" w:type="dxa"/>
            <w:vAlign w:val="bottom"/>
            <w:tcBorders>
              <w:bottom w:val="single" w:sz="8" w:color="D7282F"/>
            </w:tcBorders>
          </w:tcPr>
          <w:p>
            <w:pPr>
              <w:spacing w:after="0"/>
              <w:rPr>
                <w:sz w:val="17"/>
                <w:szCs w:val="17"/>
                <w:color w:val="auto"/>
              </w:rPr>
            </w:pPr>
          </w:p>
        </w:tc>
        <w:tc>
          <w:tcPr>
            <w:tcW w:w="15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December 31, 2024</w:t>
            </w:r>
          </w:p>
        </w:tc>
      </w:tr>
      <w:tr>
        <w:trPr>
          <w:trHeight w:val="193"/>
        </w:trPr>
        <w:tc>
          <w:tcPr>
            <w:tcW w:w="4980" w:type="dxa"/>
            <w:vAlign w:val="bottom"/>
            <w:tcBorders>
              <w:bottom w:val="single" w:sz="8" w:color="61656A"/>
            </w:tcBorders>
          </w:tcPr>
          <w:p>
            <w:pPr>
              <w:jc w:val="right"/>
              <w:ind w:right="4568"/>
              <w:spacing w:after="0"/>
              <w:rPr>
                <w:sz w:val="20"/>
                <w:szCs w:val="20"/>
                <w:color w:val="auto"/>
              </w:rPr>
            </w:pPr>
            <w:r>
              <w:rPr>
                <w:rFonts w:ascii="Arial" w:cs="Arial" w:eastAsia="Arial" w:hAnsi="Arial"/>
                <w:sz w:val="14"/>
                <w:szCs w:val="14"/>
                <w:color w:val="auto"/>
              </w:rPr>
              <w:t>2025</w:t>
            </w:r>
          </w:p>
        </w:tc>
        <w:tc>
          <w:tcPr>
            <w:tcW w:w="47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484</w:t>
            </w:r>
          </w:p>
        </w:tc>
      </w:tr>
      <w:tr>
        <w:trPr>
          <w:trHeight w:val="196"/>
        </w:trPr>
        <w:tc>
          <w:tcPr>
            <w:tcW w:w="4980" w:type="dxa"/>
            <w:vAlign w:val="bottom"/>
            <w:tcBorders>
              <w:bottom w:val="single" w:sz="8" w:color="61656A"/>
            </w:tcBorders>
          </w:tcPr>
          <w:p>
            <w:pPr>
              <w:jc w:val="right"/>
              <w:ind w:right="4568"/>
              <w:spacing w:after="0"/>
              <w:rPr>
                <w:sz w:val="20"/>
                <w:szCs w:val="20"/>
                <w:color w:val="auto"/>
              </w:rPr>
            </w:pPr>
            <w:r>
              <w:rPr>
                <w:rFonts w:ascii="Arial" w:cs="Arial" w:eastAsia="Arial" w:hAnsi="Arial"/>
                <w:sz w:val="14"/>
                <w:szCs w:val="14"/>
                <w:color w:val="auto"/>
              </w:rPr>
              <w:t>2026</w:t>
            </w:r>
          </w:p>
        </w:tc>
        <w:tc>
          <w:tcPr>
            <w:tcW w:w="4740" w:type="dxa"/>
            <w:vAlign w:val="bottom"/>
            <w:tcBorders>
              <w:bottom w:val="single" w:sz="8" w:color="61656A"/>
            </w:tcBorders>
          </w:tcPr>
          <w:p>
            <w:pPr>
              <w:spacing w:after="0"/>
              <w:rPr>
                <w:sz w:val="17"/>
                <w:szCs w:val="17"/>
                <w:color w:val="auto"/>
              </w:rPr>
            </w:pPr>
          </w:p>
        </w:tc>
        <w:tc>
          <w:tcPr>
            <w:tcW w:w="15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495</w:t>
            </w:r>
          </w:p>
        </w:tc>
      </w:tr>
      <w:tr>
        <w:trPr>
          <w:trHeight w:val="196"/>
        </w:trPr>
        <w:tc>
          <w:tcPr>
            <w:tcW w:w="4980" w:type="dxa"/>
            <w:vAlign w:val="bottom"/>
            <w:tcBorders>
              <w:bottom w:val="single" w:sz="8" w:color="61656A"/>
            </w:tcBorders>
          </w:tcPr>
          <w:p>
            <w:pPr>
              <w:jc w:val="right"/>
              <w:ind w:right="4568"/>
              <w:spacing w:after="0"/>
              <w:rPr>
                <w:sz w:val="20"/>
                <w:szCs w:val="20"/>
                <w:color w:val="auto"/>
              </w:rPr>
            </w:pPr>
            <w:r>
              <w:rPr>
                <w:rFonts w:ascii="Arial" w:cs="Arial" w:eastAsia="Arial" w:hAnsi="Arial"/>
                <w:sz w:val="14"/>
                <w:szCs w:val="14"/>
                <w:color w:val="auto"/>
              </w:rPr>
              <w:t>2027</w:t>
            </w:r>
          </w:p>
        </w:tc>
        <w:tc>
          <w:tcPr>
            <w:tcW w:w="4740" w:type="dxa"/>
            <w:vAlign w:val="bottom"/>
            <w:tcBorders>
              <w:bottom w:val="single" w:sz="8" w:color="61656A"/>
            </w:tcBorders>
          </w:tcPr>
          <w:p>
            <w:pPr>
              <w:spacing w:after="0"/>
              <w:rPr>
                <w:sz w:val="17"/>
                <w:szCs w:val="17"/>
                <w:color w:val="auto"/>
              </w:rPr>
            </w:pPr>
          </w:p>
        </w:tc>
        <w:tc>
          <w:tcPr>
            <w:tcW w:w="15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504</w:t>
            </w:r>
          </w:p>
        </w:tc>
      </w:tr>
      <w:tr>
        <w:trPr>
          <w:trHeight w:val="196"/>
        </w:trPr>
        <w:tc>
          <w:tcPr>
            <w:tcW w:w="4980" w:type="dxa"/>
            <w:vAlign w:val="bottom"/>
            <w:tcBorders>
              <w:bottom w:val="single" w:sz="8" w:color="61656A"/>
            </w:tcBorders>
          </w:tcPr>
          <w:p>
            <w:pPr>
              <w:jc w:val="right"/>
              <w:ind w:right="4568"/>
              <w:spacing w:after="0"/>
              <w:rPr>
                <w:sz w:val="20"/>
                <w:szCs w:val="20"/>
                <w:color w:val="auto"/>
              </w:rPr>
            </w:pPr>
            <w:r>
              <w:rPr>
                <w:rFonts w:ascii="Arial" w:cs="Arial" w:eastAsia="Arial" w:hAnsi="Arial"/>
                <w:sz w:val="14"/>
                <w:szCs w:val="14"/>
                <w:color w:val="auto"/>
              </w:rPr>
              <w:t>2028</w:t>
            </w:r>
          </w:p>
        </w:tc>
        <w:tc>
          <w:tcPr>
            <w:tcW w:w="4740" w:type="dxa"/>
            <w:vAlign w:val="bottom"/>
            <w:tcBorders>
              <w:bottom w:val="single" w:sz="8" w:color="61656A"/>
            </w:tcBorders>
          </w:tcPr>
          <w:p>
            <w:pPr>
              <w:spacing w:after="0"/>
              <w:rPr>
                <w:sz w:val="17"/>
                <w:szCs w:val="17"/>
                <w:color w:val="auto"/>
              </w:rPr>
            </w:pPr>
          </w:p>
        </w:tc>
        <w:tc>
          <w:tcPr>
            <w:tcW w:w="15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495</w:t>
            </w:r>
          </w:p>
        </w:tc>
      </w:tr>
      <w:tr>
        <w:trPr>
          <w:trHeight w:val="196"/>
        </w:trPr>
        <w:tc>
          <w:tcPr>
            <w:tcW w:w="4980" w:type="dxa"/>
            <w:vAlign w:val="bottom"/>
            <w:tcBorders>
              <w:bottom w:val="single" w:sz="8" w:color="D7282F"/>
            </w:tcBorders>
          </w:tcPr>
          <w:p>
            <w:pPr>
              <w:jc w:val="right"/>
              <w:ind w:right="4568"/>
              <w:spacing w:after="0"/>
              <w:rPr>
                <w:sz w:val="20"/>
                <w:szCs w:val="20"/>
                <w:color w:val="auto"/>
              </w:rPr>
            </w:pPr>
            <w:r>
              <w:rPr>
                <w:rFonts w:ascii="Arial" w:cs="Arial" w:eastAsia="Arial" w:hAnsi="Arial"/>
                <w:sz w:val="14"/>
                <w:szCs w:val="14"/>
                <w:color w:val="auto"/>
              </w:rPr>
              <w:t>2029</w:t>
            </w:r>
          </w:p>
        </w:tc>
        <w:tc>
          <w:tcPr>
            <w:tcW w:w="4740" w:type="dxa"/>
            <w:vAlign w:val="bottom"/>
            <w:tcBorders>
              <w:bottom w:val="single" w:sz="8" w:color="D7282F"/>
            </w:tcBorders>
          </w:tcPr>
          <w:p>
            <w:pPr>
              <w:spacing w:after="0"/>
              <w:rPr>
                <w:sz w:val="17"/>
                <w:szCs w:val="17"/>
                <w:color w:val="auto"/>
              </w:rPr>
            </w:pPr>
          </w:p>
        </w:tc>
        <w:tc>
          <w:tcPr>
            <w:tcW w:w="15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481</w:t>
            </w:r>
          </w:p>
        </w:tc>
      </w:tr>
    </w:tbl>
    <w:p>
      <w:pPr>
        <w:spacing w:after="0" w:line="200" w:lineRule="exact"/>
        <w:rPr>
          <w:sz w:val="20"/>
          <w:szCs w:val="20"/>
          <w:color w:val="auto"/>
        </w:rPr>
      </w:pPr>
    </w:p>
    <w:p>
      <w:pPr>
        <w:spacing w:after="0" w:line="314" w:lineRule="exact"/>
        <w:rPr>
          <w:sz w:val="20"/>
          <w:szCs w:val="20"/>
          <w:color w:val="auto"/>
        </w:rPr>
      </w:pPr>
    </w:p>
    <w:p>
      <w:pPr>
        <w:ind w:left="400" w:hanging="392"/>
        <w:spacing w:after="0"/>
        <w:tabs>
          <w:tab w:leader="none" w:pos="400" w:val="left"/>
        </w:tabs>
        <w:numPr>
          <w:ilvl w:val="0"/>
          <w:numId w:val="137"/>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79" w:name="page80"/>
    <w:bookmarkEnd w:id="79"/>
    <w:p>
      <w:pPr>
        <w:ind w:left="20"/>
        <w:spacing w:after="0"/>
        <w:tabs>
          <w:tab w:leader="none" w:pos="784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FINANCIAL STATEMENTS AND SUPPLEMENTARY DATA</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29"/>
          <w:szCs w:val="29"/>
          <w:color w:val="D7282F"/>
        </w:rPr>
        <w:t>NOTE 9. LONG-TERM DEBT AND CREDIT AGREEMENTS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9480" w:type="dxa"/>
            <w:vAlign w:val="bottom"/>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gridSpan w:val="3"/>
          </w:tcPr>
          <w:p>
            <w:pPr>
              <w:jc w:val="right"/>
              <w:ind w:right="348"/>
              <w:spacing w:after="0"/>
              <w:rPr>
                <w:sz w:val="20"/>
                <w:szCs w:val="20"/>
                <w:color w:val="auto"/>
              </w:rPr>
            </w:pPr>
            <w:r>
              <w:rPr>
                <w:rFonts w:ascii="Arial" w:cs="Arial" w:eastAsia="Arial" w:hAnsi="Arial"/>
                <w:sz w:val="14"/>
                <w:szCs w:val="14"/>
                <w:b w:val="1"/>
                <w:bCs w:val="1"/>
                <w:color w:val="auto"/>
              </w:rPr>
              <w:t>December 31,</w:t>
            </w:r>
          </w:p>
        </w:tc>
      </w:tr>
      <w:tr>
        <w:trPr>
          <w:trHeight w:val="223"/>
        </w:trPr>
        <w:tc>
          <w:tcPr>
            <w:tcW w:w="9480" w:type="dxa"/>
            <w:vAlign w:val="bottom"/>
            <w:tcBorders>
              <w:bottom w:val="single" w:sz="8" w:color="D7282F"/>
            </w:tcBorders>
          </w:tcPr>
          <w:p>
            <w:pPr>
              <w:spacing w:after="0"/>
              <w:rPr>
                <w:sz w:val="19"/>
                <w:szCs w:val="19"/>
                <w:color w:val="auto"/>
              </w:rPr>
            </w:pPr>
          </w:p>
        </w:tc>
        <w:tc>
          <w:tcPr>
            <w:tcW w:w="160" w:type="dxa"/>
            <w:vAlign w:val="bottom"/>
            <w:tcBorders>
              <w:bottom w:val="single" w:sz="8" w:color="D7282F"/>
            </w:tcBorders>
          </w:tcPr>
          <w:p>
            <w:pPr>
              <w:spacing w:after="0"/>
              <w:rPr>
                <w:sz w:val="19"/>
                <w:szCs w:val="19"/>
                <w:color w:val="auto"/>
              </w:rPr>
            </w:pPr>
          </w:p>
        </w:tc>
        <w:tc>
          <w:tcPr>
            <w:tcW w:w="72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2024</w:t>
            </w:r>
          </w:p>
        </w:tc>
        <w:tc>
          <w:tcPr>
            <w:tcW w:w="280" w:type="dxa"/>
            <w:vAlign w:val="bottom"/>
            <w:tcBorders>
              <w:bottom w:val="single" w:sz="8" w:color="D7282F"/>
            </w:tcBorders>
          </w:tcPr>
          <w:p>
            <w:pPr>
              <w:spacing w:after="0"/>
              <w:rPr>
                <w:sz w:val="19"/>
                <w:szCs w:val="19"/>
                <w:color w:val="auto"/>
              </w:rPr>
            </w:pPr>
          </w:p>
        </w:tc>
        <w:tc>
          <w:tcPr>
            <w:tcW w:w="60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2023</w:t>
            </w:r>
          </w:p>
        </w:tc>
      </w:tr>
      <w:tr>
        <w:trPr>
          <w:trHeight w:val="198"/>
        </w:trPr>
        <w:tc>
          <w:tcPr>
            <w:tcW w:w="9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0.00% euro notes due 2024</w:t>
            </w:r>
          </w:p>
        </w:tc>
        <w:tc>
          <w:tcPr>
            <w:tcW w:w="160" w:type="dxa"/>
            <w:vAlign w:val="bottom"/>
            <w:tcBorders>
              <w:bottom w:val="single" w:sz="8" w:color="888B8D"/>
            </w:tcBorders>
          </w:tcPr>
          <w:p>
            <w:pPr>
              <w:jc w:val="right"/>
              <w:ind w:right="8"/>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888B8D"/>
            </w:tcBorders>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547</w:t>
            </w:r>
          </w:p>
        </w:tc>
      </w:tr>
      <w:tr>
        <w:trPr>
          <w:trHeight w:val="196"/>
        </w:trPr>
        <w:tc>
          <w:tcPr>
            <w:tcW w:w="9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2.30% notes due 2024</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750</w:t>
            </w:r>
          </w:p>
        </w:tc>
      </w:tr>
      <w:tr>
        <w:trPr>
          <w:trHeight w:val="196"/>
        </w:trPr>
        <w:tc>
          <w:tcPr>
            <w:tcW w:w="9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4.85% notes due 2024</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400</w:t>
            </w:r>
          </w:p>
        </w:tc>
      </w:tr>
      <w:tr>
        <w:trPr>
          <w:trHeight w:val="196"/>
        </w:trPr>
        <w:tc>
          <w:tcPr>
            <w:tcW w:w="9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1.35% notes due 2025</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1,250</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1,250</w:t>
            </w:r>
          </w:p>
        </w:tc>
      </w:tr>
      <w:tr>
        <w:trPr>
          <w:trHeight w:val="196"/>
        </w:trPr>
        <w:tc>
          <w:tcPr>
            <w:tcW w:w="9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2.50% notes due 2026</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1,500</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1,500</w:t>
            </w:r>
          </w:p>
        </w:tc>
      </w:tr>
      <w:tr>
        <w:trPr>
          <w:trHeight w:val="196"/>
        </w:trPr>
        <w:tc>
          <w:tcPr>
            <w:tcW w:w="9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1.10% notes due 2027</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1,000</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1,000</w:t>
            </w:r>
          </w:p>
        </w:tc>
      </w:tr>
      <w:tr>
        <w:trPr>
          <w:trHeight w:val="196"/>
        </w:trPr>
        <w:tc>
          <w:tcPr>
            <w:tcW w:w="9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3.50% euro notes due 2027</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675</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711</w:t>
            </w:r>
          </w:p>
        </w:tc>
      </w:tr>
      <w:tr>
        <w:trPr>
          <w:trHeight w:val="196"/>
        </w:trPr>
        <w:tc>
          <w:tcPr>
            <w:tcW w:w="9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4.65% notes due 2027</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1,150</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9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4.95% notes due 2028</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500</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500</w:t>
            </w:r>
          </w:p>
        </w:tc>
      </w:tr>
      <w:tr>
        <w:trPr>
          <w:trHeight w:val="196"/>
        </w:trPr>
        <w:tc>
          <w:tcPr>
            <w:tcW w:w="9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2.25% euro notes due 2028</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779</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820</w:t>
            </w:r>
          </w:p>
        </w:tc>
      </w:tr>
      <w:tr>
        <w:trPr>
          <w:trHeight w:val="196"/>
        </w:trPr>
        <w:tc>
          <w:tcPr>
            <w:tcW w:w="9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4.25% notes due 2029</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750</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750</w:t>
            </w:r>
          </w:p>
        </w:tc>
      </w:tr>
      <w:tr>
        <w:trPr>
          <w:trHeight w:val="196"/>
        </w:trPr>
        <w:tc>
          <w:tcPr>
            <w:tcW w:w="9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2.70% notes due 2029</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750</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750</w:t>
            </w:r>
          </w:p>
        </w:tc>
      </w:tr>
      <w:tr>
        <w:trPr>
          <w:trHeight w:val="196"/>
        </w:trPr>
        <w:tc>
          <w:tcPr>
            <w:tcW w:w="9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4.875% notes due 2029</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500</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9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4.70% notes due 2030</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1,000</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9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3.375% euro notes due 2030</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779</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9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1.95% notes due 2030</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1,000</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1,000</w:t>
            </w:r>
          </w:p>
        </w:tc>
      </w:tr>
      <w:tr>
        <w:trPr>
          <w:trHeight w:val="196"/>
        </w:trPr>
        <w:tc>
          <w:tcPr>
            <w:tcW w:w="9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4.95% notes due 2031</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500</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9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1.75% notes due 2031</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1,500</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1,500</w:t>
            </w:r>
          </w:p>
        </w:tc>
      </w:tr>
      <w:tr>
        <w:trPr>
          <w:trHeight w:val="196"/>
        </w:trPr>
        <w:tc>
          <w:tcPr>
            <w:tcW w:w="9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4.75% notes due 2032</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650</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9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0.75% euro notes due 2032</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519</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547</w:t>
            </w:r>
          </w:p>
        </w:tc>
      </w:tr>
      <w:tr>
        <w:trPr>
          <w:trHeight w:val="196"/>
        </w:trPr>
        <w:tc>
          <w:tcPr>
            <w:tcW w:w="9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3.75% euro notes due 2032</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519</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547</w:t>
            </w:r>
          </w:p>
        </w:tc>
      </w:tr>
      <w:tr>
        <w:trPr>
          <w:trHeight w:val="196"/>
        </w:trPr>
        <w:tc>
          <w:tcPr>
            <w:tcW w:w="9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5.00% notes due 2033</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1,100</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1,100</w:t>
            </w:r>
          </w:p>
        </w:tc>
      </w:tr>
      <w:tr>
        <w:trPr>
          <w:trHeight w:val="196"/>
        </w:trPr>
        <w:tc>
          <w:tcPr>
            <w:tcW w:w="9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4.50% notes due 2034</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1,000</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1,000</w:t>
            </w:r>
          </w:p>
        </w:tc>
      </w:tr>
      <w:tr>
        <w:trPr>
          <w:trHeight w:val="196"/>
        </w:trPr>
        <w:tc>
          <w:tcPr>
            <w:tcW w:w="9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4.125% euro notes due 2034</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1,039</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1,094</w:t>
            </w:r>
          </w:p>
        </w:tc>
      </w:tr>
      <w:tr>
        <w:trPr>
          <w:trHeight w:val="196"/>
        </w:trPr>
        <w:tc>
          <w:tcPr>
            <w:tcW w:w="9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5.00% notes due 2035</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1,450</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9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3.75% euro notes due 2036</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779</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9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5.70% notes due 2036</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441</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441</w:t>
            </w:r>
          </w:p>
        </w:tc>
      </w:tr>
      <w:tr>
        <w:trPr>
          <w:trHeight w:val="196"/>
        </w:trPr>
        <w:tc>
          <w:tcPr>
            <w:tcW w:w="9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5.70% notes due 2037</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462</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462</w:t>
            </w:r>
          </w:p>
        </w:tc>
      </w:tr>
      <w:tr>
        <w:trPr>
          <w:trHeight w:val="196"/>
        </w:trPr>
        <w:tc>
          <w:tcPr>
            <w:tcW w:w="9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5.375% notes due 2041</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417</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417</w:t>
            </w:r>
          </w:p>
        </w:tc>
      </w:tr>
      <w:tr>
        <w:trPr>
          <w:trHeight w:val="196"/>
        </w:trPr>
        <w:tc>
          <w:tcPr>
            <w:tcW w:w="9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3.812% notes due 2047</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442</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442</w:t>
            </w:r>
          </w:p>
        </w:tc>
      </w:tr>
      <w:tr>
        <w:trPr>
          <w:trHeight w:val="196"/>
        </w:trPr>
        <w:tc>
          <w:tcPr>
            <w:tcW w:w="9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2.80% notes due 2050</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750</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750</w:t>
            </w:r>
          </w:p>
        </w:tc>
      </w:tr>
      <w:tr>
        <w:trPr>
          <w:trHeight w:val="196"/>
        </w:trPr>
        <w:tc>
          <w:tcPr>
            <w:tcW w:w="9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5.25% notes due 2054</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1,750</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9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5.35% notes due 2064</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650</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9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4.37% term loan due 2027</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1,000</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9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6.625% debentures due 2028</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201</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201</w:t>
            </w:r>
          </w:p>
        </w:tc>
      </w:tr>
      <w:tr>
        <w:trPr>
          <w:trHeight w:val="196"/>
        </w:trPr>
        <w:tc>
          <w:tcPr>
            <w:tcW w:w="9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9.065% debentures due 2033</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51</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51</w:t>
            </w:r>
          </w:p>
        </w:tc>
      </w:tr>
      <w:tr>
        <w:trPr>
          <w:trHeight w:val="196"/>
        </w:trPr>
        <w:tc>
          <w:tcPr>
            <w:tcW w:w="9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Industrial development bond obligations, floating rate maturing at various dates through 2037</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22</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22</w:t>
            </w:r>
          </w:p>
        </w:tc>
      </w:tr>
      <w:tr>
        <w:trPr>
          <w:trHeight w:val="196"/>
        </w:trPr>
        <w:tc>
          <w:tcPr>
            <w:tcW w:w="9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Other (including finance leases), 4.3% weighted average interest rate maturing at various dates through 2031</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390</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217</w:t>
            </w:r>
          </w:p>
        </w:tc>
      </w:tr>
      <w:tr>
        <w:trPr>
          <w:trHeight w:val="196"/>
        </w:trPr>
        <w:tc>
          <w:tcPr>
            <w:tcW w:w="9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Fair value of hedging instruments</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(136)</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(166)</w:t>
            </w:r>
          </w:p>
        </w:tc>
      </w:tr>
      <w:tr>
        <w:trPr>
          <w:trHeight w:val="196"/>
        </w:trPr>
        <w:tc>
          <w:tcPr>
            <w:tcW w:w="94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Debt issuance costs</w:t>
            </w:r>
          </w:p>
        </w:tc>
        <w:tc>
          <w:tcPr>
            <w:tcW w:w="1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(303)</w:t>
            </w:r>
          </w:p>
        </w:tc>
        <w:tc>
          <w:tcPr>
            <w:tcW w:w="28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(245)</w:t>
            </w:r>
          </w:p>
        </w:tc>
      </w:tr>
      <w:tr>
        <w:trPr>
          <w:trHeight w:val="199"/>
        </w:trPr>
        <w:tc>
          <w:tcPr>
            <w:tcW w:w="948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Long-term debt and current related maturities</w:t>
            </w:r>
          </w:p>
        </w:tc>
        <w:tc>
          <w:tcPr>
            <w:tcW w:w="1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26,826</w:t>
            </w:r>
          </w:p>
        </w:tc>
        <w:tc>
          <w:tcPr>
            <w:tcW w:w="28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18,358</w:t>
            </w:r>
          </w:p>
        </w:tc>
      </w:tr>
      <w:tr>
        <w:trPr>
          <w:trHeight w:val="193"/>
        </w:trPr>
        <w:tc>
          <w:tcPr>
            <w:tcW w:w="94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Less: Current maturities of long-term debt</w:t>
            </w:r>
          </w:p>
        </w:tc>
        <w:tc>
          <w:tcPr>
            <w:tcW w:w="160" w:type="dxa"/>
            <w:vAlign w:val="bottom"/>
            <w:tcBorders>
              <w:bottom w:val="single" w:sz="8" w:color="D7282F"/>
            </w:tcBorders>
          </w:tcPr>
          <w:p>
            <w:pPr>
              <w:spacing w:after="0"/>
              <w:rPr>
                <w:sz w:val="16"/>
                <w:szCs w:val="16"/>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1,347</w:t>
            </w:r>
          </w:p>
        </w:tc>
        <w:tc>
          <w:tcPr>
            <w:tcW w:w="280" w:type="dxa"/>
            <w:vAlign w:val="bottom"/>
            <w:tcBorders>
              <w:bottom w:val="single" w:sz="8" w:color="D7282F"/>
            </w:tcBorders>
          </w:tcPr>
          <w:p>
            <w:pPr>
              <w:spacing w:after="0"/>
              <w:rPr>
                <w:sz w:val="16"/>
                <w:szCs w:val="16"/>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1,796</w:t>
            </w:r>
          </w:p>
        </w:tc>
      </w:tr>
      <w:tr>
        <w:trPr>
          <w:trHeight w:val="199"/>
        </w:trPr>
        <w:tc>
          <w:tcPr>
            <w:tcW w:w="948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Long-term debt</w:t>
            </w:r>
          </w:p>
        </w:tc>
        <w:tc>
          <w:tcPr>
            <w:tcW w:w="16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25,479</w:t>
            </w:r>
          </w:p>
        </w:tc>
        <w:tc>
          <w:tcPr>
            <w:tcW w:w="2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16,562</w:t>
            </w:r>
          </w:p>
        </w:tc>
      </w:tr>
    </w:tbl>
    <w:p>
      <w:pPr>
        <w:spacing w:after="0" w:line="200" w:lineRule="exact"/>
        <w:rPr>
          <w:sz w:val="20"/>
          <w:szCs w:val="20"/>
          <w:color w:val="auto"/>
        </w:rPr>
      </w:pPr>
    </w:p>
    <w:p>
      <w:pPr>
        <w:spacing w:after="0" w:line="30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D7282F"/>
        </w:rPr>
        <w:t>78</w:t>
      </w:r>
      <w:r>
        <w:rPr>
          <w:sz w:val="20"/>
          <w:szCs w:val="20"/>
          <w:color w:val="auto"/>
        </w:rPr>
        <w:tab/>
      </w: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80" w:name="page81"/>
    <w:bookmarkEnd w:id="80"/>
    <w:p>
      <w:pPr>
        <w:ind w:left="20"/>
        <w:spacing w:after="0"/>
        <w:tabs>
          <w:tab w:leader="none" w:pos="784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FINANCIAL STATEMENTS AND SUPPLEMENTARY DATA</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The schedule of principal payments on long-term debt, excluding fair value of hedging instruments and debt issuance costs, is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620" w:type="dxa"/>
            <w:vAlign w:val="bottom"/>
            <w:tcBorders>
              <w:bottom w:val="single" w:sz="8" w:color="D7282F"/>
            </w:tcBorders>
          </w:tcPr>
          <w:p>
            <w:pPr>
              <w:spacing w:after="0"/>
              <w:rPr>
                <w:sz w:val="17"/>
                <w:szCs w:val="17"/>
                <w:color w:val="auto"/>
              </w:rPr>
            </w:pPr>
          </w:p>
        </w:tc>
        <w:tc>
          <w:tcPr>
            <w:tcW w:w="3100" w:type="dxa"/>
            <w:vAlign w:val="bottom"/>
            <w:tcBorders>
              <w:bottom w:val="single" w:sz="8" w:color="D7282F"/>
            </w:tcBorders>
          </w:tcPr>
          <w:p>
            <w:pPr>
              <w:spacing w:after="0"/>
              <w:rPr>
                <w:sz w:val="17"/>
                <w:szCs w:val="17"/>
                <w:color w:val="auto"/>
              </w:rPr>
            </w:pPr>
          </w:p>
        </w:tc>
        <w:tc>
          <w:tcPr>
            <w:tcW w:w="15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December 31, 2024</w:t>
            </w:r>
          </w:p>
        </w:tc>
      </w:tr>
      <w:tr>
        <w:trPr>
          <w:trHeight w:val="193"/>
        </w:trPr>
        <w:tc>
          <w:tcPr>
            <w:tcW w:w="662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2025</w:t>
            </w:r>
          </w:p>
        </w:tc>
        <w:tc>
          <w:tcPr>
            <w:tcW w:w="31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1,347</w:t>
            </w:r>
          </w:p>
        </w:tc>
      </w:tr>
      <w:tr>
        <w:trPr>
          <w:trHeight w:val="196"/>
        </w:trPr>
        <w:tc>
          <w:tcPr>
            <w:tcW w:w="662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2026</w:t>
            </w:r>
          </w:p>
        </w:tc>
        <w:tc>
          <w:tcPr>
            <w:tcW w:w="3100" w:type="dxa"/>
            <w:vAlign w:val="bottom"/>
            <w:tcBorders>
              <w:bottom w:val="single" w:sz="8" w:color="61656A"/>
            </w:tcBorders>
          </w:tcPr>
          <w:p>
            <w:pPr>
              <w:spacing w:after="0"/>
              <w:rPr>
                <w:sz w:val="17"/>
                <w:szCs w:val="17"/>
                <w:color w:val="auto"/>
              </w:rPr>
            </w:pPr>
          </w:p>
        </w:tc>
        <w:tc>
          <w:tcPr>
            <w:tcW w:w="15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1,954</w:t>
            </w:r>
          </w:p>
        </w:tc>
      </w:tr>
      <w:tr>
        <w:trPr>
          <w:trHeight w:val="196"/>
        </w:trPr>
        <w:tc>
          <w:tcPr>
            <w:tcW w:w="662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2027</w:t>
            </w:r>
          </w:p>
        </w:tc>
        <w:tc>
          <w:tcPr>
            <w:tcW w:w="3100" w:type="dxa"/>
            <w:vAlign w:val="bottom"/>
            <w:tcBorders>
              <w:bottom w:val="single" w:sz="8" w:color="61656A"/>
            </w:tcBorders>
          </w:tcPr>
          <w:p>
            <w:pPr>
              <w:spacing w:after="0"/>
              <w:rPr>
                <w:sz w:val="17"/>
                <w:szCs w:val="17"/>
                <w:color w:val="auto"/>
              </w:rPr>
            </w:pPr>
          </w:p>
        </w:tc>
        <w:tc>
          <w:tcPr>
            <w:tcW w:w="15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3,855</w:t>
            </w:r>
          </w:p>
        </w:tc>
      </w:tr>
      <w:tr>
        <w:trPr>
          <w:trHeight w:val="196"/>
        </w:trPr>
        <w:tc>
          <w:tcPr>
            <w:tcW w:w="662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2028</w:t>
            </w:r>
          </w:p>
        </w:tc>
        <w:tc>
          <w:tcPr>
            <w:tcW w:w="3100" w:type="dxa"/>
            <w:vAlign w:val="bottom"/>
            <w:tcBorders>
              <w:bottom w:val="single" w:sz="8" w:color="61656A"/>
            </w:tcBorders>
          </w:tcPr>
          <w:p>
            <w:pPr>
              <w:spacing w:after="0"/>
              <w:rPr>
                <w:sz w:val="17"/>
                <w:szCs w:val="17"/>
                <w:color w:val="auto"/>
              </w:rPr>
            </w:pPr>
          </w:p>
        </w:tc>
        <w:tc>
          <w:tcPr>
            <w:tcW w:w="15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1,493</w:t>
            </w:r>
          </w:p>
        </w:tc>
      </w:tr>
      <w:tr>
        <w:trPr>
          <w:trHeight w:val="196"/>
        </w:trPr>
        <w:tc>
          <w:tcPr>
            <w:tcW w:w="662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2029</w:t>
            </w:r>
          </w:p>
        </w:tc>
        <w:tc>
          <w:tcPr>
            <w:tcW w:w="3100" w:type="dxa"/>
            <w:vAlign w:val="bottom"/>
            <w:tcBorders>
              <w:bottom w:val="single" w:sz="8" w:color="61656A"/>
            </w:tcBorders>
          </w:tcPr>
          <w:p>
            <w:pPr>
              <w:spacing w:after="0"/>
              <w:rPr>
                <w:sz w:val="17"/>
                <w:szCs w:val="17"/>
                <w:color w:val="auto"/>
              </w:rPr>
            </w:pPr>
          </w:p>
        </w:tc>
        <w:tc>
          <w:tcPr>
            <w:tcW w:w="15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2,007</w:t>
            </w:r>
          </w:p>
        </w:tc>
      </w:tr>
      <w:tr>
        <w:trPr>
          <w:trHeight w:val="196"/>
        </w:trPr>
        <w:tc>
          <w:tcPr>
            <w:tcW w:w="662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Thereafter</w:t>
            </w:r>
          </w:p>
        </w:tc>
        <w:tc>
          <w:tcPr>
            <w:tcW w:w="3100" w:type="dxa"/>
            <w:vAlign w:val="bottom"/>
            <w:tcBorders>
              <w:bottom w:val="single" w:sz="8" w:color="D7282F"/>
            </w:tcBorders>
          </w:tcPr>
          <w:p>
            <w:pPr>
              <w:spacing w:after="0"/>
              <w:rPr>
                <w:sz w:val="17"/>
                <w:szCs w:val="17"/>
                <w:color w:val="auto"/>
              </w:rPr>
            </w:pPr>
          </w:p>
        </w:tc>
        <w:tc>
          <w:tcPr>
            <w:tcW w:w="15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16,609</w:t>
            </w:r>
          </w:p>
        </w:tc>
      </w:tr>
      <w:tr>
        <w:trPr>
          <w:trHeight w:val="199"/>
        </w:trPr>
        <w:tc>
          <w:tcPr>
            <w:tcW w:w="662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Long-term debt and current related maturities</w:t>
            </w:r>
          </w:p>
        </w:tc>
        <w:tc>
          <w:tcPr>
            <w:tcW w:w="31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5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27,265</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Issuances of Senior Notes</w:t>
      </w:r>
    </w:p>
    <w:p>
      <w:pPr>
        <w:spacing w:after="0" w:line="21"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On August 1, 2024, the Company issued $1.15 billion 4.65% Senior Notes due 2027, $1.0 billion 4.70% Senior Notes due 2030, $650 million 4.75% Senior Notes due 2032, and $700 million 5.00% Senior Notes due 2035 (collectively, the August 2024 USD Notes). The Company may redeem the August 2024 USD Notes at any time, and from time to time, in whole or in part, at the Company's option at the applicable redemption price. The offering provided gross proceeds of $3.5 billion, offset by $20 million in discount and closing costs related to the offering.</w:t>
      </w:r>
    </w:p>
    <w:p>
      <w:pPr>
        <w:spacing w:after="0" w:line="6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On March 1, 2024, the Company issued $500 million 4.875% Senior Notes due 2029, $500 million 4.95% Senior Notes due 2031, $750 million 5.00% Senior Notes due 2035, $1.75 billion 5.25% Senior Notes due 2054, and $650 million 5.35% Senior Notes due 2064 (collectively, the March 2024 USD Notes). The Company may redeem the March 2024 USD Notes at any time, and from time to time, in whole or in part, at the Company's option at the applicable redemption price. The offering provided gross proceeds of $4.2 billion, offset by $44 million in discount and closing costs related to the offering.</w:t>
      </w:r>
    </w:p>
    <w:p>
      <w:pPr>
        <w:spacing w:after="0" w:line="7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On March 1, 2024, the Company issued €750 million 3.375% Senior Notes due 2030 and €750 million 3.75% Senior Notes due 2036 (collectively, the 2024 Euro Notes). The Company may redeem the 2024 Euro Notes at any time, and from time to time, in whole or in part, at the Company's option at the applicable redemption price. The offering provided gross proceeds of $1.6 billion, offset by $21 million in discount and closing costs related to the offering.</w:t>
      </w:r>
    </w:p>
    <w:p>
      <w:pPr>
        <w:spacing w:after="0" w:line="7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August 2024 USD Notes, March 2024 USD Notes, and 2024 Euro Notes are senior unsecured and unsubordinated obligations of the Company and rank equally with each other and with all of the Company's existing and future senior unsecured debt and senior to all of the Company's subordinated debt. The Company intends to use the proceeds from the issuances for general corporate purposes, which may include, among other things, the repayment of outstanding debt and financing of possible acquisitions or business expansion.</w:t>
      </w:r>
    </w:p>
    <w:p>
      <w:pPr>
        <w:spacing w:after="0" w:line="6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On May 17, 2023, the Company issued $750 million 4.25% Senior Notes due 2029 and $1.0 billion 4.50% Senior Notes due 2034 (collectively, the 2023 USD Notes). The Company may redeem the 2023 USD Notes at any time, and from time to time, in whole or in part, at the Company's option at the applicable redemption price. The offering provided gross proceeds of $1.8 billion, offset by $20 million in discount and closing costs related to the offering.</w:t>
      </w:r>
    </w:p>
    <w:p>
      <w:pPr>
        <w:spacing w:after="0" w:line="5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On May 17, 2023, the Company issued €650 million 3.50% Senior Notes due 2027 and €500 million 3.75% Senior Notes due 2032 (collectively, the 2023 Euro Notes). The Company may redeem the 2023 Euro Notes at any time, and from time to time, in whole or in part, at the Company's option at the applicable redemption price. The offering provided gross proceeds of $1.2 billion, offset by $12 million in discount and closing costs related to the offering.</w:t>
      </w:r>
    </w:p>
    <w:p>
      <w:pPr>
        <w:spacing w:after="0" w:line="70"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2023 USD Notes and 2023 Euro Notes are senior unsecured and unsubordinated obligations of the Company and rank equally with each other and with all of the Company's existing and future senior unsecured debt and senior to all of the Company's subordinated debt. The Company intends to use the proceeds from the issuances for the repayment of commercial paper and general corporate purposes.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Term Loan Agreements</w:t>
      </w:r>
    </w:p>
    <w:p>
      <w:pPr>
        <w:spacing w:after="0" w:line="21"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On August 12, 2024, the Company entered into a Fixed Rate Term Loan Credit Agreement (the Fixed Rate Term Loan Credit Agreement). The Fixed Rate Term Loan Credit Agreement provides for term loans in an aggregate principal amount of $1.0 billion at an interest rate of 4.37% and is maintained for general corporate purposes. Amounts borrowed under the Fixed Rate Term Loan Credit Agreement are required to be repaid no later than August 12, 2027, unless the Fixed Rate Term Loan Credit Agreement is terminated earlier pursuant to its terms. Amounts borrowed under the Fixed Rate Term Loan Credit Agreement may be repaid at the Company’s election at any time, and from time to time, in whole or in part. Prior to August 12, 2026, principal payments in respect of the term loans will be subject to a make-whole premium, not to exceed 101% of the aggregate principal amount of the term loans to be prepaid. As of December 31, 2024, there were $1.0 billion of borrowings outstanding under the Fixed Rate Term Loan Credit Agreement.</w:t>
      </w:r>
    </w:p>
    <w:p>
      <w:pPr>
        <w:spacing w:after="0" w:line="200" w:lineRule="exact"/>
        <w:rPr>
          <w:sz w:val="20"/>
          <w:szCs w:val="20"/>
          <w:color w:val="auto"/>
        </w:rPr>
      </w:pPr>
    </w:p>
    <w:p>
      <w:pPr>
        <w:spacing w:after="0" w:line="210" w:lineRule="exact"/>
        <w:rPr>
          <w:sz w:val="20"/>
          <w:szCs w:val="20"/>
          <w:color w:val="auto"/>
        </w:rPr>
      </w:pPr>
    </w:p>
    <w:p>
      <w:pPr>
        <w:ind w:left="400" w:hanging="392"/>
        <w:spacing w:after="0"/>
        <w:tabs>
          <w:tab w:leader="none" w:pos="400" w:val="left"/>
        </w:tabs>
        <w:numPr>
          <w:ilvl w:val="0"/>
          <w:numId w:val="138"/>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81" w:name="page82"/>
    <w:bookmarkEnd w:id="81"/>
    <w:p>
      <w:pPr>
        <w:ind w:left="20"/>
        <w:spacing w:after="0"/>
        <w:tabs>
          <w:tab w:leader="none" w:pos="784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FINANCIAL STATEMENTS AND SUPPLEMENTARY DATA</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29"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On May 13, 2024, an affiliate of the Company (the borrower) entered into a Term Loan Facility Agreement (the Euro Term Loan Credit Agreement) that provides for term loans in an aggregate principal amount of up to €210 million at a variable interest rate of EURIBOR plus 60 basis points. Amounts borrowed under the Euro Term Loan Credit Agreement were used to fund the voluntary tender offer of Civitanavi Systems S.p.A. in Italy (together with certain fees and expenses related thereto) and are required to be repaid no later than August 16, 2026. Amounts borrowed under the Euro Term Loan Credit Agreement may be repaid at the borrower’s election at any time, and from time to time, in whole or in part. As of December 31, 2024, there were €196 million ($204 million) of borrowings outstanding under the Euro Term Loan Credit Agreement. These outstanding borrowings are included within the Other (including finance leases) line item in the table above.</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Revolving Credit Agreements</w:t>
      </w:r>
    </w:p>
    <w:p>
      <w:pPr>
        <w:spacing w:after="0" w:line="21"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On July 2, 2024, the Company entered into a $1.5 billion second 364-day credit agreement (the Second 364-day Credit Agreement). On August 12, 2024, the Company terminated the commitments under its Second 364-day Credit Agreement. The Second 364-Day Credit Agreement was maintained for general corporate purposes and was provided on terms that are essentially identical to those of the Company's existing 364-day credit agreement. There were no borrowings under the Second 364-day Credit Agreement prior to its termination.</w:t>
      </w:r>
    </w:p>
    <w:p>
      <w:pPr>
        <w:spacing w:after="0" w:line="84"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On March 18, 2024, the Company entered into a $1.5 billion 364-day credit agreement (the 364-Day Credit Agreement) and a $4.0 billion amended and restated five-year credit agreement (the Five-Year Credit Agreement). The 364-Day Credit Agreement replaced the $1.5 billion 364-day credit agreement dated as of March 20, 2023, which was terminated in accordance with its terms effective March 18, 2024. Amounts borrowed under the 364-Day Credit Agreement are required to be repaid no later than March 17, 2025, unless (i) Honeywell elects to convert all then outstanding amounts into a term loan, upon which such amounts shall be repaid in full on March 17, 2026, or (ii) the 364-Day Credit Agreement is terminated earlier pursuant to its terms. The Five-Year Credit Agreement amended and restated the previously reported $4.0 billion amended and restated five-year credit agreement dated as of March 20, 2023. Commitments under the Five-Year Credit Agreement can be increased pursuant to the terms of the Five-Year Credit Agreement to an aggregate amount not to exceed $4.5 billion. The 364-Day Credit Agreement and Five-Year Credit Agreement are maintained for general corporate purposes. As of December 31, 2024, there were no outstanding borrowings under the 364-Day Credit Agreement or Five-Year Credit Agreement.</w:t>
      </w:r>
    </w:p>
    <w:p>
      <w:pPr>
        <w:spacing w:after="0" w:line="240" w:lineRule="exact"/>
        <w:rPr>
          <w:sz w:val="20"/>
          <w:szCs w:val="20"/>
          <w:color w:val="auto"/>
        </w:rPr>
      </w:pPr>
    </w:p>
    <w:p>
      <w:pPr>
        <w:spacing w:after="0"/>
        <w:rPr>
          <w:sz w:val="20"/>
          <w:szCs w:val="20"/>
          <w:color w:val="auto"/>
        </w:rPr>
      </w:pPr>
      <w:r>
        <w:rPr>
          <w:rFonts w:ascii="Arial" w:cs="Arial" w:eastAsia="Arial" w:hAnsi="Arial"/>
          <w:sz w:val="29"/>
          <w:szCs w:val="29"/>
          <w:color w:val="D7282F"/>
        </w:rPr>
        <w:t>NOTE 10. LEASES</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A significant portion of the Company's operating and finance lease portfolio includes corporate offices, research and development facilities, manufacturing sites, IT equipment, and automobiles. The majority of the Company's leases have remaining lease terms of one year to 20 years, some of which include options to extend the leases for five years or more. Operating lease ROU assets are included in Other assets. The current portion of operating lease liabilities are included in Accrued liabilities, and the non-current portion of operating lease liabilities are included in Other liabilities in the Consolidated Balance Sheet. Finance lease ROU assets are included in Property, plant and equipment—net. The current portion of finance lease liabilities are included in Current maturities of long-term debt, and the non-current portion of finance lease liabilities are included in Long-term debt in the Consolidated Balance Sheet.</w:t>
      </w:r>
    </w:p>
    <w:p>
      <w:pPr>
        <w:spacing w:after="0" w:line="280"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A portion of the Company's real estate leases are generally subject to annual changes in the Consumer Price Index (CPI). The changes to the CPI are treated as variable lease payments and recognized in the period in which the obligation for those payments was incurred. In addition, a subset of the Company's automobile leases are considered variable. The variable lease payments for such automobile leases are based on actual mileage incurred at the stated contractual rate and recognized in the period in which the obligation for those payments are incurred.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540" w:type="dxa"/>
            <w:vAlign w:val="bottom"/>
          </w:tcPr>
          <w:p>
            <w:pPr>
              <w:spacing w:after="0"/>
              <w:rPr>
                <w:sz w:val="17"/>
                <w:szCs w:val="17"/>
                <w:color w:val="auto"/>
              </w:rPr>
            </w:pPr>
          </w:p>
        </w:tc>
        <w:tc>
          <w:tcPr>
            <w:tcW w:w="740" w:type="dxa"/>
            <w:vAlign w:val="bottom"/>
            <w:tcBorders>
              <w:bottom w:val="single" w:sz="8" w:color="D7282F"/>
            </w:tcBorders>
          </w:tcPr>
          <w:p>
            <w:pPr>
              <w:spacing w:after="0"/>
              <w:rPr>
                <w:sz w:val="17"/>
                <w:szCs w:val="17"/>
                <w:color w:val="auto"/>
              </w:rPr>
            </w:pPr>
          </w:p>
        </w:tc>
        <w:tc>
          <w:tcPr>
            <w:tcW w:w="2140" w:type="dxa"/>
            <w:vAlign w:val="bottom"/>
            <w:tcBorders>
              <w:bottom w:val="single" w:sz="8" w:color="D7282F"/>
            </w:tcBorders>
            <w:gridSpan w:val="4"/>
          </w:tcPr>
          <w:p>
            <w:pPr>
              <w:jc w:val="right"/>
              <w:ind w:right="28"/>
              <w:spacing w:after="0"/>
              <w:rPr>
                <w:sz w:val="20"/>
                <w:szCs w:val="20"/>
                <w:color w:val="auto"/>
              </w:rPr>
            </w:pPr>
            <w:r>
              <w:rPr>
                <w:rFonts w:ascii="Arial" w:cs="Arial" w:eastAsia="Arial" w:hAnsi="Arial"/>
                <w:sz w:val="14"/>
                <w:szCs w:val="14"/>
                <w:b w:val="1"/>
                <w:bCs w:val="1"/>
                <w:color w:val="auto"/>
              </w:rPr>
              <w:t>Years Ended December 31,</w:t>
            </w:r>
          </w:p>
        </w:tc>
        <w:tc>
          <w:tcPr>
            <w:tcW w:w="820" w:type="dxa"/>
            <w:vAlign w:val="bottom"/>
            <w:tcBorders>
              <w:bottom w:val="single" w:sz="8" w:color="D7282F"/>
            </w:tcBorders>
          </w:tcPr>
          <w:p>
            <w:pPr>
              <w:spacing w:after="0"/>
              <w:rPr>
                <w:sz w:val="17"/>
                <w:szCs w:val="17"/>
                <w:color w:val="auto"/>
              </w:rPr>
            </w:pPr>
          </w:p>
        </w:tc>
      </w:tr>
      <w:tr>
        <w:trPr>
          <w:trHeight w:val="196"/>
        </w:trPr>
        <w:tc>
          <w:tcPr>
            <w:tcW w:w="754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2024</w:t>
            </w:r>
          </w:p>
        </w:tc>
        <w:tc>
          <w:tcPr>
            <w:tcW w:w="440" w:type="dxa"/>
            <w:vAlign w:val="bottom"/>
            <w:tcBorders>
              <w:bottom w:val="single" w:sz="8" w:color="D7282F"/>
            </w:tcBorders>
          </w:tcPr>
          <w:p>
            <w:pPr>
              <w:spacing w:after="0"/>
              <w:rPr>
                <w:sz w:val="17"/>
                <w:szCs w:val="17"/>
                <w:color w:val="auto"/>
              </w:rPr>
            </w:pPr>
          </w:p>
        </w:tc>
        <w:tc>
          <w:tcPr>
            <w:tcW w:w="36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tcPr>
          <w:p>
            <w:pPr>
              <w:jc w:val="right"/>
              <w:ind w:right="388"/>
              <w:spacing w:after="0"/>
              <w:rPr>
                <w:sz w:val="20"/>
                <w:szCs w:val="20"/>
                <w:color w:val="auto"/>
              </w:rPr>
            </w:pPr>
            <w:r>
              <w:rPr>
                <w:rFonts w:ascii="Arial" w:cs="Arial" w:eastAsia="Arial" w:hAnsi="Arial"/>
                <w:sz w:val="14"/>
                <w:szCs w:val="14"/>
                <w:b w:val="1"/>
                <w:bCs w:val="1"/>
                <w:color w:val="auto"/>
              </w:rPr>
              <w:t>2023</w:t>
            </w:r>
          </w:p>
        </w:tc>
        <w:tc>
          <w:tcPr>
            <w:tcW w:w="400" w:type="dxa"/>
            <w:vAlign w:val="bottom"/>
            <w:tcBorders>
              <w:bottom w:val="single" w:sz="8" w:color="D7282F"/>
            </w:tcBorders>
          </w:tcPr>
          <w:p>
            <w:pPr>
              <w:spacing w:after="0"/>
              <w:rPr>
                <w:sz w:val="17"/>
                <w:szCs w:val="17"/>
                <w:color w:val="auto"/>
              </w:rPr>
            </w:pPr>
          </w:p>
        </w:tc>
        <w:tc>
          <w:tcPr>
            <w:tcW w:w="820" w:type="dxa"/>
            <w:vAlign w:val="bottom"/>
            <w:tcBorders>
              <w:bottom w:val="single" w:sz="8" w:color="D7282F"/>
            </w:tcBorders>
          </w:tcPr>
          <w:p>
            <w:pPr>
              <w:jc w:val="right"/>
              <w:ind w:right="308"/>
              <w:spacing w:after="0"/>
              <w:rPr>
                <w:sz w:val="20"/>
                <w:szCs w:val="20"/>
                <w:color w:val="auto"/>
              </w:rPr>
            </w:pPr>
            <w:r>
              <w:rPr>
                <w:rFonts w:ascii="Arial" w:cs="Arial" w:eastAsia="Arial" w:hAnsi="Arial"/>
                <w:sz w:val="14"/>
                <w:szCs w:val="14"/>
                <w:b w:val="1"/>
                <w:bCs w:val="1"/>
                <w:color w:val="auto"/>
              </w:rPr>
              <w:t>2022</w:t>
            </w:r>
          </w:p>
        </w:tc>
      </w:tr>
      <w:tr>
        <w:trPr>
          <w:trHeight w:val="193"/>
        </w:trPr>
        <w:tc>
          <w:tcPr>
            <w:tcW w:w="75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Operating lease cost</w:t>
            </w:r>
          </w:p>
        </w:tc>
        <w:tc>
          <w:tcPr>
            <w:tcW w:w="740" w:type="dxa"/>
            <w:vAlign w:val="bottom"/>
            <w:tcBorders>
              <w:bottom w:val="single" w:sz="8" w:color="61656A"/>
            </w:tcBorders>
          </w:tcPr>
          <w:p>
            <w:pPr>
              <w:jc w:val="right"/>
              <w:ind w:right="56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267</w:t>
            </w:r>
          </w:p>
        </w:tc>
        <w:tc>
          <w:tcPr>
            <w:tcW w:w="36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239</w:t>
            </w:r>
          </w:p>
        </w:tc>
        <w:tc>
          <w:tcPr>
            <w:tcW w:w="40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224</w:t>
            </w:r>
          </w:p>
        </w:tc>
      </w:tr>
      <w:tr>
        <w:trPr>
          <w:trHeight w:val="196"/>
        </w:trPr>
        <w:tc>
          <w:tcPr>
            <w:tcW w:w="75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Variable lease cost</w:t>
            </w:r>
          </w:p>
        </w:tc>
        <w:tc>
          <w:tcPr>
            <w:tcW w:w="740" w:type="dxa"/>
            <w:vAlign w:val="bottom"/>
            <w:tcBorders>
              <w:bottom w:val="single" w:sz="8" w:color="61656A"/>
            </w:tcBorders>
          </w:tcPr>
          <w:p>
            <w:pPr>
              <w:spacing w:after="0"/>
              <w:rPr>
                <w:sz w:val="17"/>
                <w:szCs w:val="17"/>
                <w:color w:val="auto"/>
              </w:rPr>
            </w:pPr>
          </w:p>
        </w:tc>
        <w:tc>
          <w:tcPr>
            <w:tcW w:w="4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7</w:t>
            </w:r>
          </w:p>
        </w:tc>
        <w:tc>
          <w:tcPr>
            <w:tcW w:w="360" w:type="dxa"/>
            <w:vAlign w:val="bottom"/>
            <w:tcBorders>
              <w:bottom w:val="single" w:sz="8" w:color="61656A"/>
            </w:tcBorders>
          </w:tcPr>
          <w:p>
            <w:pPr>
              <w:spacing w:after="0"/>
              <w:rPr>
                <w:sz w:val="17"/>
                <w:szCs w:val="17"/>
                <w:color w:val="auto"/>
              </w:rPr>
            </w:pPr>
          </w:p>
        </w:tc>
        <w:tc>
          <w:tcPr>
            <w:tcW w:w="9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4</w:t>
            </w:r>
          </w:p>
        </w:tc>
        <w:tc>
          <w:tcPr>
            <w:tcW w:w="400" w:type="dxa"/>
            <w:vAlign w:val="bottom"/>
            <w:tcBorders>
              <w:bottom w:val="single" w:sz="8" w:color="61656A"/>
            </w:tcBorders>
          </w:tcPr>
          <w:p>
            <w:pPr>
              <w:spacing w:after="0"/>
              <w:rPr>
                <w:sz w:val="17"/>
                <w:szCs w:val="17"/>
                <w:color w:val="auto"/>
              </w:rPr>
            </w:pPr>
          </w:p>
        </w:tc>
        <w:tc>
          <w:tcPr>
            <w:tcW w:w="8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8</w:t>
            </w:r>
          </w:p>
        </w:tc>
      </w:tr>
      <w:tr>
        <w:trPr>
          <w:trHeight w:val="196"/>
        </w:trPr>
        <w:tc>
          <w:tcPr>
            <w:tcW w:w="75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Short-term lease cost</w:t>
            </w:r>
          </w:p>
        </w:tc>
        <w:tc>
          <w:tcPr>
            <w:tcW w:w="740" w:type="dxa"/>
            <w:vAlign w:val="bottom"/>
            <w:tcBorders>
              <w:bottom w:val="single" w:sz="8" w:color="61656A"/>
            </w:tcBorders>
          </w:tcPr>
          <w:p>
            <w:pPr>
              <w:spacing w:after="0"/>
              <w:rPr>
                <w:sz w:val="17"/>
                <w:szCs w:val="17"/>
                <w:color w:val="auto"/>
              </w:rPr>
            </w:pPr>
          </w:p>
        </w:tc>
        <w:tc>
          <w:tcPr>
            <w:tcW w:w="4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2</w:t>
            </w:r>
          </w:p>
        </w:tc>
        <w:tc>
          <w:tcPr>
            <w:tcW w:w="360" w:type="dxa"/>
            <w:vAlign w:val="bottom"/>
            <w:tcBorders>
              <w:bottom w:val="single" w:sz="8" w:color="61656A"/>
            </w:tcBorders>
          </w:tcPr>
          <w:p>
            <w:pPr>
              <w:spacing w:after="0"/>
              <w:rPr>
                <w:sz w:val="17"/>
                <w:szCs w:val="17"/>
                <w:color w:val="auto"/>
              </w:rPr>
            </w:pPr>
          </w:p>
        </w:tc>
        <w:tc>
          <w:tcPr>
            <w:tcW w:w="9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13</w:t>
            </w:r>
          </w:p>
        </w:tc>
        <w:tc>
          <w:tcPr>
            <w:tcW w:w="400" w:type="dxa"/>
            <w:vAlign w:val="bottom"/>
            <w:tcBorders>
              <w:bottom w:val="single" w:sz="8" w:color="61656A"/>
            </w:tcBorders>
          </w:tcPr>
          <w:p>
            <w:pPr>
              <w:spacing w:after="0"/>
              <w:rPr>
                <w:sz w:val="17"/>
                <w:szCs w:val="17"/>
                <w:color w:val="auto"/>
              </w:rPr>
            </w:pPr>
          </w:p>
        </w:tc>
        <w:tc>
          <w:tcPr>
            <w:tcW w:w="8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18</w:t>
            </w:r>
          </w:p>
        </w:tc>
      </w:tr>
      <w:tr>
        <w:trPr>
          <w:trHeight w:val="199"/>
        </w:trPr>
        <w:tc>
          <w:tcPr>
            <w:tcW w:w="754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Finance lease cost</w:t>
            </w:r>
          </w:p>
        </w:tc>
        <w:tc>
          <w:tcPr>
            <w:tcW w:w="740" w:type="dxa"/>
            <w:vAlign w:val="bottom"/>
            <w:tcBorders>
              <w:bottom w:val="single" w:sz="8" w:color="61656A"/>
            </w:tcBorders>
          </w:tcPr>
          <w:p>
            <w:pPr>
              <w:spacing w:after="0"/>
              <w:rPr>
                <w:sz w:val="17"/>
                <w:szCs w:val="17"/>
                <w:color w:val="auto"/>
              </w:rPr>
            </w:pPr>
          </w:p>
        </w:tc>
        <w:tc>
          <w:tcPr>
            <w:tcW w:w="440" w:type="dxa"/>
            <w:vAlign w:val="bottom"/>
            <w:tcBorders>
              <w:bottom w:val="single" w:sz="8" w:color="61656A"/>
            </w:tcBorders>
          </w:tcPr>
          <w:p>
            <w:pPr>
              <w:spacing w:after="0"/>
              <w:rPr>
                <w:sz w:val="17"/>
                <w:szCs w:val="17"/>
                <w:color w:val="auto"/>
              </w:rPr>
            </w:pPr>
          </w:p>
        </w:tc>
        <w:tc>
          <w:tcPr>
            <w:tcW w:w="360" w:type="dxa"/>
            <w:vAlign w:val="bottom"/>
            <w:tcBorders>
              <w:bottom w:val="single" w:sz="8" w:color="61656A"/>
            </w:tcBorders>
          </w:tcPr>
          <w:p>
            <w:pPr>
              <w:spacing w:after="0"/>
              <w:rPr>
                <w:sz w:val="17"/>
                <w:szCs w:val="17"/>
                <w:color w:val="auto"/>
              </w:rPr>
            </w:pPr>
          </w:p>
        </w:tc>
        <w:tc>
          <w:tcPr>
            <w:tcW w:w="940" w:type="dxa"/>
            <w:vAlign w:val="bottom"/>
            <w:tcBorders>
              <w:bottom w:val="single" w:sz="8" w:color="61656A"/>
            </w:tcBorders>
          </w:tcPr>
          <w:p>
            <w:pPr>
              <w:spacing w:after="0"/>
              <w:rPr>
                <w:sz w:val="17"/>
                <w:szCs w:val="17"/>
                <w:color w:val="auto"/>
              </w:rPr>
            </w:pPr>
          </w:p>
        </w:tc>
        <w:tc>
          <w:tcPr>
            <w:tcW w:w="400" w:type="dxa"/>
            <w:vAlign w:val="bottom"/>
            <w:tcBorders>
              <w:bottom w:val="single" w:sz="8" w:color="61656A"/>
            </w:tcBorders>
          </w:tcPr>
          <w:p>
            <w:pPr>
              <w:spacing w:after="0"/>
              <w:rPr>
                <w:sz w:val="17"/>
                <w:szCs w:val="17"/>
                <w:color w:val="auto"/>
              </w:rPr>
            </w:pPr>
          </w:p>
        </w:tc>
        <w:tc>
          <w:tcPr>
            <w:tcW w:w="820" w:type="dxa"/>
            <w:vAlign w:val="bottom"/>
            <w:tcBorders>
              <w:bottom w:val="single" w:sz="8" w:color="61656A"/>
            </w:tcBorders>
          </w:tcPr>
          <w:p>
            <w:pPr>
              <w:spacing w:after="0"/>
              <w:rPr>
                <w:sz w:val="17"/>
                <w:szCs w:val="17"/>
                <w:color w:val="auto"/>
              </w:rPr>
            </w:pPr>
          </w:p>
        </w:tc>
      </w:tr>
      <w:tr>
        <w:trPr>
          <w:trHeight w:val="193"/>
        </w:trPr>
        <w:tc>
          <w:tcPr>
            <w:tcW w:w="754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Amortization of right-of-use assets</w:t>
            </w:r>
          </w:p>
        </w:tc>
        <w:tc>
          <w:tcPr>
            <w:tcW w:w="740" w:type="dxa"/>
            <w:vAlign w:val="bottom"/>
            <w:tcBorders>
              <w:bottom w:val="single" w:sz="8" w:color="61656A"/>
            </w:tcBorders>
          </w:tcPr>
          <w:p>
            <w:pPr>
              <w:spacing w:after="0"/>
              <w:rPr>
                <w:sz w:val="16"/>
                <w:szCs w:val="16"/>
                <w:color w:val="auto"/>
              </w:rPr>
            </w:pPr>
          </w:p>
        </w:tc>
        <w:tc>
          <w:tcPr>
            <w:tcW w:w="4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93</w:t>
            </w:r>
          </w:p>
        </w:tc>
        <w:tc>
          <w:tcPr>
            <w:tcW w:w="36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74</w:t>
            </w:r>
          </w:p>
        </w:tc>
        <w:tc>
          <w:tcPr>
            <w:tcW w:w="400" w:type="dxa"/>
            <w:vAlign w:val="bottom"/>
            <w:tcBorders>
              <w:bottom w:val="single" w:sz="8" w:color="61656A"/>
            </w:tcBorders>
          </w:tcPr>
          <w:p>
            <w:pPr>
              <w:spacing w:after="0"/>
              <w:rPr>
                <w:sz w:val="16"/>
                <w:szCs w:val="16"/>
                <w:color w:val="auto"/>
              </w:rPr>
            </w:pPr>
          </w:p>
        </w:tc>
        <w:tc>
          <w:tcPr>
            <w:tcW w:w="8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72</w:t>
            </w:r>
          </w:p>
        </w:tc>
      </w:tr>
      <w:tr>
        <w:trPr>
          <w:trHeight w:val="196"/>
        </w:trPr>
        <w:tc>
          <w:tcPr>
            <w:tcW w:w="754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Interest on lease liability</w:t>
            </w:r>
          </w:p>
        </w:tc>
        <w:tc>
          <w:tcPr>
            <w:tcW w:w="740" w:type="dxa"/>
            <w:vAlign w:val="bottom"/>
            <w:tcBorders>
              <w:bottom w:val="single" w:sz="8" w:color="D7282F"/>
            </w:tcBorders>
          </w:tcPr>
          <w:p>
            <w:pPr>
              <w:spacing w:after="0"/>
              <w:rPr>
                <w:sz w:val="17"/>
                <w:szCs w:val="17"/>
                <w:color w:val="auto"/>
              </w:rPr>
            </w:pPr>
          </w:p>
        </w:tc>
        <w:tc>
          <w:tcPr>
            <w:tcW w:w="4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15</w:t>
            </w:r>
          </w:p>
        </w:tc>
        <w:tc>
          <w:tcPr>
            <w:tcW w:w="36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19</w:t>
            </w:r>
          </w:p>
        </w:tc>
        <w:tc>
          <w:tcPr>
            <w:tcW w:w="400" w:type="dxa"/>
            <w:vAlign w:val="bottom"/>
            <w:tcBorders>
              <w:bottom w:val="single" w:sz="8" w:color="D7282F"/>
            </w:tcBorders>
          </w:tcPr>
          <w:p>
            <w:pPr>
              <w:spacing w:after="0"/>
              <w:rPr>
                <w:sz w:val="17"/>
                <w:szCs w:val="17"/>
                <w:color w:val="auto"/>
              </w:rPr>
            </w:pPr>
          </w:p>
        </w:tc>
        <w:tc>
          <w:tcPr>
            <w:tcW w:w="8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21</w:t>
            </w:r>
          </w:p>
        </w:tc>
      </w:tr>
      <w:tr>
        <w:trPr>
          <w:trHeight w:val="199"/>
        </w:trPr>
        <w:tc>
          <w:tcPr>
            <w:tcW w:w="754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finance lease cost</w:t>
            </w:r>
          </w:p>
        </w:tc>
        <w:tc>
          <w:tcPr>
            <w:tcW w:w="740" w:type="dxa"/>
            <w:vAlign w:val="bottom"/>
            <w:tcBorders>
              <w:bottom w:val="single" w:sz="8" w:color="D7282F"/>
            </w:tcBorders>
          </w:tcPr>
          <w:p>
            <w:pPr>
              <w:spacing w:after="0"/>
              <w:rPr>
                <w:sz w:val="17"/>
                <w:szCs w:val="17"/>
                <w:color w:val="auto"/>
              </w:rPr>
            </w:pPr>
          </w:p>
        </w:tc>
        <w:tc>
          <w:tcPr>
            <w:tcW w:w="4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108</w:t>
            </w:r>
          </w:p>
        </w:tc>
        <w:tc>
          <w:tcPr>
            <w:tcW w:w="36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93</w:t>
            </w:r>
          </w:p>
        </w:tc>
        <w:tc>
          <w:tcPr>
            <w:tcW w:w="400" w:type="dxa"/>
            <w:vAlign w:val="bottom"/>
            <w:tcBorders>
              <w:bottom w:val="single" w:sz="8" w:color="D7282F"/>
            </w:tcBorders>
          </w:tcPr>
          <w:p>
            <w:pPr>
              <w:spacing w:after="0"/>
              <w:rPr>
                <w:sz w:val="17"/>
                <w:szCs w:val="17"/>
                <w:color w:val="auto"/>
              </w:rPr>
            </w:pPr>
          </w:p>
        </w:tc>
        <w:tc>
          <w:tcPr>
            <w:tcW w:w="8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93</w:t>
            </w:r>
          </w:p>
        </w:tc>
      </w:tr>
      <w:tr>
        <w:trPr>
          <w:trHeight w:val="196"/>
        </w:trPr>
        <w:tc>
          <w:tcPr>
            <w:tcW w:w="7540" w:type="dxa"/>
            <w:vAlign w:val="bottom"/>
            <w:tcBorders>
              <w:bottom w:val="single" w:sz="8" w:color="D7282F"/>
            </w:tcBorders>
          </w:tcPr>
          <w:p>
            <w:pPr>
              <w:ind w:left="360"/>
              <w:spacing w:after="0"/>
              <w:rPr>
                <w:sz w:val="20"/>
                <w:szCs w:val="20"/>
                <w:color w:val="auto"/>
              </w:rPr>
            </w:pPr>
            <w:r>
              <w:rPr>
                <w:rFonts w:ascii="Arial" w:cs="Arial" w:eastAsia="Arial" w:hAnsi="Arial"/>
                <w:sz w:val="14"/>
                <w:szCs w:val="14"/>
                <w:b w:val="1"/>
                <w:bCs w:val="1"/>
                <w:color w:val="auto"/>
              </w:rPr>
              <w:t>Total lease cost</w:t>
            </w:r>
          </w:p>
        </w:tc>
        <w:tc>
          <w:tcPr>
            <w:tcW w:w="740" w:type="dxa"/>
            <w:vAlign w:val="bottom"/>
            <w:tcBorders>
              <w:bottom w:val="single" w:sz="8" w:color="D7282F"/>
            </w:tcBorders>
          </w:tcPr>
          <w:p>
            <w:pPr>
              <w:jc w:val="right"/>
              <w:ind w:right="568"/>
              <w:spacing w:after="0"/>
              <w:rPr>
                <w:sz w:val="20"/>
                <w:szCs w:val="20"/>
                <w:color w:val="auto"/>
              </w:rPr>
            </w:pPr>
            <w:r>
              <w:rPr>
                <w:rFonts w:ascii="Arial" w:cs="Arial" w:eastAsia="Arial" w:hAnsi="Arial"/>
                <w:sz w:val="14"/>
                <w:szCs w:val="14"/>
                <w:b w:val="1"/>
                <w:bCs w:val="1"/>
                <w:color w:val="auto"/>
              </w:rPr>
              <w:t>$</w:t>
            </w:r>
          </w:p>
        </w:tc>
        <w:tc>
          <w:tcPr>
            <w:tcW w:w="4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384</w:t>
            </w:r>
          </w:p>
        </w:tc>
        <w:tc>
          <w:tcPr>
            <w:tcW w:w="3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349</w:t>
            </w:r>
          </w:p>
        </w:tc>
        <w:tc>
          <w:tcPr>
            <w:tcW w:w="4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343</w:t>
            </w:r>
          </w:p>
        </w:tc>
      </w:tr>
    </w:tbl>
    <w:p>
      <w:pPr>
        <w:spacing w:after="0" w:line="200" w:lineRule="exact"/>
        <w:rPr>
          <w:sz w:val="20"/>
          <w:szCs w:val="20"/>
          <w:color w:val="auto"/>
        </w:rPr>
      </w:pPr>
    </w:p>
    <w:p>
      <w:pPr>
        <w:spacing w:after="0" w:line="30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D7282F"/>
        </w:rPr>
        <w:t>80</w:t>
      </w:r>
      <w:r>
        <w:rPr>
          <w:sz w:val="20"/>
          <w:szCs w:val="20"/>
          <w:color w:val="auto"/>
        </w:rPr>
        <w:tab/>
      </w: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82" w:name="page83"/>
    <w:bookmarkEnd w:id="82"/>
    <w:p>
      <w:pPr>
        <w:ind w:left="20"/>
        <w:spacing w:after="0"/>
        <w:tabs>
          <w:tab w:leader="none" w:pos="784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FINANCIAL STATEMENTS AND SUPPLEMENTARY DATA</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Supplemental cash flow information related to leases was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540" w:type="dxa"/>
            <w:vAlign w:val="bottom"/>
          </w:tcPr>
          <w:p>
            <w:pPr>
              <w:spacing w:after="0"/>
              <w:rPr>
                <w:sz w:val="17"/>
                <w:szCs w:val="17"/>
                <w:color w:val="auto"/>
              </w:rPr>
            </w:pPr>
          </w:p>
        </w:tc>
        <w:tc>
          <w:tcPr>
            <w:tcW w:w="740" w:type="dxa"/>
            <w:vAlign w:val="bottom"/>
            <w:tcBorders>
              <w:bottom w:val="single" w:sz="8" w:color="D7282F"/>
            </w:tcBorders>
          </w:tcPr>
          <w:p>
            <w:pPr>
              <w:spacing w:after="0"/>
              <w:rPr>
                <w:sz w:val="17"/>
                <w:szCs w:val="17"/>
                <w:color w:val="auto"/>
              </w:rPr>
            </w:pPr>
          </w:p>
        </w:tc>
        <w:tc>
          <w:tcPr>
            <w:tcW w:w="2140" w:type="dxa"/>
            <w:vAlign w:val="bottom"/>
            <w:tcBorders>
              <w:bottom w:val="single" w:sz="8" w:color="D7282F"/>
            </w:tcBorders>
            <w:gridSpan w:val="4"/>
          </w:tcPr>
          <w:p>
            <w:pPr>
              <w:jc w:val="right"/>
              <w:ind w:right="28"/>
              <w:spacing w:after="0"/>
              <w:rPr>
                <w:sz w:val="20"/>
                <w:szCs w:val="20"/>
                <w:color w:val="auto"/>
              </w:rPr>
            </w:pPr>
            <w:r>
              <w:rPr>
                <w:rFonts w:ascii="Arial" w:cs="Arial" w:eastAsia="Arial" w:hAnsi="Arial"/>
                <w:sz w:val="14"/>
                <w:szCs w:val="14"/>
                <w:b w:val="1"/>
                <w:bCs w:val="1"/>
                <w:color w:val="auto"/>
              </w:rPr>
              <w:t>Years Ended December 31,</w:t>
            </w:r>
          </w:p>
        </w:tc>
        <w:tc>
          <w:tcPr>
            <w:tcW w:w="820" w:type="dxa"/>
            <w:vAlign w:val="bottom"/>
            <w:tcBorders>
              <w:bottom w:val="single" w:sz="8" w:color="D7282F"/>
            </w:tcBorders>
          </w:tcPr>
          <w:p>
            <w:pPr>
              <w:spacing w:after="0"/>
              <w:rPr>
                <w:sz w:val="17"/>
                <w:szCs w:val="17"/>
                <w:color w:val="auto"/>
              </w:rPr>
            </w:pPr>
          </w:p>
        </w:tc>
      </w:tr>
      <w:tr>
        <w:trPr>
          <w:trHeight w:val="196"/>
        </w:trPr>
        <w:tc>
          <w:tcPr>
            <w:tcW w:w="754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2024</w:t>
            </w:r>
          </w:p>
        </w:tc>
        <w:tc>
          <w:tcPr>
            <w:tcW w:w="440" w:type="dxa"/>
            <w:vAlign w:val="bottom"/>
            <w:tcBorders>
              <w:bottom w:val="single" w:sz="8" w:color="D7282F"/>
            </w:tcBorders>
          </w:tcPr>
          <w:p>
            <w:pPr>
              <w:spacing w:after="0"/>
              <w:rPr>
                <w:sz w:val="17"/>
                <w:szCs w:val="17"/>
                <w:color w:val="auto"/>
              </w:rPr>
            </w:pPr>
          </w:p>
        </w:tc>
        <w:tc>
          <w:tcPr>
            <w:tcW w:w="36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tcPr>
          <w:p>
            <w:pPr>
              <w:jc w:val="right"/>
              <w:ind w:right="388"/>
              <w:spacing w:after="0"/>
              <w:rPr>
                <w:sz w:val="20"/>
                <w:szCs w:val="20"/>
                <w:color w:val="auto"/>
              </w:rPr>
            </w:pPr>
            <w:r>
              <w:rPr>
                <w:rFonts w:ascii="Arial" w:cs="Arial" w:eastAsia="Arial" w:hAnsi="Arial"/>
                <w:sz w:val="14"/>
                <w:szCs w:val="14"/>
                <w:b w:val="1"/>
                <w:bCs w:val="1"/>
                <w:color w:val="auto"/>
              </w:rPr>
              <w:t>2023</w:t>
            </w:r>
          </w:p>
        </w:tc>
        <w:tc>
          <w:tcPr>
            <w:tcW w:w="400" w:type="dxa"/>
            <w:vAlign w:val="bottom"/>
            <w:tcBorders>
              <w:bottom w:val="single" w:sz="8" w:color="D7282F"/>
            </w:tcBorders>
          </w:tcPr>
          <w:p>
            <w:pPr>
              <w:spacing w:after="0"/>
              <w:rPr>
                <w:sz w:val="17"/>
                <w:szCs w:val="17"/>
                <w:color w:val="auto"/>
              </w:rPr>
            </w:pPr>
          </w:p>
        </w:tc>
        <w:tc>
          <w:tcPr>
            <w:tcW w:w="820" w:type="dxa"/>
            <w:vAlign w:val="bottom"/>
            <w:tcBorders>
              <w:bottom w:val="single" w:sz="8" w:color="D7282F"/>
            </w:tcBorders>
          </w:tcPr>
          <w:p>
            <w:pPr>
              <w:jc w:val="right"/>
              <w:ind w:right="308"/>
              <w:spacing w:after="0"/>
              <w:rPr>
                <w:sz w:val="20"/>
                <w:szCs w:val="20"/>
                <w:color w:val="auto"/>
              </w:rPr>
            </w:pPr>
            <w:r>
              <w:rPr>
                <w:rFonts w:ascii="Arial" w:cs="Arial" w:eastAsia="Arial" w:hAnsi="Arial"/>
                <w:sz w:val="14"/>
                <w:szCs w:val="14"/>
                <w:b w:val="1"/>
                <w:bCs w:val="1"/>
                <w:color w:val="auto"/>
              </w:rPr>
              <w:t>2022</w:t>
            </w:r>
          </w:p>
        </w:tc>
      </w:tr>
      <w:tr>
        <w:trPr>
          <w:trHeight w:val="196"/>
        </w:trPr>
        <w:tc>
          <w:tcPr>
            <w:tcW w:w="754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Cash paid for amounts included in the measurement of lease liabilities</w:t>
            </w:r>
          </w:p>
        </w:tc>
        <w:tc>
          <w:tcPr>
            <w:tcW w:w="740" w:type="dxa"/>
            <w:vAlign w:val="bottom"/>
            <w:tcBorders>
              <w:bottom w:val="single" w:sz="8" w:color="61656A"/>
            </w:tcBorders>
          </w:tcPr>
          <w:p>
            <w:pPr>
              <w:spacing w:after="0"/>
              <w:rPr>
                <w:sz w:val="17"/>
                <w:szCs w:val="17"/>
                <w:color w:val="auto"/>
              </w:rPr>
            </w:pPr>
          </w:p>
        </w:tc>
        <w:tc>
          <w:tcPr>
            <w:tcW w:w="440" w:type="dxa"/>
            <w:vAlign w:val="bottom"/>
            <w:tcBorders>
              <w:bottom w:val="single" w:sz="8" w:color="61656A"/>
            </w:tcBorders>
          </w:tcPr>
          <w:p>
            <w:pPr>
              <w:spacing w:after="0"/>
              <w:rPr>
                <w:sz w:val="17"/>
                <w:szCs w:val="17"/>
                <w:color w:val="auto"/>
              </w:rPr>
            </w:pPr>
          </w:p>
        </w:tc>
        <w:tc>
          <w:tcPr>
            <w:tcW w:w="360" w:type="dxa"/>
            <w:vAlign w:val="bottom"/>
            <w:tcBorders>
              <w:bottom w:val="single" w:sz="8" w:color="61656A"/>
            </w:tcBorders>
          </w:tcPr>
          <w:p>
            <w:pPr>
              <w:spacing w:after="0"/>
              <w:rPr>
                <w:sz w:val="17"/>
                <w:szCs w:val="17"/>
                <w:color w:val="auto"/>
              </w:rPr>
            </w:pPr>
          </w:p>
        </w:tc>
        <w:tc>
          <w:tcPr>
            <w:tcW w:w="940" w:type="dxa"/>
            <w:vAlign w:val="bottom"/>
            <w:tcBorders>
              <w:bottom w:val="single" w:sz="8" w:color="61656A"/>
            </w:tcBorders>
          </w:tcPr>
          <w:p>
            <w:pPr>
              <w:spacing w:after="0"/>
              <w:rPr>
                <w:sz w:val="17"/>
                <w:szCs w:val="17"/>
                <w:color w:val="auto"/>
              </w:rPr>
            </w:pPr>
          </w:p>
        </w:tc>
        <w:tc>
          <w:tcPr>
            <w:tcW w:w="400" w:type="dxa"/>
            <w:vAlign w:val="bottom"/>
            <w:tcBorders>
              <w:bottom w:val="single" w:sz="8" w:color="61656A"/>
            </w:tcBorders>
          </w:tcPr>
          <w:p>
            <w:pPr>
              <w:spacing w:after="0"/>
              <w:rPr>
                <w:sz w:val="17"/>
                <w:szCs w:val="17"/>
                <w:color w:val="auto"/>
              </w:rPr>
            </w:pPr>
          </w:p>
        </w:tc>
        <w:tc>
          <w:tcPr>
            <w:tcW w:w="820" w:type="dxa"/>
            <w:vAlign w:val="bottom"/>
            <w:tcBorders>
              <w:bottom w:val="single" w:sz="8" w:color="61656A"/>
            </w:tcBorders>
          </w:tcPr>
          <w:p>
            <w:pPr>
              <w:spacing w:after="0"/>
              <w:rPr>
                <w:sz w:val="17"/>
                <w:szCs w:val="17"/>
                <w:color w:val="auto"/>
              </w:rPr>
            </w:pPr>
          </w:p>
        </w:tc>
      </w:tr>
      <w:tr>
        <w:trPr>
          <w:trHeight w:val="193"/>
        </w:trPr>
        <w:tc>
          <w:tcPr>
            <w:tcW w:w="754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Operating cash flows for operating leases</w:t>
            </w:r>
          </w:p>
        </w:tc>
        <w:tc>
          <w:tcPr>
            <w:tcW w:w="740" w:type="dxa"/>
            <w:vAlign w:val="bottom"/>
            <w:tcBorders>
              <w:bottom w:val="single" w:sz="8" w:color="61656A"/>
            </w:tcBorders>
          </w:tcPr>
          <w:p>
            <w:pPr>
              <w:jc w:val="right"/>
              <w:ind w:right="56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257</w:t>
            </w:r>
          </w:p>
        </w:tc>
        <w:tc>
          <w:tcPr>
            <w:tcW w:w="36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237</w:t>
            </w:r>
          </w:p>
        </w:tc>
        <w:tc>
          <w:tcPr>
            <w:tcW w:w="40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225</w:t>
            </w:r>
          </w:p>
        </w:tc>
      </w:tr>
      <w:tr>
        <w:trPr>
          <w:trHeight w:val="196"/>
        </w:trPr>
        <w:tc>
          <w:tcPr>
            <w:tcW w:w="754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Operating cash flows for finance leases</w:t>
            </w:r>
          </w:p>
        </w:tc>
        <w:tc>
          <w:tcPr>
            <w:tcW w:w="740" w:type="dxa"/>
            <w:vAlign w:val="bottom"/>
            <w:tcBorders>
              <w:bottom w:val="single" w:sz="8" w:color="61656A"/>
            </w:tcBorders>
          </w:tcPr>
          <w:p>
            <w:pPr>
              <w:spacing w:after="0"/>
              <w:rPr>
                <w:sz w:val="17"/>
                <w:szCs w:val="17"/>
                <w:color w:val="auto"/>
              </w:rPr>
            </w:pPr>
          </w:p>
        </w:tc>
        <w:tc>
          <w:tcPr>
            <w:tcW w:w="4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15</w:t>
            </w:r>
          </w:p>
        </w:tc>
        <w:tc>
          <w:tcPr>
            <w:tcW w:w="360" w:type="dxa"/>
            <w:vAlign w:val="bottom"/>
            <w:tcBorders>
              <w:bottom w:val="single" w:sz="8" w:color="61656A"/>
            </w:tcBorders>
          </w:tcPr>
          <w:p>
            <w:pPr>
              <w:spacing w:after="0"/>
              <w:rPr>
                <w:sz w:val="17"/>
                <w:szCs w:val="17"/>
                <w:color w:val="auto"/>
              </w:rPr>
            </w:pPr>
          </w:p>
        </w:tc>
        <w:tc>
          <w:tcPr>
            <w:tcW w:w="9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19</w:t>
            </w:r>
          </w:p>
        </w:tc>
        <w:tc>
          <w:tcPr>
            <w:tcW w:w="400" w:type="dxa"/>
            <w:vAlign w:val="bottom"/>
            <w:tcBorders>
              <w:bottom w:val="single" w:sz="8" w:color="61656A"/>
            </w:tcBorders>
          </w:tcPr>
          <w:p>
            <w:pPr>
              <w:spacing w:after="0"/>
              <w:rPr>
                <w:sz w:val="17"/>
                <w:szCs w:val="17"/>
                <w:color w:val="auto"/>
              </w:rPr>
            </w:pPr>
          </w:p>
        </w:tc>
        <w:tc>
          <w:tcPr>
            <w:tcW w:w="8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21</w:t>
            </w:r>
          </w:p>
        </w:tc>
      </w:tr>
      <w:tr>
        <w:trPr>
          <w:trHeight w:val="196"/>
        </w:trPr>
        <w:tc>
          <w:tcPr>
            <w:tcW w:w="754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Financing cash flows for finance leases</w:t>
            </w:r>
          </w:p>
        </w:tc>
        <w:tc>
          <w:tcPr>
            <w:tcW w:w="740" w:type="dxa"/>
            <w:vAlign w:val="bottom"/>
            <w:tcBorders>
              <w:bottom w:val="single" w:sz="8" w:color="61656A"/>
            </w:tcBorders>
          </w:tcPr>
          <w:p>
            <w:pPr>
              <w:spacing w:after="0"/>
              <w:rPr>
                <w:sz w:val="17"/>
                <w:szCs w:val="17"/>
                <w:color w:val="auto"/>
              </w:rPr>
            </w:pPr>
          </w:p>
        </w:tc>
        <w:tc>
          <w:tcPr>
            <w:tcW w:w="4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113</w:t>
            </w:r>
          </w:p>
        </w:tc>
        <w:tc>
          <w:tcPr>
            <w:tcW w:w="360" w:type="dxa"/>
            <w:vAlign w:val="bottom"/>
            <w:tcBorders>
              <w:bottom w:val="single" w:sz="8" w:color="61656A"/>
            </w:tcBorders>
          </w:tcPr>
          <w:p>
            <w:pPr>
              <w:spacing w:after="0"/>
              <w:rPr>
                <w:sz w:val="17"/>
                <w:szCs w:val="17"/>
                <w:color w:val="auto"/>
              </w:rPr>
            </w:pPr>
          </w:p>
        </w:tc>
        <w:tc>
          <w:tcPr>
            <w:tcW w:w="9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87</w:t>
            </w:r>
          </w:p>
        </w:tc>
        <w:tc>
          <w:tcPr>
            <w:tcW w:w="400" w:type="dxa"/>
            <w:vAlign w:val="bottom"/>
            <w:tcBorders>
              <w:bottom w:val="single" w:sz="8" w:color="61656A"/>
            </w:tcBorders>
          </w:tcPr>
          <w:p>
            <w:pPr>
              <w:spacing w:after="0"/>
              <w:rPr>
                <w:sz w:val="17"/>
                <w:szCs w:val="17"/>
                <w:color w:val="auto"/>
              </w:rPr>
            </w:pPr>
          </w:p>
        </w:tc>
        <w:tc>
          <w:tcPr>
            <w:tcW w:w="8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79</w:t>
            </w:r>
          </w:p>
        </w:tc>
      </w:tr>
      <w:tr>
        <w:trPr>
          <w:trHeight w:val="199"/>
        </w:trPr>
        <w:tc>
          <w:tcPr>
            <w:tcW w:w="754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Right-of-use assets obtained in exchange for lease obligations</w:t>
            </w:r>
          </w:p>
        </w:tc>
        <w:tc>
          <w:tcPr>
            <w:tcW w:w="740" w:type="dxa"/>
            <w:vAlign w:val="bottom"/>
            <w:tcBorders>
              <w:bottom w:val="single" w:sz="8" w:color="61656A"/>
            </w:tcBorders>
          </w:tcPr>
          <w:p>
            <w:pPr>
              <w:spacing w:after="0"/>
              <w:rPr>
                <w:sz w:val="17"/>
                <w:szCs w:val="17"/>
                <w:color w:val="auto"/>
              </w:rPr>
            </w:pPr>
          </w:p>
        </w:tc>
        <w:tc>
          <w:tcPr>
            <w:tcW w:w="440" w:type="dxa"/>
            <w:vAlign w:val="bottom"/>
            <w:tcBorders>
              <w:bottom w:val="single" w:sz="8" w:color="61656A"/>
            </w:tcBorders>
          </w:tcPr>
          <w:p>
            <w:pPr>
              <w:spacing w:after="0"/>
              <w:rPr>
                <w:sz w:val="17"/>
                <w:szCs w:val="17"/>
                <w:color w:val="auto"/>
              </w:rPr>
            </w:pPr>
          </w:p>
        </w:tc>
        <w:tc>
          <w:tcPr>
            <w:tcW w:w="360" w:type="dxa"/>
            <w:vAlign w:val="bottom"/>
            <w:tcBorders>
              <w:bottom w:val="single" w:sz="8" w:color="61656A"/>
            </w:tcBorders>
          </w:tcPr>
          <w:p>
            <w:pPr>
              <w:spacing w:after="0"/>
              <w:rPr>
                <w:sz w:val="17"/>
                <w:szCs w:val="17"/>
                <w:color w:val="auto"/>
              </w:rPr>
            </w:pPr>
          </w:p>
        </w:tc>
        <w:tc>
          <w:tcPr>
            <w:tcW w:w="940" w:type="dxa"/>
            <w:vAlign w:val="bottom"/>
            <w:tcBorders>
              <w:bottom w:val="single" w:sz="8" w:color="61656A"/>
            </w:tcBorders>
          </w:tcPr>
          <w:p>
            <w:pPr>
              <w:spacing w:after="0"/>
              <w:rPr>
                <w:sz w:val="17"/>
                <w:szCs w:val="17"/>
                <w:color w:val="auto"/>
              </w:rPr>
            </w:pPr>
          </w:p>
        </w:tc>
        <w:tc>
          <w:tcPr>
            <w:tcW w:w="400" w:type="dxa"/>
            <w:vAlign w:val="bottom"/>
            <w:tcBorders>
              <w:bottom w:val="single" w:sz="8" w:color="61656A"/>
            </w:tcBorders>
          </w:tcPr>
          <w:p>
            <w:pPr>
              <w:spacing w:after="0"/>
              <w:rPr>
                <w:sz w:val="17"/>
                <w:szCs w:val="17"/>
                <w:color w:val="auto"/>
              </w:rPr>
            </w:pPr>
          </w:p>
        </w:tc>
        <w:tc>
          <w:tcPr>
            <w:tcW w:w="820" w:type="dxa"/>
            <w:vAlign w:val="bottom"/>
            <w:tcBorders>
              <w:bottom w:val="single" w:sz="8" w:color="61656A"/>
            </w:tcBorders>
          </w:tcPr>
          <w:p>
            <w:pPr>
              <w:spacing w:after="0"/>
              <w:rPr>
                <w:sz w:val="17"/>
                <w:szCs w:val="17"/>
                <w:color w:val="auto"/>
              </w:rPr>
            </w:pPr>
          </w:p>
        </w:tc>
      </w:tr>
      <w:tr>
        <w:trPr>
          <w:trHeight w:val="193"/>
        </w:trPr>
        <w:tc>
          <w:tcPr>
            <w:tcW w:w="754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Operating leases</w:t>
            </w:r>
          </w:p>
        </w:tc>
        <w:tc>
          <w:tcPr>
            <w:tcW w:w="740" w:type="dxa"/>
            <w:vAlign w:val="bottom"/>
            <w:tcBorders>
              <w:bottom w:val="single" w:sz="8" w:color="61656A"/>
            </w:tcBorders>
          </w:tcPr>
          <w:p>
            <w:pPr>
              <w:jc w:val="right"/>
              <w:ind w:right="56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232</w:t>
            </w:r>
          </w:p>
        </w:tc>
        <w:tc>
          <w:tcPr>
            <w:tcW w:w="36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339</w:t>
            </w:r>
          </w:p>
        </w:tc>
        <w:tc>
          <w:tcPr>
            <w:tcW w:w="40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251</w:t>
            </w:r>
          </w:p>
        </w:tc>
      </w:tr>
      <w:tr>
        <w:trPr>
          <w:trHeight w:val="196"/>
        </w:trPr>
        <w:tc>
          <w:tcPr>
            <w:tcW w:w="754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Finance leases</w:t>
            </w:r>
          </w:p>
        </w:tc>
        <w:tc>
          <w:tcPr>
            <w:tcW w:w="740" w:type="dxa"/>
            <w:vAlign w:val="bottom"/>
            <w:tcBorders>
              <w:bottom w:val="single" w:sz="8" w:color="D7282F"/>
            </w:tcBorders>
          </w:tcPr>
          <w:p>
            <w:pPr>
              <w:spacing w:after="0"/>
              <w:rPr>
                <w:sz w:val="17"/>
                <w:szCs w:val="17"/>
                <w:color w:val="auto"/>
              </w:rPr>
            </w:pPr>
          </w:p>
        </w:tc>
        <w:tc>
          <w:tcPr>
            <w:tcW w:w="4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83</w:t>
            </w:r>
          </w:p>
        </w:tc>
        <w:tc>
          <w:tcPr>
            <w:tcW w:w="36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42</w:t>
            </w:r>
          </w:p>
        </w:tc>
        <w:tc>
          <w:tcPr>
            <w:tcW w:w="400" w:type="dxa"/>
            <w:vAlign w:val="bottom"/>
            <w:tcBorders>
              <w:bottom w:val="single" w:sz="8" w:color="D7282F"/>
            </w:tcBorders>
          </w:tcPr>
          <w:p>
            <w:pPr>
              <w:spacing w:after="0"/>
              <w:rPr>
                <w:sz w:val="17"/>
                <w:szCs w:val="17"/>
                <w:color w:val="auto"/>
              </w:rPr>
            </w:pPr>
          </w:p>
        </w:tc>
        <w:tc>
          <w:tcPr>
            <w:tcW w:w="8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61</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Supplemental balance sheet information related to leases was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640" w:type="dxa"/>
            <w:vAlign w:val="bottom"/>
          </w:tcPr>
          <w:p>
            <w:pPr>
              <w:spacing w:after="0"/>
              <w:rPr>
                <w:sz w:val="17"/>
                <w:szCs w:val="17"/>
                <w:color w:val="auto"/>
              </w:rPr>
            </w:pPr>
          </w:p>
        </w:tc>
        <w:tc>
          <w:tcPr>
            <w:tcW w:w="260" w:type="dxa"/>
            <w:vAlign w:val="bottom"/>
            <w:tcBorders>
              <w:bottom w:val="single" w:sz="8" w:color="D7282F"/>
            </w:tcBorders>
          </w:tcPr>
          <w:p>
            <w:pPr>
              <w:spacing w:after="0"/>
              <w:rPr>
                <w:sz w:val="17"/>
                <w:szCs w:val="17"/>
                <w:color w:val="auto"/>
              </w:rPr>
            </w:pPr>
          </w:p>
        </w:tc>
        <w:tc>
          <w:tcPr>
            <w:tcW w:w="1540" w:type="dxa"/>
            <w:vAlign w:val="bottom"/>
            <w:tcBorders>
              <w:bottom w:val="single" w:sz="8" w:color="D7282F"/>
            </w:tcBorders>
            <w:gridSpan w:val="2"/>
          </w:tcPr>
          <w:p>
            <w:pPr>
              <w:jc w:val="right"/>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Borders>
              <w:bottom w:val="single" w:sz="8" w:color="D7282F"/>
            </w:tcBorders>
          </w:tcPr>
          <w:p>
            <w:pPr>
              <w:spacing w:after="0"/>
              <w:rPr>
                <w:sz w:val="17"/>
                <w:szCs w:val="17"/>
                <w:color w:val="auto"/>
              </w:rPr>
            </w:pPr>
          </w:p>
        </w:tc>
      </w:tr>
      <w:tr>
        <w:trPr>
          <w:trHeight w:val="196"/>
        </w:trPr>
        <w:tc>
          <w:tcPr>
            <w:tcW w:w="8640" w:type="dxa"/>
            <w:vAlign w:val="bottom"/>
            <w:tcBorders>
              <w:bottom w:val="single" w:sz="8" w:color="D7282F"/>
            </w:tcBorders>
          </w:tcPr>
          <w:p>
            <w:pPr>
              <w:spacing w:after="0"/>
              <w:rPr>
                <w:sz w:val="17"/>
                <w:szCs w:val="17"/>
                <w:color w:val="auto"/>
              </w:rPr>
            </w:pPr>
          </w:p>
        </w:tc>
        <w:tc>
          <w:tcPr>
            <w:tcW w:w="260" w:type="dxa"/>
            <w:vAlign w:val="bottom"/>
            <w:tcBorders>
              <w:bottom w:val="single" w:sz="8" w:color="D7282F"/>
            </w:tcBorders>
          </w:tcPr>
          <w:p>
            <w:pPr>
              <w:spacing w:after="0"/>
              <w:rPr>
                <w:sz w:val="17"/>
                <w:szCs w:val="17"/>
                <w:color w:val="auto"/>
              </w:rPr>
            </w:pPr>
          </w:p>
        </w:tc>
        <w:tc>
          <w:tcPr>
            <w:tcW w:w="920" w:type="dxa"/>
            <w:vAlign w:val="bottom"/>
            <w:tcBorders>
              <w:bottom w:val="single" w:sz="8" w:color="D7282F"/>
            </w:tcBorders>
          </w:tcPr>
          <w:p>
            <w:pPr>
              <w:jc w:val="right"/>
              <w:ind w:right="368"/>
              <w:spacing w:after="0"/>
              <w:rPr>
                <w:sz w:val="20"/>
                <w:szCs w:val="20"/>
                <w:color w:val="auto"/>
              </w:rPr>
            </w:pPr>
            <w:r>
              <w:rPr>
                <w:rFonts w:ascii="Arial" w:cs="Arial" w:eastAsia="Arial" w:hAnsi="Arial"/>
                <w:sz w:val="14"/>
                <w:szCs w:val="14"/>
                <w:b w:val="1"/>
                <w:bCs w:val="1"/>
                <w:color w:val="auto"/>
              </w:rPr>
              <w:t>2024</w:t>
            </w:r>
          </w:p>
        </w:tc>
        <w:tc>
          <w:tcPr>
            <w:tcW w:w="62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368"/>
              <w:spacing w:after="0"/>
              <w:rPr>
                <w:sz w:val="20"/>
                <w:szCs w:val="20"/>
                <w:color w:val="auto"/>
              </w:rPr>
            </w:pPr>
            <w:r>
              <w:rPr>
                <w:rFonts w:ascii="Arial" w:cs="Arial" w:eastAsia="Arial" w:hAnsi="Arial"/>
                <w:sz w:val="14"/>
                <w:szCs w:val="14"/>
                <w:b w:val="1"/>
                <w:bCs w:val="1"/>
                <w:color w:val="auto"/>
              </w:rPr>
              <w:t>2023</w:t>
            </w:r>
          </w:p>
        </w:tc>
      </w:tr>
      <w:tr>
        <w:trPr>
          <w:trHeight w:val="196"/>
        </w:trPr>
        <w:tc>
          <w:tcPr>
            <w:tcW w:w="864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Operating leases</w:t>
            </w:r>
          </w:p>
        </w:tc>
        <w:tc>
          <w:tcPr>
            <w:tcW w:w="260" w:type="dxa"/>
            <w:vAlign w:val="bottom"/>
            <w:tcBorders>
              <w:bottom w:val="single" w:sz="8" w:color="D7282F"/>
            </w:tcBorders>
          </w:tcPr>
          <w:p>
            <w:pPr>
              <w:spacing w:after="0"/>
              <w:rPr>
                <w:sz w:val="17"/>
                <w:szCs w:val="17"/>
                <w:color w:val="auto"/>
              </w:rPr>
            </w:pPr>
          </w:p>
        </w:tc>
        <w:tc>
          <w:tcPr>
            <w:tcW w:w="92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spacing w:after="0"/>
              <w:rPr>
                <w:sz w:val="17"/>
                <w:szCs w:val="17"/>
                <w:color w:val="auto"/>
              </w:rPr>
            </w:pPr>
          </w:p>
        </w:tc>
      </w:tr>
      <w:tr>
        <w:trPr>
          <w:trHeight w:val="196"/>
        </w:trPr>
        <w:tc>
          <w:tcPr>
            <w:tcW w:w="864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Other assets</w:t>
            </w:r>
            <w:r>
              <w:rPr>
                <w:rFonts w:ascii="Arial" w:cs="Arial" w:eastAsia="Arial" w:hAnsi="Arial"/>
                <w:sz w:val="9"/>
                <w:szCs w:val="9"/>
                <w:b w:val="1"/>
                <w:bCs w:val="1"/>
                <w:color w:val="auto"/>
              </w:rPr>
              <w:t>1</w:t>
            </w:r>
          </w:p>
        </w:tc>
        <w:tc>
          <w:tcPr>
            <w:tcW w:w="2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1,025</w:t>
            </w:r>
          </w:p>
        </w:tc>
        <w:tc>
          <w:tcPr>
            <w:tcW w:w="62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1,004</w:t>
            </w:r>
          </w:p>
        </w:tc>
      </w:tr>
      <w:tr>
        <w:trPr>
          <w:trHeight w:val="193"/>
        </w:trPr>
        <w:tc>
          <w:tcPr>
            <w:tcW w:w="864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Accrued liabilities</w:t>
            </w:r>
          </w:p>
        </w:tc>
        <w:tc>
          <w:tcPr>
            <w:tcW w:w="26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199</w:t>
            </w:r>
          </w:p>
        </w:tc>
        <w:tc>
          <w:tcPr>
            <w:tcW w:w="620" w:type="dxa"/>
            <w:vAlign w:val="bottom"/>
            <w:tcBorders>
              <w:bottom w:val="single" w:sz="8" w:color="888B8D"/>
            </w:tcBorders>
          </w:tcPr>
          <w:p>
            <w:pPr>
              <w:jc w:val="right"/>
              <w:ind w:right="20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196</w:t>
            </w:r>
          </w:p>
        </w:tc>
      </w:tr>
      <w:tr>
        <w:trPr>
          <w:trHeight w:val="196"/>
        </w:trPr>
        <w:tc>
          <w:tcPr>
            <w:tcW w:w="864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Other liabilities</w:t>
            </w:r>
          </w:p>
        </w:tc>
        <w:tc>
          <w:tcPr>
            <w:tcW w:w="260" w:type="dxa"/>
            <w:vAlign w:val="bottom"/>
            <w:tcBorders>
              <w:bottom w:val="single" w:sz="8" w:color="D7282F"/>
            </w:tcBorders>
          </w:tcPr>
          <w:p>
            <w:pPr>
              <w:spacing w:after="0"/>
              <w:rPr>
                <w:sz w:val="17"/>
                <w:szCs w:val="17"/>
                <w:color w:val="auto"/>
              </w:rPr>
            </w:pPr>
          </w:p>
        </w:tc>
        <w:tc>
          <w:tcPr>
            <w:tcW w:w="9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927</w:t>
            </w:r>
          </w:p>
        </w:tc>
        <w:tc>
          <w:tcPr>
            <w:tcW w:w="62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897</w:t>
            </w:r>
          </w:p>
        </w:tc>
      </w:tr>
      <w:tr>
        <w:trPr>
          <w:trHeight w:val="199"/>
        </w:trPr>
        <w:tc>
          <w:tcPr>
            <w:tcW w:w="864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operating lease liabilities</w:t>
            </w:r>
            <w:r>
              <w:rPr>
                <w:rFonts w:ascii="Arial" w:cs="Arial" w:eastAsia="Arial" w:hAnsi="Arial"/>
                <w:sz w:val="9"/>
                <w:szCs w:val="9"/>
                <w:b w:val="1"/>
                <w:bCs w:val="1"/>
                <w:color w:val="auto"/>
              </w:rPr>
              <w:t>2</w:t>
            </w:r>
          </w:p>
        </w:tc>
        <w:tc>
          <w:tcPr>
            <w:tcW w:w="2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1,126</w:t>
            </w:r>
          </w:p>
        </w:tc>
        <w:tc>
          <w:tcPr>
            <w:tcW w:w="62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1,093</w:t>
            </w:r>
          </w:p>
        </w:tc>
      </w:tr>
      <w:tr>
        <w:trPr>
          <w:trHeight w:val="196"/>
        </w:trPr>
        <w:tc>
          <w:tcPr>
            <w:tcW w:w="8640" w:type="dxa"/>
            <w:vAlign w:val="bottom"/>
            <w:tcBorders>
              <w:bottom w:val="single" w:sz="8" w:color="888B8D"/>
            </w:tcBorders>
          </w:tcPr>
          <w:p>
            <w:pPr>
              <w:ind w:left="20"/>
              <w:spacing w:after="0"/>
              <w:rPr>
                <w:sz w:val="20"/>
                <w:szCs w:val="20"/>
                <w:color w:val="auto"/>
              </w:rPr>
            </w:pPr>
            <w:r>
              <w:rPr>
                <w:rFonts w:ascii="Arial" w:cs="Arial" w:eastAsia="Arial" w:hAnsi="Arial"/>
                <w:sz w:val="14"/>
                <w:szCs w:val="14"/>
                <w:b w:val="1"/>
                <w:bCs w:val="1"/>
                <w:color w:val="auto"/>
              </w:rPr>
              <w:t>Finance leases</w:t>
            </w:r>
          </w:p>
        </w:tc>
        <w:tc>
          <w:tcPr>
            <w:tcW w:w="260" w:type="dxa"/>
            <w:vAlign w:val="bottom"/>
            <w:tcBorders>
              <w:bottom w:val="single" w:sz="8" w:color="888B8D"/>
            </w:tcBorders>
          </w:tcPr>
          <w:p>
            <w:pPr>
              <w:spacing w:after="0"/>
              <w:rPr>
                <w:sz w:val="17"/>
                <w:szCs w:val="17"/>
                <w:color w:val="auto"/>
              </w:rPr>
            </w:pPr>
          </w:p>
        </w:tc>
        <w:tc>
          <w:tcPr>
            <w:tcW w:w="920" w:type="dxa"/>
            <w:vAlign w:val="bottom"/>
            <w:tcBorders>
              <w:bottom w:val="single" w:sz="8" w:color="888B8D"/>
            </w:tcBorders>
          </w:tcPr>
          <w:p>
            <w:pPr>
              <w:spacing w:after="0"/>
              <w:rPr>
                <w:sz w:val="17"/>
                <w:szCs w:val="17"/>
                <w:color w:val="auto"/>
              </w:rPr>
            </w:pPr>
          </w:p>
        </w:tc>
        <w:tc>
          <w:tcPr>
            <w:tcW w:w="620" w:type="dxa"/>
            <w:vAlign w:val="bottom"/>
            <w:tcBorders>
              <w:bottom w:val="single" w:sz="8" w:color="888B8D"/>
            </w:tcBorders>
          </w:tcPr>
          <w:p>
            <w:pPr>
              <w:spacing w:after="0"/>
              <w:rPr>
                <w:sz w:val="17"/>
                <w:szCs w:val="17"/>
                <w:color w:val="auto"/>
              </w:rPr>
            </w:pPr>
          </w:p>
        </w:tc>
        <w:tc>
          <w:tcPr>
            <w:tcW w:w="800" w:type="dxa"/>
            <w:vAlign w:val="bottom"/>
            <w:tcBorders>
              <w:bottom w:val="single" w:sz="8" w:color="888B8D"/>
            </w:tcBorders>
          </w:tcPr>
          <w:p>
            <w:pPr>
              <w:spacing w:after="0"/>
              <w:rPr>
                <w:sz w:val="17"/>
                <w:szCs w:val="17"/>
                <w:color w:val="auto"/>
              </w:rPr>
            </w:pPr>
          </w:p>
        </w:tc>
      </w:tr>
      <w:tr>
        <w:trPr>
          <w:trHeight w:val="193"/>
        </w:trPr>
        <w:tc>
          <w:tcPr>
            <w:tcW w:w="864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Property, plant and equipment</w:t>
            </w:r>
          </w:p>
        </w:tc>
        <w:tc>
          <w:tcPr>
            <w:tcW w:w="26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396</w:t>
            </w:r>
          </w:p>
        </w:tc>
        <w:tc>
          <w:tcPr>
            <w:tcW w:w="620" w:type="dxa"/>
            <w:vAlign w:val="bottom"/>
            <w:tcBorders>
              <w:bottom w:val="single" w:sz="8" w:color="888B8D"/>
            </w:tcBorders>
          </w:tcPr>
          <w:p>
            <w:pPr>
              <w:jc w:val="right"/>
              <w:ind w:right="20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402</w:t>
            </w:r>
          </w:p>
        </w:tc>
      </w:tr>
      <w:tr>
        <w:trPr>
          <w:trHeight w:val="196"/>
        </w:trPr>
        <w:tc>
          <w:tcPr>
            <w:tcW w:w="864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Accumulated depreciation</w:t>
            </w:r>
          </w:p>
        </w:tc>
        <w:tc>
          <w:tcPr>
            <w:tcW w:w="260" w:type="dxa"/>
            <w:vAlign w:val="bottom"/>
            <w:tcBorders>
              <w:bottom w:val="single" w:sz="8" w:color="D7282F"/>
            </w:tcBorders>
          </w:tcPr>
          <w:p>
            <w:pPr>
              <w:spacing w:after="0"/>
              <w:rPr>
                <w:sz w:val="17"/>
                <w:szCs w:val="17"/>
                <w:color w:val="auto"/>
              </w:rPr>
            </w:pPr>
          </w:p>
        </w:tc>
        <w:tc>
          <w:tcPr>
            <w:tcW w:w="920" w:type="dxa"/>
            <w:vAlign w:val="bottom"/>
            <w:tcBorders>
              <w:bottom w:val="single" w:sz="8" w:color="D7282F"/>
            </w:tcBorders>
          </w:tcPr>
          <w:p>
            <w:pPr>
              <w:ind w:left="440"/>
              <w:spacing w:after="0"/>
              <w:rPr>
                <w:sz w:val="20"/>
                <w:szCs w:val="20"/>
                <w:color w:val="auto"/>
              </w:rPr>
            </w:pPr>
            <w:r>
              <w:rPr>
                <w:rFonts w:ascii="Arial" w:cs="Arial" w:eastAsia="Arial" w:hAnsi="Arial"/>
                <w:sz w:val="14"/>
                <w:szCs w:val="14"/>
                <w:color w:val="auto"/>
              </w:rPr>
              <w:t>(211)</w:t>
            </w:r>
          </w:p>
        </w:tc>
        <w:tc>
          <w:tcPr>
            <w:tcW w:w="62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ind w:left="320"/>
              <w:spacing w:after="0"/>
              <w:rPr>
                <w:sz w:val="20"/>
                <w:szCs w:val="20"/>
                <w:color w:val="auto"/>
              </w:rPr>
            </w:pPr>
            <w:r>
              <w:rPr>
                <w:rFonts w:ascii="Arial" w:cs="Arial" w:eastAsia="Arial" w:hAnsi="Arial"/>
                <w:sz w:val="14"/>
                <w:szCs w:val="14"/>
                <w:color w:val="auto"/>
              </w:rPr>
              <w:t>(204)</w:t>
            </w:r>
          </w:p>
        </w:tc>
      </w:tr>
      <w:tr>
        <w:trPr>
          <w:trHeight w:val="199"/>
        </w:trPr>
        <w:tc>
          <w:tcPr>
            <w:tcW w:w="864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Property, plant and equipment—net</w:t>
            </w:r>
          </w:p>
        </w:tc>
        <w:tc>
          <w:tcPr>
            <w:tcW w:w="2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185</w:t>
            </w:r>
          </w:p>
        </w:tc>
        <w:tc>
          <w:tcPr>
            <w:tcW w:w="62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198</w:t>
            </w:r>
          </w:p>
        </w:tc>
      </w:tr>
      <w:tr>
        <w:trPr>
          <w:trHeight w:val="193"/>
        </w:trPr>
        <w:tc>
          <w:tcPr>
            <w:tcW w:w="8640" w:type="dxa"/>
            <w:vAlign w:val="bottom"/>
            <w:tcBorders>
              <w:bottom w:val="single" w:sz="8" w:color="888B8D"/>
            </w:tcBorders>
          </w:tcPr>
          <w:p>
            <w:pPr>
              <w:ind w:left="120"/>
              <w:spacing w:after="0"/>
              <w:rPr>
                <w:sz w:val="20"/>
                <w:szCs w:val="20"/>
                <w:color w:val="auto"/>
              </w:rPr>
            </w:pPr>
            <w:r>
              <w:rPr>
                <w:rFonts w:ascii="Arial" w:cs="Arial" w:eastAsia="Arial" w:hAnsi="Arial"/>
                <w:sz w:val="14"/>
                <w:szCs w:val="14"/>
                <w:color w:val="auto"/>
              </w:rPr>
              <w:t>Current maturities of long-term debt</w:t>
            </w:r>
          </w:p>
        </w:tc>
        <w:tc>
          <w:tcPr>
            <w:tcW w:w="26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69</w:t>
            </w:r>
          </w:p>
        </w:tc>
        <w:tc>
          <w:tcPr>
            <w:tcW w:w="620" w:type="dxa"/>
            <w:vAlign w:val="bottom"/>
            <w:tcBorders>
              <w:bottom w:val="single" w:sz="8" w:color="888B8D"/>
            </w:tcBorders>
          </w:tcPr>
          <w:p>
            <w:pPr>
              <w:jc w:val="right"/>
              <w:ind w:right="20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86</w:t>
            </w:r>
          </w:p>
        </w:tc>
      </w:tr>
      <w:tr>
        <w:trPr>
          <w:trHeight w:val="196"/>
        </w:trPr>
        <w:tc>
          <w:tcPr>
            <w:tcW w:w="8640" w:type="dxa"/>
            <w:vAlign w:val="bottom"/>
            <w:tcBorders>
              <w:bottom w:val="single" w:sz="8" w:color="D7282F"/>
            </w:tcBorders>
          </w:tcPr>
          <w:p>
            <w:pPr>
              <w:ind w:left="120"/>
              <w:spacing w:after="0"/>
              <w:rPr>
                <w:sz w:val="20"/>
                <w:szCs w:val="20"/>
                <w:color w:val="auto"/>
              </w:rPr>
            </w:pPr>
            <w:r>
              <w:rPr>
                <w:rFonts w:ascii="Arial" w:cs="Arial" w:eastAsia="Arial" w:hAnsi="Arial"/>
                <w:sz w:val="14"/>
                <w:szCs w:val="14"/>
                <w:color w:val="auto"/>
              </w:rPr>
              <w:t>Long-term debt</w:t>
            </w:r>
          </w:p>
        </w:tc>
        <w:tc>
          <w:tcPr>
            <w:tcW w:w="260" w:type="dxa"/>
            <w:vAlign w:val="bottom"/>
            <w:tcBorders>
              <w:bottom w:val="single" w:sz="8" w:color="D7282F"/>
            </w:tcBorders>
          </w:tcPr>
          <w:p>
            <w:pPr>
              <w:spacing w:after="0"/>
              <w:rPr>
                <w:sz w:val="17"/>
                <w:szCs w:val="17"/>
                <w:color w:val="auto"/>
              </w:rPr>
            </w:pPr>
          </w:p>
        </w:tc>
        <w:tc>
          <w:tcPr>
            <w:tcW w:w="9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85</w:t>
            </w:r>
          </w:p>
        </w:tc>
        <w:tc>
          <w:tcPr>
            <w:tcW w:w="62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99</w:t>
            </w:r>
          </w:p>
        </w:tc>
      </w:tr>
      <w:tr>
        <w:trPr>
          <w:trHeight w:val="199"/>
        </w:trPr>
        <w:tc>
          <w:tcPr>
            <w:tcW w:w="864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finance lease liabilities</w:t>
            </w:r>
          </w:p>
        </w:tc>
        <w:tc>
          <w:tcPr>
            <w:tcW w:w="2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154</w:t>
            </w:r>
          </w:p>
        </w:tc>
        <w:tc>
          <w:tcPr>
            <w:tcW w:w="62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185</w:t>
            </w:r>
          </w:p>
        </w:tc>
      </w:tr>
      <w:tr>
        <w:trPr>
          <w:trHeight w:val="196"/>
        </w:trPr>
        <w:tc>
          <w:tcPr>
            <w:tcW w:w="864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Weighted average remaining lease term</w:t>
            </w:r>
          </w:p>
        </w:tc>
        <w:tc>
          <w:tcPr>
            <w:tcW w:w="260" w:type="dxa"/>
            <w:vAlign w:val="bottom"/>
            <w:tcBorders>
              <w:bottom w:val="single" w:sz="8" w:color="61656A"/>
            </w:tcBorders>
          </w:tcPr>
          <w:p>
            <w:pPr>
              <w:spacing w:after="0"/>
              <w:rPr>
                <w:sz w:val="17"/>
                <w:szCs w:val="17"/>
                <w:color w:val="auto"/>
              </w:rPr>
            </w:pPr>
          </w:p>
        </w:tc>
        <w:tc>
          <w:tcPr>
            <w:tcW w:w="92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spacing w:after="0"/>
              <w:rPr>
                <w:sz w:val="17"/>
                <w:szCs w:val="17"/>
                <w:color w:val="auto"/>
              </w:rPr>
            </w:pPr>
          </w:p>
        </w:tc>
      </w:tr>
      <w:tr>
        <w:trPr>
          <w:trHeight w:val="193"/>
        </w:trPr>
        <w:tc>
          <w:tcPr>
            <w:tcW w:w="864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Operating leases</w:t>
            </w:r>
          </w:p>
        </w:tc>
        <w:tc>
          <w:tcPr>
            <w:tcW w:w="260" w:type="dxa"/>
            <w:vAlign w:val="bottom"/>
            <w:tcBorders>
              <w:bottom w:val="single" w:sz="8" w:color="61656A"/>
            </w:tcBorders>
          </w:tcPr>
          <w:p>
            <w:pPr>
              <w:spacing w:after="0"/>
              <w:rPr>
                <w:sz w:val="16"/>
                <w:szCs w:val="16"/>
                <w:color w:val="auto"/>
              </w:rPr>
            </w:pPr>
          </w:p>
        </w:tc>
        <w:tc>
          <w:tcPr>
            <w:tcW w:w="920" w:type="dxa"/>
            <w:vAlign w:val="bottom"/>
            <w:tcBorders>
              <w:bottom w:val="single" w:sz="8" w:color="61656A"/>
            </w:tcBorders>
          </w:tcPr>
          <w:p>
            <w:pPr>
              <w:ind w:left="440"/>
              <w:spacing w:after="0"/>
              <w:rPr>
                <w:sz w:val="20"/>
                <w:szCs w:val="20"/>
                <w:color w:val="auto"/>
              </w:rPr>
            </w:pPr>
            <w:r>
              <w:rPr>
                <w:rFonts w:ascii="Arial" w:cs="Arial" w:eastAsia="Arial" w:hAnsi="Arial"/>
                <w:sz w:val="14"/>
                <w:szCs w:val="14"/>
                <w:color w:val="auto"/>
              </w:rPr>
              <w:t>8 years</w:t>
            </w:r>
          </w:p>
        </w:tc>
        <w:tc>
          <w:tcPr>
            <w:tcW w:w="620" w:type="dxa"/>
            <w:vAlign w:val="bottom"/>
            <w:tcBorders>
              <w:bottom w:val="single" w:sz="8" w:color="61656A"/>
            </w:tcBorders>
          </w:tcPr>
          <w:p>
            <w:pPr>
              <w:spacing w:after="0"/>
              <w:rPr>
                <w:sz w:val="16"/>
                <w:szCs w:val="16"/>
                <w:color w:val="auto"/>
              </w:rPr>
            </w:pPr>
          </w:p>
        </w:tc>
        <w:tc>
          <w:tcPr>
            <w:tcW w:w="800" w:type="dxa"/>
            <w:vAlign w:val="bottom"/>
            <w:tcBorders>
              <w:bottom w:val="single" w:sz="8" w:color="61656A"/>
            </w:tcBorders>
          </w:tcPr>
          <w:p>
            <w:pPr>
              <w:ind w:left="320"/>
              <w:spacing w:after="0"/>
              <w:rPr>
                <w:sz w:val="20"/>
                <w:szCs w:val="20"/>
                <w:color w:val="auto"/>
              </w:rPr>
            </w:pPr>
            <w:r>
              <w:rPr>
                <w:rFonts w:ascii="Arial" w:cs="Arial" w:eastAsia="Arial" w:hAnsi="Arial"/>
                <w:sz w:val="14"/>
                <w:szCs w:val="14"/>
                <w:color w:val="auto"/>
              </w:rPr>
              <w:t>9 years</w:t>
            </w:r>
          </w:p>
        </w:tc>
      </w:tr>
      <w:tr>
        <w:trPr>
          <w:trHeight w:val="196"/>
        </w:trPr>
        <w:tc>
          <w:tcPr>
            <w:tcW w:w="864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Finance leases</w:t>
            </w:r>
          </w:p>
        </w:tc>
        <w:tc>
          <w:tcPr>
            <w:tcW w:w="260" w:type="dxa"/>
            <w:vAlign w:val="bottom"/>
            <w:tcBorders>
              <w:bottom w:val="single" w:sz="8" w:color="61656A"/>
            </w:tcBorders>
          </w:tcPr>
          <w:p>
            <w:pPr>
              <w:spacing w:after="0"/>
              <w:rPr>
                <w:sz w:val="17"/>
                <w:szCs w:val="17"/>
                <w:color w:val="auto"/>
              </w:rPr>
            </w:pPr>
          </w:p>
        </w:tc>
        <w:tc>
          <w:tcPr>
            <w:tcW w:w="920" w:type="dxa"/>
            <w:vAlign w:val="bottom"/>
            <w:tcBorders>
              <w:bottom w:val="single" w:sz="8" w:color="61656A"/>
            </w:tcBorders>
          </w:tcPr>
          <w:p>
            <w:pPr>
              <w:ind w:left="440"/>
              <w:spacing w:after="0"/>
              <w:rPr>
                <w:sz w:val="20"/>
                <w:szCs w:val="20"/>
                <w:color w:val="auto"/>
              </w:rPr>
            </w:pPr>
            <w:r>
              <w:rPr>
                <w:rFonts w:ascii="Arial" w:cs="Arial" w:eastAsia="Arial" w:hAnsi="Arial"/>
                <w:sz w:val="14"/>
                <w:szCs w:val="14"/>
                <w:color w:val="auto"/>
              </w:rPr>
              <w:t>3 years</w:t>
            </w:r>
          </w:p>
        </w:tc>
        <w:tc>
          <w:tcPr>
            <w:tcW w:w="62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ind w:left="320"/>
              <w:spacing w:after="0"/>
              <w:rPr>
                <w:sz w:val="20"/>
                <w:szCs w:val="20"/>
                <w:color w:val="auto"/>
              </w:rPr>
            </w:pPr>
            <w:r>
              <w:rPr>
                <w:rFonts w:ascii="Arial" w:cs="Arial" w:eastAsia="Arial" w:hAnsi="Arial"/>
                <w:sz w:val="14"/>
                <w:szCs w:val="14"/>
                <w:color w:val="auto"/>
              </w:rPr>
              <w:t>3 years</w:t>
            </w:r>
          </w:p>
        </w:tc>
      </w:tr>
      <w:tr>
        <w:trPr>
          <w:trHeight w:val="199"/>
        </w:trPr>
        <w:tc>
          <w:tcPr>
            <w:tcW w:w="8640" w:type="dxa"/>
            <w:vAlign w:val="bottom"/>
            <w:tcBorders>
              <w:bottom w:val="single" w:sz="8" w:color="888B8D"/>
            </w:tcBorders>
          </w:tcPr>
          <w:p>
            <w:pPr>
              <w:ind w:left="20"/>
              <w:spacing w:after="0"/>
              <w:rPr>
                <w:sz w:val="20"/>
                <w:szCs w:val="20"/>
                <w:color w:val="auto"/>
              </w:rPr>
            </w:pPr>
            <w:r>
              <w:rPr>
                <w:rFonts w:ascii="Arial" w:cs="Arial" w:eastAsia="Arial" w:hAnsi="Arial"/>
                <w:sz w:val="14"/>
                <w:szCs w:val="14"/>
                <w:b w:val="1"/>
                <w:bCs w:val="1"/>
                <w:color w:val="auto"/>
              </w:rPr>
              <w:t>Weighted average discount rate</w:t>
            </w:r>
          </w:p>
        </w:tc>
        <w:tc>
          <w:tcPr>
            <w:tcW w:w="260" w:type="dxa"/>
            <w:vAlign w:val="bottom"/>
            <w:tcBorders>
              <w:bottom w:val="single" w:sz="8" w:color="888B8D"/>
            </w:tcBorders>
          </w:tcPr>
          <w:p>
            <w:pPr>
              <w:spacing w:after="0"/>
              <w:rPr>
                <w:sz w:val="17"/>
                <w:szCs w:val="17"/>
                <w:color w:val="auto"/>
              </w:rPr>
            </w:pPr>
          </w:p>
        </w:tc>
        <w:tc>
          <w:tcPr>
            <w:tcW w:w="920" w:type="dxa"/>
            <w:vAlign w:val="bottom"/>
            <w:tcBorders>
              <w:bottom w:val="single" w:sz="8" w:color="888B8D"/>
            </w:tcBorders>
          </w:tcPr>
          <w:p>
            <w:pPr>
              <w:spacing w:after="0"/>
              <w:rPr>
                <w:sz w:val="17"/>
                <w:szCs w:val="17"/>
                <w:color w:val="auto"/>
              </w:rPr>
            </w:pPr>
          </w:p>
        </w:tc>
        <w:tc>
          <w:tcPr>
            <w:tcW w:w="620" w:type="dxa"/>
            <w:vAlign w:val="bottom"/>
            <w:tcBorders>
              <w:bottom w:val="single" w:sz="8" w:color="888B8D"/>
            </w:tcBorders>
          </w:tcPr>
          <w:p>
            <w:pPr>
              <w:spacing w:after="0"/>
              <w:rPr>
                <w:sz w:val="17"/>
                <w:szCs w:val="17"/>
                <w:color w:val="auto"/>
              </w:rPr>
            </w:pPr>
          </w:p>
        </w:tc>
        <w:tc>
          <w:tcPr>
            <w:tcW w:w="800" w:type="dxa"/>
            <w:vAlign w:val="bottom"/>
            <w:tcBorders>
              <w:bottom w:val="single" w:sz="8" w:color="888B8D"/>
            </w:tcBorders>
          </w:tcPr>
          <w:p>
            <w:pPr>
              <w:spacing w:after="0"/>
              <w:rPr>
                <w:sz w:val="17"/>
                <w:szCs w:val="17"/>
                <w:color w:val="auto"/>
              </w:rPr>
            </w:pPr>
          </w:p>
        </w:tc>
      </w:tr>
      <w:tr>
        <w:trPr>
          <w:trHeight w:val="193"/>
        </w:trPr>
        <w:tc>
          <w:tcPr>
            <w:tcW w:w="864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Operating leases</w:t>
            </w:r>
          </w:p>
        </w:tc>
        <w:tc>
          <w:tcPr>
            <w:tcW w:w="260" w:type="dxa"/>
            <w:vAlign w:val="bottom"/>
            <w:tcBorders>
              <w:bottom w:val="single" w:sz="8" w:color="888B8D"/>
            </w:tcBorders>
          </w:tcPr>
          <w:p>
            <w:pPr>
              <w:spacing w:after="0"/>
              <w:rPr>
                <w:sz w:val="16"/>
                <w:szCs w:val="16"/>
                <w:color w:val="auto"/>
              </w:rPr>
            </w:pPr>
          </w:p>
        </w:tc>
        <w:tc>
          <w:tcPr>
            <w:tcW w:w="92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3.5 %</w:t>
            </w:r>
          </w:p>
        </w:tc>
        <w:tc>
          <w:tcPr>
            <w:tcW w:w="620" w:type="dxa"/>
            <w:vAlign w:val="bottom"/>
            <w:tcBorders>
              <w:bottom w:val="single" w:sz="8" w:color="888B8D"/>
            </w:tcBorders>
          </w:tcPr>
          <w:p>
            <w:pPr>
              <w:spacing w:after="0"/>
              <w:rPr>
                <w:sz w:val="16"/>
                <w:szCs w:val="16"/>
                <w:color w:val="auto"/>
              </w:rPr>
            </w:pPr>
          </w:p>
        </w:tc>
        <w:tc>
          <w:tcPr>
            <w:tcW w:w="8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3.0 %</w:t>
            </w:r>
          </w:p>
        </w:tc>
      </w:tr>
      <w:tr>
        <w:trPr>
          <w:trHeight w:val="196"/>
        </w:trPr>
        <w:tc>
          <w:tcPr>
            <w:tcW w:w="864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Finance leases</w:t>
            </w:r>
          </w:p>
        </w:tc>
        <w:tc>
          <w:tcPr>
            <w:tcW w:w="260" w:type="dxa"/>
            <w:vAlign w:val="bottom"/>
            <w:tcBorders>
              <w:bottom w:val="single" w:sz="8" w:color="D7282F"/>
            </w:tcBorders>
          </w:tcPr>
          <w:p>
            <w:pPr>
              <w:spacing w:after="0"/>
              <w:rPr>
                <w:sz w:val="17"/>
                <w:szCs w:val="17"/>
                <w:color w:val="auto"/>
              </w:rPr>
            </w:pPr>
          </w:p>
        </w:tc>
        <w:tc>
          <w:tcPr>
            <w:tcW w:w="9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5.8 %</w:t>
            </w:r>
          </w:p>
        </w:tc>
        <w:tc>
          <w:tcPr>
            <w:tcW w:w="62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8.5 %</w:t>
            </w:r>
          </w:p>
        </w:tc>
      </w:tr>
    </w:tbl>
    <w:p>
      <w:pPr>
        <w:spacing w:after="0" w:line="198" w:lineRule="exact"/>
        <w:rPr>
          <w:sz w:val="20"/>
          <w:szCs w:val="20"/>
          <w:color w:val="auto"/>
        </w:rPr>
      </w:pPr>
    </w:p>
    <w:p>
      <w:pPr>
        <w:ind w:left="480" w:right="20" w:hanging="454"/>
        <w:spacing w:after="0" w:line="286" w:lineRule="auto"/>
        <w:tabs>
          <w:tab w:leader="none" w:pos="480" w:val="left"/>
        </w:tabs>
        <w:numPr>
          <w:ilvl w:val="0"/>
          <w:numId w:val="139"/>
        </w:numPr>
        <w:rPr>
          <w:rFonts w:ascii="Arial" w:cs="Arial" w:eastAsia="Arial" w:hAnsi="Arial"/>
          <w:sz w:val="13"/>
          <w:szCs w:val="13"/>
          <w:color w:val="auto"/>
        </w:rPr>
      </w:pPr>
      <w:r>
        <w:rPr>
          <w:rFonts w:ascii="Arial" w:cs="Arial" w:eastAsia="Arial" w:hAnsi="Arial"/>
          <w:sz w:val="13"/>
          <w:szCs w:val="13"/>
          <w:color w:val="auto"/>
        </w:rPr>
        <w:t xml:space="preserve">As of December 31, 2024, Other assets excludes $16 million of right-of-use assets related to operating leases that are included in Assets held for sale in the Consolidated Balance Sheet. Refer to Note 2 </w:t>
      </w:r>
      <w:r>
        <w:rPr>
          <w:rFonts w:ascii="Arial" w:cs="Arial" w:eastAsia="Arial" w:hAnsi="Arial"/>
          <w:sz w:val="13"/>
          <w:szCs w:val="13"/>
          <w:u w:val="single" w:color="auto"/>
          <w:color w:val="0000FF"/>
        </w:rPr>
        <w:t>Acquisitions, Divestitures, and Assets and Liabilities Held for Sale</w:t>
      </w:r>
      <w:r>
        <w:rPr>
          <w:rFonts w:ascii="Arial" w:cs="Arial" w:eastAsia="Arial" w:hAnsi="Arial"/>
          <w:sz w:val="13"/>
          <w:szCs w:val="13"/>
          <w:color w:val="auto"/>
        </w:rPr>
        <w:t>.</w:t>
      </w:r>
    </w:p>
    <w:p>
      <w:pPr>
        <w:spacing w:after="0" w:line="143" w:lineRule="exact"/>
        <w:rPr>
          <w:sz w:val="20"/>
          <w:szCs w:val="20"/>
          <w:color w:val="auto"/>
        </w:rPr>
      </w:pPr>
    </w:p>
    <w:p>
      <w:pPr>
        <w:ind w:left="480" w:right="20" w:hanging="454"/>
        <w:spacing w:after="0" w:line="180" w:lineRule="auto"/>
        <w:tabs>
          <w:tab w:leader="none" w:pos="480" w:val="left"/>
        </w:tabs>
        <w:numPr>
          <w:ilvl w:val="0"/>
          <w:numId w:val="140"/>
        </w:numPr>
        <w:rPr>
          <w:rFonts w:ascii="Arial" w:cs="Arial" w:eastAsia="Arial" w:hAnsi="Arial"/>
          <w:sz w:val="25"/>
          <w:szCs w:val="25"/>
          <w:color w:val="auto"/>
          <w:vertAlign w:val="superscript"/>
        </w:rPr>
      </w:pPr>
      <w:r>
        <w:rPr>
          <w:rFonts w:ascii="Arial" w:cs="Arial" w:eastAsia="Arial" w:hAnsi="Arial"/>
          <w:sz w:val="13"/>
          <w:szCs w:val="13"/>
          <w:color w:val="auto"/>
        </w:rPr>
        <w:t xml:space="preserve">As of December 31, 2024, Total operating lease liabilities excludes $5 million and $11 million of Accrued liabilities and Other liabilities, respectively, that are included in Liabilities held for sale in the Consolidated Balance Sheet. Refer to Note 2 </w:t>
      </w:r>
      <w:r>
        <w:rPr>
          <w:rFonts w:ascii="Arial" w:cs="Arial" w:eastAsia="Arial" w:hAnsi="Arial"/>
          <w:sz w:val="13"/>
          <w:szCs w:val="13"/>
          <w:u w:val="single" w:color="auto"/>
          <w:color w:val="0000FF"/>
        </w:rPr>
        <w:t>Acquisitions, Divestitures, and Assets and Liabilities Held for Sale</w:t>
      </w:r>
      <w:r>
        <w:rPr>
          <w:rFonts w:ascii="Arial" w:cs="Arial" w:eastAsia="Arial" w:hAnsi="Arial"/>
          <w:sz w:val="13"/>
          <w:szCs w:val="13"/>
          <w:color w:val="auto"/>
        </w:rPr>
        <w:t>.</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00" w:hanging="392"/>
        <w:spacing w:after="0"/>
        <w:tabs>
          <w:tab w:leader="none" w:pos="400" w:val="left"/>
        </w:tabs>
        <w:numPr>
          <w:ilvl w:val="0"/>
          <w:numId w:val="141"/>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83" w:name="page84"/>
    <w:bookmarkEnd w:id="83"/>
    <w:p>
      <w:pPr>
        <w:ind w:left="20"/>
        <w:spacing w:after="0"/>
        <w:tabs>
          <w:tab w:leader="none" w:pos="784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FINANCIAL STATEMENTS AND SUPPLEMENTARY DATA</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2024, maturities of lease liabilities were as follows: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020" w:type="dxa"/>
            <w:vAlign w:val="bottom"/>
          </w:tcPr>
          <w:p>
            <w:pPr>
              <w:jc w:val="right"/>
              <w:ind w:right="208"/>
              <w:spacing w:after="0"/>
              <w:rPr>
                <w:sz w:val="20"/>
                <w:szCs w:val="20"/>
                <w:color w:val="auto"/>
              </w:rPr>
            </w:pPr>
            <w:r>
              <w:rPr>
                <w:rFonts w:ascii="Arial" w:cs="Arial" w:eastAsia="Arial" w:hAnsi="Arial"/>
                <w:sz w:val="14"/>
                <w:szCs w:val="14"/>
                <w:b w:val="1"/>
                <w:bCs w:val="1"/>
                <w:color w:val="auto"/>
              </w:rPr>
              <w:t>Operating</w:t>
            </w:r>
          </w:p>
        </w:tc>
        <w:tc>
          <w:tcPr>
            <w:tcW w:w="32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Arial" w:cs="Arial" w:eastAsia="Arial" w:hAnsi="Arial"/>
                <w:sz w:val="14"/>
                <w:szCs w:val="14"/>
                <w:b w:val="1"/>
                <w:bCs w:val="1"/>
                <w:color w:val="auto"/>
              </w:rPr>
              <w:t>Finance</w:t>
            </w:r>
          </w:p>
        </w:tc>
      </w:tr>
      <w:tr>
        <w:trPr>
          <w:trHeight w:val="185"/>
        </w:trPr>
        <w:tc>
          <w:tcPr>
            <w:tcW w:w="5700" w:type="dxa"/>
            <w:vAlign w:val="bottom"/>
            <w:tcBorders>
              <w:bottom w:val="single" w:sz="8" w:color="D7282F"/>
            </w:tcBorders>
          </w:tcPr>
          <w:p>
            <w:pPr>
              <w:spacing w:after="0"/>
              <w:rPr>
                <w:sz w:val="16"/>
                <w:szCs w:val="16"/>
                <w:color w:val="auto"/>
              </w:rPr>
            </w:pPr>
          </w:p>
        </w:tc>
        <w:tc>
          <w:tcPr>
            <w:tcW w:w="3300" w:type="dxa"/>
            <w:vAlign w:val="bottom"/>
            <w:tcBorders>
              <w:bottom w:val="single" w:sz="8" w:color="D7282F"/>
            </w:tcBorders>
          </w:tcPr>
          <w:p>
            <w:pPr>
              <w:spacing w:after="0"/>
              <w:rPr>
                <w:sz w:val="16"/>
                <w:szCs w:val="16"/>
                <w:color w:val="auto"/>
              </w:rPr>
            </w:pPr>
          </w:p>
        </w:tc>
        <w:tc>
          <w:tcPr>
            <w:tcW w:w="1020" w:type="dxa"/>
            <w:vAlign w:val="bottom"/>
            <w:tcBorders>
              <w:bottom w:val="single" w:sz="8" w:color="D7282F"/>
            </w:tcBorders>
          </w:tcPr>
          <w:p>
            <w:pPr>
              <w:jc w:val="right"/>
              <w:ind w:right="308"/>
              <w:spacing w:after="0"/>
              <w:rPr>
                <w:sz w:val="20"/>
                <w:szCs w:val="20"/>
                <w:color w:val="auto"/>
              </w:rPr>
            </w:pPr>
            <w:r>
              <w:rPr>
                <w:rFonts w:ascii="Arial" w:cs="Arial" w:eastAsia="Arial" w:hAnsi="Arial"/>
                <w:sz w:val="14"/>
                <w:szCs w:val="14"/>
                <w:b w:val="1"/>
                <w:bCs w:val="1"/>
                <w:color w:val="auto"/>
              </w:rPr>
              <w:t>Leases</w:t>
            </w:r>
          </w:p>
        </w:tc>
        <w:tc>
          <w:tcPr>
            <w:tcW w:w="320" w:type="dxa"/>
            <w:vAlign w:val="bottom"/>
            <w:tcBorders>
              <w:bottom w:val="single" w:sz="8" w:color="D7282F"/>
            </w:tcBorders>
          </w:tcPr>
          <w:p>
            <w:pPr>
              <w:spacing w:after="0"/>
              <w:rPr>
                <w:sz w:val="16"/>
                <w:szCs w:val="16"/>
                <w:color w:val="auto"/>
              </w:rPr>
            </w:pPr>
          </w:p>
        </w:tc>
        <w:tc>
          <w:tcPr>
            <w:tcW w:w="900" w:type="dxa"/>
            <w:vAlign w:val="bottom"/>
            <w:tcBorders>
              <w:bottom w:val="single" w:sz="8" w:color="D7282F"/>
            </w:tcBorders>
          </w:tcPr>
          <w:p>
            <w:pPr>
              <w:jc w:val="right"/>
              <w:ind w:right="228"/>
              <w:spacing w:after="0"/>
              <w:rPr>
                <w:sz w:val="20"/>
                <w:szCs w:val="20"/>
                <w:color w:val="auto"/>
              </w:rPr>
            </w:pPr>
            <w:r>
              <w:rPr>
                <w:rFonts w:ascii="Arial" w:cs="Arial" w:eastAsia="Arial" w:hAnsi="Arial"/>
                <w:sz w:val="14"/>
                <w:szCs w:val="14"/>
                <w:b w:val="1"/>
                <w:bCs w:val="1"/>
                <w:color w:val="auto"/>
              </w:rPr>
              <w:t>Leases</w:t>
            </w:r>
          </w:p>
        </w:tc>
      </w:tr>
      <w:tr>
        <w:trPr>
          <w:trHeight w:val="192"/>
        </w:trPr>
        <w:tc>
          <w:tcPr>
            <w:tcW w:w="57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2025</w:t>
            </w:r>
          </w:p>
        </w:tc>
        <w:tc>
          <w:tcPr>
            <w:tcW w:w="33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235</w:t>
            </w:r>
          </w:p>
        </w:tc>
        <w:tc>
          <w:tcPr>
            <w:tcW w:w="32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75</w:t>
            </w:r>
          </w:p>
        </w:tc>
      </w:tr>
      <w:tr>
        <w:trPr>
          <w:trHeight w:val="196"/>
        </w:trPr>
        <w:tc>
          <w:tcPr>
            <w:tcW w:w="57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2026</w:t>
            </w:r>
          </w:p>
        </w:tc>
        <w:tc>
          <w:tcPr>
            <w:tcW w:w="3300" w:type="dxa"/>
            <w:vAlign w:val="bottom"/>
            <w:tcBorders>
              <w:bottom w:val="single" w:sz="8" w:color="61656A"/>
            </w:tcBorders>
          </w:tcPr>
          <w:p>
            <w:pPr>
              <w:spacing w:after="0"/>
              <w:rPr>
                <w:sz w:val="17"/>
                <w:szCs w:val="17"/>
                <w:color w:val="auto"/>
              </w:rPr>
            </w:pPr>
          </w:p>
        </w:tc>
        <w:tc>
          <w:tcPr>
            <w:tcW w:w="102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207</w:t>
            </w:r>
          </w:p>
        </w:tc>
        <w:tc>
          <w:tcPr>
            <w:tcW w:w="320" w:type="dxa"/>
            <w:vAlign w:val="bottom"/>
            <w:tcBorders>
              <w:bottom w:val="single" w:sz="8" w:color="61656A"/>
            </w:tcBorders>
          </w:tcPr>
          <w:p>
            <w:pPr>
              <w:spacing w:after="0"/>
              <w:rPr>
                <w:sz w:val="17"/>
                <w:szCs w:val="17"/>
                <w:color w:val="auto"/>
              </w:rPr>
            </w:pPr>
          </w:p>
        </w:tc>
        <w:tc>
          <w:tcPr>
            <w:tcW w:w="9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44</w:t>
            </w:r>
          </w:p>
        </w:tc>
      </w:tr>
      <w:tr>
        <w:trPr>
          <w:trHeight w:val="196"/>
        </w:trPr>
        <w:tc>
          <w:tcPr>
            <w:tcW w:w="57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2027</w:t>
            </w:r>
          </w:p>
        </w:tc>
        <w:tc>
          <w:tcPr>
            <w:tcW w:w="3300" w:type="dxa"/>
            <w:vAlign w:val="bottom"/>
            <w:tcBorders>
              <w:bottom w:val="single" w:sz="8" w:color="61656A"/>
            </w:tcBorders>
          </w:tcPr>
          <w:p>
            <w:pPr>
              <w:spacing w:after="0"/>
              <w:rPr>
                <w:sz w:val="17"/>
                <w:szCs w:val="17"/>
                <w:color w:val="auto"/>
              </w:rPr>
            </w:pPr>
          </w:p>
        </w:tc>
        <w:tc>
          <w:tcPr>
            <w:tcW w:w="102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177</w:t>
            </w:r>
          </w:p>
        </w:tc>
        <w:tc>
          <w:tcPr>
            <w:tcW w:w="320" w:type="dxa"/>
            <w:vAlign w:val="bottom"/>
            <w:tcBorders>
              <w:bottom w:val="single" w:sz="8" w:color="61656A"/>
            </w:tcBorders>
          </w:tcPr>
          <w:p>
            <w:pPr>
              <w:spacing w:after="0"/>
              <w:rPr>
                <w:sz w:val="17"/>
                <w:szCs w:val="17"/>
                <w:color w:val="auto"/>
              </w:rPr>
            </w:pPr>
          </w:p>
        </w:tc>
        <w:tc>
          <w:tcPr>
            <w:tcW w:w="9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25</w:t>
            </w:r>
          </w:p>
        </w:tc>
      </w:tr>
      <w:tr>
        <w:trPr>
          <w:trHeight w:val="196"/>
        </w:trPr>
        <w:tc>
          <w:tcPr>
            <w:tcW w:w="57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2028</w:t>
            </w:r>
          </w:p>
        </w:tc>
        <w:tc>
          <w:tcPr>
            <w:tcW w:w="3300" w:type="dxa"/>
            <w:vAlign w:val="bottom"/>
            <w:tcBorders>
              <w:bottom w:val="single" w:sz="8" w:color="61656A"/>
            </w:tcBorders>
          </w:tcPr>
          <w:p>
            <w:pPr>
              <w:spacing w:after="0"/>
              <w:rPr>
                <w:sz w:val="17"/>
                <w:szCs w:val="17"/>
                <w:color w:val="auto"/>
              </w:rPr>
            </w:pPr>
          </w:p>
        </w:tc>
        <w:tc>
          <w:tcPr>
            <w:tcW w:w="102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149</w:t>
            </w:r>
          </w:p>
        </w:tc>
        <w:tc>
          <w:tcPr>
            <w:tcW w:w="320" w:type="dxa"/>
            <w:vAlign w:val="bottom"/>
            <w:tcBorders>
              <w:bottom w:val="single" w:sz="8" w:color="61656A"/>
            </w:tcBorders>
          </w:tcPr>
          <w:p>
            <w:pPr>
              <w:spacing w:after="0"/>
              <w:rPr>
                <w:sz w:val="17"/>
                <w:szCs w:val="17"/>
                <w:color w:val="auto"/>
              </w:rPr>
            </w:pPr>
          </w:p>
        </w:tc>
        <w:tc>
          <w:tcPr>
            <w:tcW w:w="9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14</w:t>
            </w:r>
          </w:p>
        </w:tc>
      </w:tr>
      <w:tr>
        <w:trPr>
          <w:trHeight w:val="196"/>
        </w:trPr>
        <w:tc>
          <w:tcPr>
            <w:tcW w:w="57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2029</w:t>
            </w:r>
          </w:p>
        </w:tc>
        <w:tc>
          <w:tcPr>
            <w:tcW w:w="3300" w:type="dxa"/>
            <w:vAlign w:val="bottom"/>
            <w:tcBorders>
              <w:bottom w:val="single" w:sz="8" w:color="61656A"/>
            </w:tcBorders>
          </w:tcPr>
          <w:p>
            <w:pPr>
              <w:spacing w:after="0"/>
              <w:rPr>
                <w:sz w:val="17"/>
                <w:szCs w:val="17"/>
                <w:color w:val="auto"/>
              </w:rPr>
            </w:pPr>
          </w:p>
        </w:tc>
        <w:tc>
          <w:tcPr>
            <w:tcW w:w="102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112</w:t>
            </w:r>
          </w:p>
        </w:tc>
        <w:tc>
          <w:tcPr>
            <w:tcW w:w="320" w:type="dxa"/>
            <w:vAlign w:val="bottom"/>
            <w:tcBorders>
              <w:bottom w:val="single" w:sz="8" w:color="61656A"/>
            </w:tcBorders>
          </w:tcPr>
          <w:p>
            <w:pPr>
              <w:spacing w:after="0"/>
              <w:rPr>
                <w:sz w:val="17"/>
                <w:szCs w:val="17"/>
                <w:color w:val="auto"/>
              </w:rPr>
            </w:pPr>
          </w:p>
        </w:tc>
        <w:tc>
          <w:tcPr>
            <w:tcW w:w="9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w:t>
            </w:r>
          </w:p>
        </w:tc>
      </w:tr>
      <w:tr>
        <w:trPr>
          <w:trHeight w:val="196"/>
        </w:trPr>
        <w:tc>
          <w:tcPr>
            <w:tcW w:w="570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Thereafter</w:t>
            </w:r>
          </w:p>
        </w:tc>
        <w:tc>
          <w:tcPr>
            <w:tcW w:w="3300" w:type="dxa"/>
            <w:vAlign w:val="bottom"/>
            <w:tcBorders>
              <w:bottom w:val="single" w:sz="8" w:color="D7282F"/>
            </w:tcBorders>
          </w:tcPr>
          <w:p>
            <w:pPr>
              <w:spacing w:after="0"/>
              <w:rPr>
                <w:sz w:val="17"/>
                <w:szCs w:val="17"/>
                <w:color w:val="auto"/>
              </w:rPr>
            </w:pPr>
          </w:p>
        </w:tc>
        <w:tc>
          <w:tcPr>
            <w:tcW w:w="102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422</w:t>
            </w:r>
          </w:p>
        </w:tc>
        <w:tc>
          <w:tcPr>
            <w:tcW w:w="320" w:type="dxa"/>
            <w:vAlign w:val="bottom"/>
            <w:tcBorders>
              <w:bottom w:val="single" w:sz="8" w:color="D7282F"/>
            </w:tcBorders>
          </w:tcPr>
          <w:p>
            <w:pPr>
              <w:spacing w:after="0"/>
              <w:rPr>
                <w:sz w:val="17"/>
                <w:szCs w:val="17"/>
                <w:color w:val="auto"/>
              </w:rPr>
            </w:pPr>
          </w:p>
        </w:tc>
        <w:tc>
          <w:tcPr>
            <w:tcW w:w="9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r>
      <w:tr>
        <w:trPr>
          <w:trHeight w:val="199"/>
        </w:trPr>
        <w:tc>
          <w:tcPr>
            <w:tcW w:w="570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lease payments</w:t>
            </w:r>
          </w:p>
        </w:tc>
        <w:tc>
          <w:tcPr>
            <w:tcW w:w="3300" w:type="dxa"/>
            <w:vAlign w:val="bottom"/>
            <w:tcBorders>
              <w:bottom w:val="single" w:sz="8" w:color="D7282F"/>
            </w:tcBorders>
          </w:tcPr>
          <w:p>
            <w:pPr>
              <w:spacing w:after="0"/>
              <w:rPr>
                <w:sz w:val="17"/>
                <w:szCs w:val="17"/>
                <w:color w:val="auto"/>
              </w:rPr>
            </w:pPr>
          </w:p>
        </w:tc>
        <w:tc>
          <w:tcPr>
            <w:tcW w:w="102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1,302</w:t>
            </w:r>
          </w:p>
        </w:tc>
        <w:tc>
          <w:tcPr>
            <w:tcW w:w="320" w:type="dxa"/>
            <w:vAlign w:val="bottom"/>
            <w:tcBorders>
              <w:bottom w:val="single" w:sz="8" w:color="D7282F"/>
            </w:tcBorders>
          </w:tcPr>
          <w:p>
            <w:pPr>
              <w:spacing w:after="0"/>
              <w:rPr>
                <w:sz w:val="17"/>
                <w:szCs w:val="17"/>
                <w:color w:val="auto"/>
              </w:rPr>
            </w:pPr>
          </w:p>
        </w:tc>
        <w:tc>
          <w:tcPr>
            <w:tcW w:w="9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165</w:t>
            </w:r>
          </w:p>
        </w:tc>
      </w:tr>
      <w:tr>
        <w:trPr>
          <w:trHeight w:val="193"/>
        </w:trPr>
        <w:tc>
          <w:tcPr>
            <w:tcW w:w="57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Less: Interest</w:t>
            </w:r>
          </w:p>
        </w:tc>
        <w:tc>
          <w:tcPr>
            <w:tcW w:w="3300" w:type="dxa"/>
            <w:vAlign w:val="bottom"/>
            <w:tcBorders>
              <w:bottom w:val="single" w:sz="8" w:color="61656A"/>
            </w:tcBorders>
          </w:tcPr>
          <w:p>
            <w:pPr>
              <w:spacing w:after="0"/>
              <w:rPr>
                <w:sz w:val="16"/>
                <w:szCs w:val="16"/>
                <w:color w:val="auto"/>
              </w:rPr>
            </w:pPr>
          </w:p>
        </w:tc>
        <w:tc>
          <w:tcPr>
            <w:tcW w:w="102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160</w:t>
            </w:r>
          </w:p>
        </w:tc>
        <w:tc>
          <w:tcPr>
            <w:tcW w:w="320" w:type="dxa"/>
            <w:vAlign w:val="bottom"/>
            <w:tcBorders>
              <w:bottom w:val="single" w:sz="8" w:color="61656A"/>
            </w:tcBorders>
          </w:tcPr>
          <w:p>
            <w:pPr>
              <w:spacing w:after="0"/>
              <w:rPr>
                <w:sz w:val="16"/>
                <w:szCs w:val="16"/>
                <w:color w:val="auto"/>
              </w:rPr>
            </w:pPr>
          </w:p>
        </w:tc>
        <w:tc>
          <w:tcPr>
            <w:tcW w:w="9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11</w:t>
            </w:r>
          </w:p>
        </w:tc>
      </w:tr>
      <w:tr>
        <w:trPr>
          <w:trHeight w:val="196"/>
        </w:trPr>
        <w:tc>
          <w:tcPr>
            <w:tcW w:w="570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Less: Lease liabilities held for sale</w:t>
            </w:r>
          </w:p>
        </w:tc>
        <w:tc>
          <w:tcPr>
            <w:tcW w:w="3300" w:type="dxa"/>
            <w:vAlign w:val="bottom"/>
            <w:tcBorders>
              <w:bottom w:val="single" w:sz="8" w:color="D7282F"/>
            </w:tcBorders>
          </w:tcPr>
          <w:p>
            <w:pPr>
              <w:spacing w:after="0"/>
              <w:rPr>
                <w:sz w:val="17"/>
                <w:szCs w:val="17"/>
                <w:color w:val="auto"/>
              </w:rPr>
            </w:pPr>
          </w:p>
        </w:tc>
        <w:tc>
          <w:tcPr>
            <w:tcW w:w="102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16</w:t>
            </w:r>
          </w:p>
        </w:tc>
        <w:tc>
          <w:tcPr>
            <w:tcW w:w="320" w:type="dxa"/>
            <w:vAlign w:val="bottom"/>
            <w:tcBorders>
              <w:bottom w:val="single" w:sz="8" w:color="D7282F"/>
            </w:tcBorders>
          </w:tcPr>
          <w:p>
            <w:pPr>
              <w:spacing w:after="0"/>
              <w:rPr>
                <w:sz w:val="17"/>
                <w:szCs w:val="17"/>
                <w:color w:val="auto"/>
              </w:rPr>
            </w:pPr>
          </w:p>
        </w:tc>
        <w:tc>
          <w:tcPr>
            <w:tcW w:w="9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r>
      <w:tr>
        <w:trPr>
          <w:trHeight w:val="199"/>
        </w:trPr>
        <w:tc>
          <w:tcPr>
            <w:tcW w:w="570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maturities of lease liabilities</w:t>
            </w:r>
          </w:p>
        </w:tc>
        <w:tc>
          <w:tcPr>
            <w:tcW w:w="33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1,126</w:t>
            </w:r>
          </w:p>
        </w:tc>
        <w:tc>
          <w:tcPr>
            <w:tcW w:w="32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154</w:t>
            </w:r>
          </w:p>
        </w:tc>
      </w:tr>
    </w:tbl>
    <w:p>
      <w:pPr>
        <w:spacing w:after="0" w:line="346" w:lineRule="exact"/>
        <w:rPr>
          <w:sz w:val="20"/>
          <w:szCs w:val="20"/>
          <w:color w:val="auto"/>
        </w:rPr>
      </w:pPr>
    </w:p>
    <w:p>
      <w:pPr>
        <w:spacing w:after="0"/>
        <w:rPr>
          <w:sz w:val="20"/>
          <w:szCs w:val="20"/>
          <w:color w:val="auto"/>
        </w:rPr>
      </w:pPr>
      <w:r>
        <w:rPr>
          <w:rFonts w:ascii="Arial" w:cs="Arial" w:eastAsia="Arial" w:hAnsi="Arial"/>
          <w:sz w:val="29"/>
          <w:szCs w:val="29"/>
          <w:color w:val="D7282F"/>
        </w:rPr>
        <w:t>NOTE 11. DERIVATIVE INSTRUMENTS AND HEDGING TRANSACTIONS</w:t>
      </w:r>
    </w:p>
    <w:p>
      <w:pPr>
        <w:spacing w:after="0" w:line="28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DERIVATIVES AND HEDGING ACTIVITIES</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color w:val="auto"/>
        </w:rPr>
        <w:t>The Company uses derivative financial instruments to manage its risks related to interest rates, foreign currency exchange rates, and commodity prices.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Derivative financial instruments are not used for trading or other speculative purposes.</w:t>
      </w:r>
    </w:p>
    <w:p>
      <w:pPr>
        <w:spacing w:after="0" w:line="23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CREDIT RISK MANAGEMENT</w:t>
      </w:r>
    </w:p>
    <w:p>
      <w:pPr>
        <w:spacing w:after="0" w:line="14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Company continues to monitor the creditworthiness of its counterparties to mitigate the risk of nonperformance. Financial instruments, including derivatives, expose the Company to counterparty credit risk. In addition, the Company grants credit terms to its customers in the normal course of business. The terms and conditions of the Company's credit sales are designed to mitigate or eliminate concentrations of credit risk with any single customer. The Company's sales are not materially dependent on a single customer or a small group of customers.</w:t>
      </w:r>
    </w:p>
    <w:p>
      <w:pPr>
        <w:spacing w:after="0" w:line="20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INTEREST RATE RISK MANAGEMENT</w:t>
      </w:r>
    </w:p>
    <w:p>
      <w:pPr>
        <w:spacing w:after="0" w:line="128"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Financial instruments, including derivatives, expose the Company to market risk related to changes in interest rates. The Company uses a combination of financial instruments, including long-term, medium-term, and short-term financing, variable-rate commercial paper, and interest rate swaps to convert the interest rate mix of the Company's total debt portfolio and related overall cost of borrowing.</w:t>
      </w:r>
    </w:p>
    <w:p>
      <w:pPr>
        <w:spacing w:after="0" w:line="19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FOREIGN CURRENCY RISK MANAGEMENT</w:t>
      </w:r>
    </w:p>
    <w:p>
      <w:pPr>
        <w:spacing w:after="0" w:line="14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Company operates a global business in a wide variety of foreign currencies. The Company's exposure to market risk for changes in foreign currency exchange rates arises from international financing activities between subsidiaries, foreign currency denominated monetary assets and liabilities, and transactions arising from international trade. The Company's objective is to preserve the U.S. dollar value of foreign currency denominated cash flows and earnings. The Company monitors its collective foreign currency exposure and enters into foreign currency exchange forward and option contracts (foreign currency exchange contracts) with third parties, when necessary, to minimize the impact of changes in foreign currency exchange rates.</w:t>
      </w:r>
    </w:p>
    <w:p>
      <w:pPr>
        <w:spacing w:after="0" w:line="83"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The Company has monetary assets and liabilities denominated in non-functional currencies. Prior to conversion into U.S. dollars, these assets and liabilities are remeasured at spot exchange rates as of the balance sheet date. The Company recognizes effects of changes in spot rates in Other (income) expense.</w:t>
      </w:r>
    </w:p>
    <w:p>
      <w:pPr>
        <w:spacing w:after="0" w:line="387" w:lineRule="exact"/>
        <w:rPr>
          <w:sz w:val="20"/>
          <w:szCs w:val="20"/>
          <w:color w:val="auto"/>
        </w:rPr>
      </w:pPr>
    </w:p>
    <w:p>
      <w:pPr>
        <w:ind w:left="400" w:hanging="392"/>
        <w:spacing w:after="0"/>
        <w:tabs>
          <w:tab w:leader="none" w:pos="400" w:val="left"/>
        </w:tabs>
        <w:numPr>
          <w:ilvl w:val="0"/>
          <w:numId w:val="142"/>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84" w:name="page85"/>
    <w:bookmarkEnd w:id="84"/>
    <w:p>
      <w:pPr>
        <w:ind w:left="20"/>
        <w:spacing w:after="0"/>
        <w:tabs>
          <w:tab w:leader="none" w:pos="784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FINANCIAL STATEMENTS AND SUPPLEMENTARY DATA</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29"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Company uses foreign currency exchange contracts to hedge foreign currency exposure. These contracts are marked-to-market in net income and offset gains and losses on the non-functional currency denominated monetary assets and liabilities being hedged. The Company also uses foreign currency contracts to hedge forecasted sales and purchases, which are denominated in non-functional currencies. Changes in the forecasted non-functional currency cash flows due to movements in exchange rates are substantially offset by changes in the fair value of these foreign currency exchange contracts designated as hedges. Market value gains and losses on these contracts are recognized in earnings when the hedged transaction is recognized. As of December 31, 2024, and 2023, the Company held contracts with notional amounts of $10,008 million and $8,910 million, respectively, to exchange foreign currencies, principally the U.S. dollar, euro, Canadian dollar, British pound, Mexican peso, Chinese renminbi, and Indian rupee.</w:t>
      </w:r>
    </w:p>
    <w:p>
      <w:pPr>
        <w:spacing w:after="0" w:line="8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Company also designates certain foreign currency debt and derivative contracts as hedges against portions of its net investment in foreign operations. Gains or losses of the foreign currency debt and derivative contracts designated as net investment hedges are recorded in the same manner as foreign currency translation adjustments.</w:t>
      </w:r>
    </w:p>
    <w:p>
      <w:pPr>
        <w:spacing w:after="0" w:line="19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COMMODITY PRICE RISK MANAGEMENT</w:t>
      </w:r>
    </w:p>
    <w:p>
      <w:pPr>
        <w:spacing w:after="0" w:line="12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Company's operations subject the Company to risk related to the price volatility of certain commodities. To mitigate the commodity price risk associated with the Company's operations, the Company may enter into commodity derivative instruments. In both 2024 and 2023, the Company entered into various contracts to mitigate commodity price volatility. The Company elected to apply hedge accounting to these contracts.</w:t>
      </w:r>
    </w:p>
    <w:p>
      <w:pPr>
        <w:spacing w:after="0" w:line="19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DERIVATIVE AND HEDGING INSTRUMENTS</w:t>
      </w:r>
    </w:p>
    <w:p>
      <w:pPr>
        <w:spacing w:after="0" w:line="128"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 following table summarizes the notional amounts and fair values of the Company’s outstanding derivatives by risk category and instrument type within the Consolidated Balance Sheet:</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340" w:type="dxa"/>
            <w:vAlign w:val="bottom"/>
          </w:tcPr>
          <w:p>
            <w:pPr>
              <w:spacing w:after="0"/>
              <w:rPr>
                <w:sz w:val="17"/>
                <w:szCs w:val="17"/>
                <w:color w:val="auto"/>
              </w:rPr>
            </w:pPr>
          </w:p>
        </w:tc>
        <w:tc>
          <w:tcPr>
            <w:tcW w:w="120" w:type="dxa"/>
            <w:vAlign w:val="bottom"/>
            <w:tcBorders>
              <w:bottom w:val="single" w:sz="8" w:color="D7282F"/>
            </w:tcBorders>
          </w:tcPr>
          <w:p>
            <w:pPr>
              <w:spacing w:after="0"/>
              <w:rPr>
                <w:sz w:val="17"/>
                <w:szCs w:val="17"/>
                <w:color w:val="auto"/>
              </w:rPr>
            </w:pPr>
          </w:p>
        </w:tc>
        <w:tc>
          <w:tcPr>
            <w:tcW w:w="2120" w:type="dxa"/>
            <w:vAlign w:val="bottom"/>
            <w:tcBorders>
              <w:bottom w:val="single" w:sz="8" w:color="D7282F"/>
            </w:tcBorders>
            <w:gridSpan w:val="3"/>
          </w:tcPr>
          <w:p>
            <w:pPr>
              <w:jc w:val="right"/>
              <w:ind w:right="808"/>
              <w:spacing w:after="0"/>
              <w:rPr>
                <w:sz w:val="20"/>
                <w:szCs w:val="20"/>
                <w:color w:val="auto"/>
              </w:rPr>
            </w:pPr>
            <w:r>
              <w:rPr>
                <w:rFonts w:ascii="Arial" w:cs="Arial" w:eastAsia="Arial" w:hAnsi="Arial"/>
                <w:sz w:val="14"/>
                <w:szCs w:val="14"/>
                <w:b w:val="1"/>
                <w:bCs w:val="1"/>
                <w:color w:val="auto"/>
              </w:rPr>
              <w:t>Notional</w:t>
            </w:r>
          </w:p>
        </w:tc>
        <w:tc>
          <w:tcPr>
            <w:tcW w:w="260" w:type="dxa"/>
            <w:vAlign w:val="bottom"/>
            <w:tcBorders>
              <w:bottom w:val="single" w:sz="8" w:color="D7282F"/>
            </w:tcBorders>
          </w:tcPr>
          <w:p>
            <w:pPr>
              <w:spacing w:after="0"/>
              <w:rPr>
                <w:sz w:val="17"/>
                <w:szCs w:val="17"/>
                <w:color w:val="auto"/>
              </w:rPr>
            </w:pPr>
          </w:p>
        </w:tc>
        <w:tc>
          <w:tcPr>
            <w:tcW w:w="2120" w:type="dxa"/>
            <w:vAlign w:val="bottom"/>
            <w:tcBorders>
              <w:bottom w:val="single" w:sz="8" w:color="D7282F"/>
            </w:tcBorders>
            <w:gridSpan w:val="3"/>
          </w:tcPr>
          <w:p>
            <w:pPr>
              <w:jc w:val="right"/>
              <w:ind w:right="548"/>
              <w:spacing w:after="0"/>
              <w:rPr>
                <w:sz w:val="20"/>
                <w:szCs w:val="20"/>
                <w:color w:val="auto"/>
              </w:rPr>
            </w:pPr>
            <w:r>
              <w:rPr>
                <w:rFonts w:ascii="Arial" w:cs="Arial" w:eastAsia="Arial" w:hAnsi="Arial"/>
                <w:sz w:val="14"/>
                <w:szCs w:val="14"/>
                <w:b w:val="1"/>
                <w:bCs w:val="1"/>
                <w:color w:val="auto"/>
              </w:rPr>
              <w:t>Fair Value Asset</w:t>
            </w:r>
          </w:p>
        </w:tc>
        <w:tc>
          <w:tcPr>
            <w:tcW w:w="240" w:type="dxa"/>
            <w:vAlign w:val="bottom"/>
            <w:tcBorders>
              <w:bottom w:val="single" w:sz="8" w:color="D7282F"/>
            </w:tcBorders>
          </w:tcPr>
          <w:p>
            <w:pPr>
              <w:spacing w:after="0"/>
              <w:rPr>
                <w:sz w:val="17"/>
                <w:szCs w:val="17"/>
                <w:color w:val="auto"/>
              </w:rPr>
            </w:pPr>
          </w:p>
        </w:tc>
        <w:tc>
          <w:tcPr>
            <w:tcW w:w="2040" w:type="dxa"/>
            <w:vAlign w:val="bottom"/>
            <w:tcBorders>
              <w:bottom w:val="single" w:sz="8" w:color="D7282F"/>
            </w:tcBorders>
            <w:gridSpan w:val="3"/>
          </w:tcPr>
          <w:p>
            <w:pPr>
              <w:jc w:val="right"/>
              <w:ind w:right="328"/>
              <w:spacing w:after="0"/>
              <w:rPr>
                <w:sz w:val="20"/>
                <w:szCs w:val="20"/>
                <w:color w:val="auto"/>
              </w:rPr>
            </w:pPr>
            <w:r>
              <w:rPr>
                <w:rFonts w:ascii="Arial" w:cs="Arial" w:eastAsia="Arial" w:hAnsi="Arial"/>
                <w:sz w:val="14"/>
                <w:szCs w:val="14"/>
                <w:b w:val="1"/>
                <w:bCs w:val="1"/>
                <w:color w:val="auto"/>
              </w:rPr>
              <w:t>Fair Value (Liability)</w:t>
            </w:r>
          </w:p>
        </w:tc>
      </w:tr>
      <w:tr>
        <w:trPr>
          <w:trHeight w:val="174"/>
        </w:trPr>
        <w:tc>
          <w:tcPr>
            <w:tcW w:w="4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ind w:right="168"/>
              <w:spacing w:after="0"/>
              <w:rPr>
                <w:sz w:val="20"/>
                <w:szCs w:val="20"/>
                <w:color w:val="auto"/>
              </w:rPr>
            </w:pPr>
            <w:r>
              <w:rPr>
                <w:rFonts w:ascii="Arial" w:cs="Arial" w:eastAsia="Arial" w:hAnsi="Arial"/>
                <w:sz w:val="14"/>
                <w:szCs w:val="14"/>
                <w:b w:val="1"/>
                <w:bCs w:val="1"/>
                <w:color w:val="auto"/>
              </w:rPr>
              <w:t>December</w:t>
            </w:r>
          </w:p>
        </w:tc>
        <w:tc>
          <w:tcPr>
            <w:tcW w:w="240" w:type="dxa"/>
            <w:vAlign w:val="bottom"/>
          </w:tcPr>
          <w:p>
            <w:pPr>
              <w:spacing w:after="0"/>
              <w:rPr>
                <w:sz w:val="15"/>
                <w:szCs w:val="15"/>
                <w:color w:val="auto"/>
              </w:rPr>
            </w:pPr>
          </w:p>
        </w:tc>
        <w:tc>
          <w:tcPr>
            <w:tcW w:w="940" w:type="dxa"/>
            <w:vAlign w:val="bottom"/>
          </w:tcPr>
          <w:p>
            <w:pPr>
              <w:jc w:val="right"/>
              <w:ind w:right="148"/>
              <w:spacing w:after="0"/>
              <w:rPr>
                <w:sz w:val="20"/>
                <w:szCs w:val="20"/>
                <w:color w:val="auto"/>
              </w:rPr>
            </w:pPr>
            <w:r>
              <w:rPr>
                <w:rFonts w:ascii="Arial" w:cs="Arial" w:eastAsia="Arial" w:hAnsi="Arial"/>
                <w:sz w:val="14"/>
                <w:szCs w:val="14"/>
                <w:b w:val="1"/>
                <w:bCs w:val="1"/>
                <w:color w:val="auto"/>
              </w:rPr>
              <w:t>December</w:t>
            </w:r>
          </w:p>
        </w:tc>
        <w:tc>
          <w:tcPr>
            <w:tcW w:w="260" w:type="dxa"/>
            <w:vAlign w:val="bottom"/>
          </w:tcPr>
          <w:p>
            <w:pPr>
              <w:spacing w:after="0"/>
              <w:rPr>
                <w:sz w:val="15"/>
                <w:szCs w:val="15"/>
                <w:color w:val="auto"/>
              </w:rPr>
            </w:pPr>
          </w:p>
        </w:tc>
        <w:tc>
          <w:tcPr>
            <w:tcW w:w="920" w:type="dxa"/>
            <w:vAlign w:val="bottom"/>
          </w:tcPr>
          <w:p>
            <w:pPr>
              <w:jc w:val="right"/>
              <w:ind w:right="148"/>
              <w:spacing w:after="0"/>
              <w:rPr>
                <w:sz w:val="20"/>
                <w:szCs w:val="20"/>
                <w:color w:val="auto"/>
              </w:rPr>
            </w:pPr>
            <w:r>
              <w:rPr>
                <w:rFonts w:ascii="Arial" w:cs="Arial" w:eastAsia="Arial" w:hAnsi="Arial"/>
                <w:sz w:val="14"/>
                <w:szCs w:val="14"/>
                <w:b w:val="1"/>
                <w:bCs w:val="1"/>
                <w:color w:val="auto"/>
              </w:rPr>
              <w:t>December</w:t>
            </w:r>
          </w:p>
        </w:tc>
        <w:tc>
          <w:tcPr>
            <w:tcW w:w="260" w:type="dxa"/>
            <w:vAlign w:val="bottom"/>
          </w:tcPr>
          <w:p>
            <w:pPr>
              <w:spacing w:after="0"/>
              <w:rPr>
                <w:sz w:val="15"/>
                <w:szCs w:val="15"/>
                <w:color w:val="auto"/>
              </w:rPr>
            </w:pPr>
          </w:p>
        </w:tc>
        <w:tc>
          <w:tcPr>
            <w:tcW w:w="940" w:type="dxa"/>
            <w:vAlign w:val="bottom"/>
          </w:tcPr>
          <w:p>
            <w:pPr>
              <w:jc w:val="right"/>
              <w:ind w:right="148"/>
              <w:spacing w:after="0"/>
              <w:rPr>
                <w:sz w:val="20"/>
                <w:szCs w:val="20"/>
                <w:color w:val="auto"/>
              </w:rPr>
            </w:pPr>
            <w:r>
              <w:rPr>
                <w:rFonts w:ascii="Arial" w:cs="Arial" w:eastAsia="Arial" w:hAnsi="Arial"/>
                <w:sz w:val="14"/>
                <w:szCs w:val="14"/>
                <w:b w:val="1"/>
                <w:bCs w:val="1"/>
                <w:color w:val="auto"/>
              </w:rPr>
              <w:t>December</w:t>
            </w:r>
          </w:p>
        </w:tc>
        <w:tc>
          <w:tcPr>
            <w:tcW w:w="240" w:type="dxa"/>
            <w:vAlign w:val="bottom"/>
          </w:tcPr>
          <w:p>
            <w:pPr>
              <w:spacing w:after="0"/>
              <w:rPr>
                <w:sz w:val="15"/>
                <w:szCs w:val="15"/>
                <w:color w:val="auto"/>
              </w:rPr>
            </w:pPr>
          </w:p>
        </w:tc>
        <w:tc>
          <w:tcPr>
            <w:tcW w:w="960" w:type="dxa"/>
            <w:vAlign w:val="bottom"/>
          </w:tcPr>
          <w:p>
            <w:pPr>
              <w:jc w:val="right"/>
              <w:ind w:right="168"/>
              <w:spacing w:after="0"/>
              <w:rPr>
                <w:sz w:val="20"/>
                <w:szCs w:val="20"/>
                <w:color w:val="auto"/>
              </w:rPr>
            </w:pPr>
            <w:r>
              <w:rPr>
                <w:rFonts w:ascii="Arial" w:cs="Arial" w:eastAsia="Arial" w:hAnsi="Arial"/>
                <w:sz w:val="14"/>
                <w:szCs w:val="14"/>
                <w:b w:val="1"/>
                <w:bCs w:val="1"/>
                <w:color w:val="auto"/>
              </w:rPr>
              <w:t>December</w:t>
            </w:r>
          </w:p>
        </w:tc>
        <w:tc>
          <w:tcPr>
            <w:tcW w:w="240" w:type="dxa"/>
            <w:vAlign w:val="bottom"/>
          </w:tcPr>
          <w:p>
            <w:pPr>
              <w:spacing w:after="0"/>
              <w:rPr>
                <w:sz w:val="15"/>
                <w:szCs w:val="15"/>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b w:val="1"/>
                <w:bCs w:val="1"/>
                <w:color w:val="auto"/>
              </w:rPr>
              <w:t>December</w:t>
            </w:r>
          </w:p>
        </w:tc>
      </w:tr>
      <w:tr>
        <w:trPr>
          <w:trHeight w:val="185"/>
        </w:trPr>
        <w:tc>
          <w:tcPr>
            <w:tcW w:w="4340" w:type="dxa"/>
            <w:vAlign w:val="bottom"/>
            <w:tcBorders>
              <w:bottom w:val="single" w:sz="8" w:color="D7282F"/>
            </w:tcBorders>
          </w:tcPr>
          <w:p>
            <w:pPr>
              <w:spacing w:after="0"/>
              <w:rPr>
                <w:sz w:val="16"/>
                <w:szCs w:val="16"/>
                <w:color w:val="auto"/>
              </w:rPr>
            </w:pPr>
          </w:p>
        </w:tc>
        <w:tc>
          <w:tcPr>
            <w:tcW w:w="120" w:type="dxa"/>
            <w:vAlign w:val="bottom"/>
            <w:tcBorders>
              <w:bottom w:val="single" w:sz="8" w:color="D7282F"/>
            </w:tcBorders>
          </w:tcPr>
          <w:p>
            <w:pPr>
              <w:spacing w:after="0"/>
              <w:rPr>
                <w:sz w:val="16"/>
                <w:szCs w:val="16"/>
                <w:color w:val="auto"/>
              </w:rPr>
            </w:pPr>
          </w:p>
        </w:tc>
        <w:tc>
          <w:tcPr>
            <w:tcW w:w="940" w:type="dxa"/>
            <w:vAlign w:val="bottom"/>
            <w:tcBorders>
              <w:bottom w:val="single" w:sz="8" w:color="D7282F"/>
            </w:tcBorders>
          </w:tcPr>
          <w:p>
            <w:pPr>
              <w:jc w:val="right"/>
              <w:ind w:right="228"/>
              <w:spacing w:after="0"/>
              <w:rPr>
                <w:sz w:val="20"/>
                <w:szCs w:val="20"/>
                <w:color w:val="auto"/>
              </w:rPr>
            </w:pPr>
            <w:r>
              <w:rPr>
                <w:rFonts w:ascii="Arial" w:cs="Arial" w:eastAsia="Arial" w:hAnsi="Arial"/>
                <w:sz w:val="14"/>
                <w:szCs w:val="14"/>
                <w:b w:val="1"/>
                <w:bCs w:val="1"/>
                <w:color w:val="auto"/>
              </w:rPr>
              <w:t>31, 2024</w:t>
            </w:r>
          </w:p>
        </w:tc>
        <w:tc>
          <w:tcPr>
            <w:tcW w:w="240" w:type="dxa"/>
            <w:vAlign w:val="bottom"/>
            <w:tcBorders>
              <w:bottom w:val="single" w:sz="8" w:color="D7282F"/>
            </w:tcBorders>
          </w:tcPr>
          <w:p>
            <w:pPr>
              <w:spacing w:after="0"/>
              <w:rPr>
                <w:sz w:val="16"/>
                <w:szCs w:val="16"/>
                <w:color w:val="auto"/>
              </w:rPr>
            </w:pPr>
          </w:p>
        </w:tc>
        <w:tc>
          <w:tcPr>
            <w:tcW w:w="940" w:type="dxa"/>
            <w:vAlign w:val="bottom"/>
            <w:tcBorders>
              <w:bottom w:val="single" w:sz="8" w:color="D7282F"/>
            </w:tcBorders>
          </w:tcPr>
          <w:p>
            <w:pPr>
              <w:jc w:val="right"/>
              <w:ind w:right="228"/>
              <w:spacing w:after="0"/>
              <w:rPr>
                <w:sz w:val="20"/>
                <w:szCs w:val="20"/>
                <w:color w:val="auto"/>
              </w:rPr>
            </w:pPr>
            <w:r>
              <w:rPr>
                <w:rFonts w:ascii="Arial" w:cs="Arial" w:eastAsia="Arial" w:hAnsi="Arial"/>
                <w:sz w:val="14"/>
                <w:szCs w:val="14"/>
                <w:b w:val="1"/>
                <w:bCs w:val="1"/>
                <w:color w:val="auto"/>
              </w:rPr>
              <w:t>31, 2023</w:t>
            </w:r>
          </w:p>
        </w:tc>
        <w:tc>
          <w:tcPr>
            <w:tcW w:w="260" w:type="dxa"/>
            <w:vAlign w:val="bottom"/>
            <w:tcBorders>
              <w:bottom w:val="single" w:sz="8" w:color="D7282F"/>
            </w:tcBorders>
          </w:tcPr>
          <w:p>
            <w:pPr>
              <w:spacing w:after="0"/>
              <w:rPr>
                <w:sz w:val="16"/>
                <w:szCs w:val="16"/>
                <w:color w:val="auto"/>
              </w:rPr>
            </w:pPr>
          </w:p>
        </w:tc>
        <w:tc>
          <w:tcPr>
            <w:tcW w:w="92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31, 2024</w:t>
            </w:r>
          </w:p>
        </w:tc>
        <w:tc>
          <w:tcPr>
            <w:tcW w:w="260" w:type="dxa"/>
            <w:vAlign w:val="bottom"/>
            <w:tcBorders>
              <w:bottom w:val="single" w:sz="8" w:color="D7282F"/>
            </w:tcBorders>
          </w:tcPr>
          <w:p>
            <w:pPr>
              <w:spacing w:after="0"/>
              <w:rPr>
                <w:sz w:val="16"/>
                <w:szCs w:val="16"/>
                <w:color w:val="auto"/>
              </w:rPr>
            </w:pPr>
          </w:p>
        </w:tc>
        <w:tc>
          <w:tcPr>
            <w:tcW w:w="940" w:type="dxa"/>
            <w:vAlign w:val="bottom"/>
            <w:tcBorders>
              <w:bottom w:val="single" w:sz="8" w:color="D7282F"/>
            </w:tcBorders>
          </w:tcPr>
          <w:p>
            <w:pPr>
              <w:jc w:val="right"/>
              <w:ind w:right="228"/>
              <w:spacing w:after="0"/>
              <w:rPr>
                <w:sz w:val="20"/>
                <w:szCs w:val="20"/>
                <w:color w:val="auto"/>
              </w:rPr>
            </w:pPr>
            <w:r>
              <w:rPr>
                <w:rFonts w:ascii="Arial" w:cs="Arial" w:eastAsia="Arial" w:hAnsi="Arial"/>
                <w:sz w:val="14"/>
                <w:szCs w:val="14"/>
                <w:b w:val="1"/>
                <w:bCs w:val="1"/>
                <w:color w:val="auto"/>
              </w:rPr>
              <w:t>31, 2023</w:t>
            </w:r>
          </w:p>
        </w:tc>
        <w:tc>
          <w:tcPr>
            <w:tcW w:w="240" w:type="dxa"/>
            <w:vAlign w:val="bottom"/>
            <w:tcBorders>
              <w:bottom w:val="single" w:sz="8" w:color="D7282F"/>
            </w:tcBorders>
          </w:tcPr>
          <w:p>
            <w:pPr>
              <w:spacing w:after="0"/>
              <w:rPr>
                <w:sz w:val="16"/>
                <w:szCs w:val="16"/>
                <w:color w:val="auto"/>
              </w:rPr>
            </w:pPr>
          </w:p>
        </w:tc>
        <w:tc>
          <w:tcPr>
            <w:tcW w:w="960" w:type="dxa"/>
            <w:vAlign w:val="bottom"/>
            <w:tcBorders>
              <w:bottom w:val="single" w:sz="8" w:color="D7282F"/>
            </w:tcBorders>
          </w:tcPr>
          <w:p>
            <w:pPr>
              <w:jc w:val="right"/>
              <w:ind w:right="228"/>
              <w:spacing w:after="0"/>
              <w:rPr>
                <w:sz w:val="20"/>
                <w:szCs w:val="20"/>
                <w:color w:val="auto"/>
              </w:rPr>
            </w:pPr>
            <w:r>
              <w:rPr>
                <w:rFonts w:ascii="Arial" w:cs="Arial" w:eastAsia="Arial" w:hAnsi="Arial"/>
                <w:sz w:val="14"/>
                <w:szCs w:val="14"/>
                <w:b w:val="1"/>
                <w:bCs w:val="1"/>
                <w:color w:val="auto"/>
              </w:rPr>
              <w:t>31, 2024</w:t>
            </w:r>
          </w:p>
        </w:tc>
        <w:tc>
          <w:tcPr>
            <w:tcW w:w="240" w:type="dxa"/>
            <w:vAlign w:val="bottom"/>
            <w:tcBorders>
              <w:bottom w:val="single" w:sz="8" w:color="D7282F"/>
            </w:tcBorders>
          </w:tcPr>
          <w:p>
            <w:pPr>
              <w:spacing w:after="0"/>
              <w:rPr>
                <w:sz w:val="16"/>
                <w:szCs w:val="16"/>
                <w:color w:val="auto"/>
              </w:rPr>
            </w:pPr>
          </w:p>
        </w:tc>
        <w:tc>
          <w:tcPr>
            <w:tcW w:w="840" w:type="dxa"/>
            <w:vAlign w:val="bottom"/>
            <w:tcBorders>
              <w:bottom w:val="single" w:sz="8" w:color="D7282F"/>
            </w:tcBorders>
          </w:tcPr>
          <w:p>
            <w:pPr>
              <w:jc w:val="right"/>
              <w:ind w:right="128"/>
              <w:spacing w:after="0"/>
              <w:rPr>
                <w:sz w:val="20"/>
                <w:szCs w:val="20"/>
                <w:color w:val="auto"/>
              </w:rPr>
            </w:pPr>
            <w:r>
              <w:rPr>
                <w:rFonts w:ascii="Arial" w:cs="Arial" w:eastAsia="Arial" w:hAnsi="Arial"/>
                <w:sz w:val="14"/>
                <w:szCs w:val="14"/>
                <w:b w:val="1"/>
                <w:bCs w:val="1"/>
                <w:color w:val="auto"/>
              </w:rPr>
              <w:t>31, 2023</w:t>
            </w:r>
          </w:p>
        </w:tc>
      </w:tr>
      <w:tr>
        <w:trPr>
          <w:trHeight w:val="195"/>
        </w:trPr>
        <w:tc>
          <w:tcPr>
            <w:tcW w:w="4340" w:type="dxa"/>
            <w:vAlign w:val="bottom"/>
            <w:tcBorders>
              <w:bottom w:val="single" w:sz="8" w:color="888B8D"/>
            </w:tcBorders>
          </w:tcPr>
          <w:p>
            <w:pPr>
              <w:ind w:left="20"/>
              <w:spacing w:after="0"/>
              <w:rPr>
                <w:sz w:val="20"/>
                <w:szCs w:val="20"/>
                <w:color w:val="auto"/>
              </w:rPr>
            </w:pPr>
            <w:r>
              <w:rPr>
                <w:rFonts w:ascii="Arial" w:cs="Arial" w:eastAsia="Arial" w:hAnsi="Arial"/>
                <w:sz w:val="14"/>
                <w:szCs w:val="14"/>
                <w:b w:val="1"/>
                <w:bCs w:val="1"/>
                <w:color w:val="auto"/>
              </w:rPr>
              <w:t>Derivatives in fair value hedging relationships</w:t>
            </w:r>
          </w:p>
        </w:tc>
        <w:tc>
          <w:tcPr>
            <w:tcW w:w="120" w:type="dxa"/>
            <w:vAlign w:val="bottom"/>
            <w:tcBorders>
              <w:bottom w:val="single" w:sz="8" w:color="888B8D"/>
            </w:tcBorders>
          </w:tcPr>
          <w:p>
            <w:pPr>
              <w:spacing w:after="0"/>
              <w:rPr>
                <w:sz w:val="16"/>
                <w:szCs w:val="16"/>
                <w:color w:val="auto"/>
              </w:rPr>
            </w:pPr>
          </w:p>
        </w:tc>
        <w:tc>
          <w:tcPr>
            <w:tcW w:w="940" w:type="dxa"/>
            <w:vAlign w:val="bottom"/>
            <w:tcBorders>
              <w:bottom w:val="single" w:sz="8" w:color="888B8D"/>
            </w:tcBorders>
          </w:tcPr>
          <w:p>
            <w:pPr>
              <w:spacing w:after="0"/>
              <w:rPr>
                <w:sz w:val="16"/>
                <w:szCs w:val="16"/>
                <w:color w:val="auto"/>
              </w:rPr>
            </w:pPr>
          </w:p>
        </w:tc>
        <w:tc>
          <w:tcPr>
            <w:tcW w:w="240" w:type="dxa"/>
            <w:vAlign w:val="bottom"/>
            <w:tcBorders>
              <w:bottom w:val="single" w:sz="8" w:color="888B8D"/>
            </w:tcBorders>
          </w:tcPr>
          <w:p>
            <w:pPr>
              <w:spacing w:after="0"/>
              <w:rPr>
                <w:sz w:val="16"/>
                <w:szCs w:val="16"/>
                <w:color w:val="auto"/>
              </w:rPr>
            </w:pPr>
          </w:p>
        </w:tc>
        <w:tc>
          <w:tcPr>
            <w:tcW w:w="940" w:type="dxa"/>
            <w:vAlign w:val="bottom"/>
            <w:tcBorders>
              <w:bottom w:val="single" w:sz="8" w:color="888B8D"/>
            </w:tcBorders>
          </w:tcPr>
          <w:p>
            <w:pPr>
              <w:spacing w:after="0"/>
              <w:rPr>
                <w:sz w:val="16"/>
                <w:szCs w:val="16"/>
                <w:color w:val="auto"/>
              </w:rPr>
            </w:pPr>
          </w:p>
        </w:tc>
        <w:tc>
          <w:tcPr>
            <w:tcW w:w="260" w:type="dxa"/>
            <w:vAlign w:val="bottom"/>
            <w:tcBorders>
              <w:bottom w:val="single" w:sz="8" w:color="888B8D"/>
            </w:tcBorders>
          </w:tcPr>
          <w:p>
            <w:pPr>
              <w:spacing w:after="0"/>
              <w:rPr>
                <w:sz w:val="16"/>
                <w:szCs w:val="16"/>
                <w:color w:val="auto"/>
              </w:rPr>
            </w:pPr>
          </w:p>
        </w:tc>
        <w:tc>
          <w:tcPr>
            <w:tcW w:w="920" w:type="dxa"/>
            <w:vAlign w:val="bottom"/>
            <w:tcBorders>
              <w:bottom w:val="single" w:sz="8" w:color="888B8D"/>
            </w:tcBorders>
          </w:tcPr>
          <w:p>
            <w:pPr>
              <w:spacing w:after="0"/>
              <w:rPr>
                <w:sz w:val="16"/>
                <w:szCs w:val="16"/>
                <w:color w:val="auto"/>
              </w:rPr>
            </w:pPr>
          </w:p>
        </w:tc>
        <w:tc>
          <w:tcPr>
            <w:tcW w:w="260" w:type="dxa"/>
            <w:vAlign w:val="bottom"/>
            <w:tcBorders>
              <w:bottom w:val="single" w:sz="8" w:color="888B8D"/>
            </w:tcBorders>
          </w:tcPr>
          <w:p>
            <w:pPr>
              <w:spacing w:after="0"/>
              <w:rPr>
                <w:sz w:val="16"/>
                <w:szCs w:val="16"/>
                <w:color w:val="auto"/>
              </w:rPr>
            </w:pPr>
          </w:p>
        </w:tc>
        <w:tc>
          <w:tcPr>
            <w:tcW w:w="940" w:type="dxa"/>
            <w:vAlign w:val="bottom"/>
            <w:tcBorders>
              <w:bottom w:val="single" w:sz="8" w:color="888B8D"/>
            </w:tcBorders>
          </w:tcPr>
          <w:p>
            <w:pPr>
              <w:spacing w:after="0"/>
              <w:rPr>
                <w:sz w:val="16"/>
                <w:szCs w:val="16"/>
                <w:color w:val="auto"/>
              </w:rPr>
            </w:pPr>
          </w:p>
        </w:tc>
        <w:tc>
          <w:tcPr>
            <w:tcW w:w="240" w:type="dxa"/>
            <w:vAlign w:val="bottom"/>
            <w:tcBorders>
              <w:bottom w:val="single" w:sz="8" w:color="888B8D"/>
            </w:tcBorders>
          </w:tcPr>
          <w:p>
            <w:pPr>
              <w:spacing w:after="0"/>
              <w:rPr>
                <w:sz w:val="16"/>
                <w:szCs w:val="16"/>
                <w:color w:val="auto"/>
              </w:rPr>
            </w:pPr>
          </w:p>
        </w:tc>
        <w:tc>
          <w:tcPr>
            <w:tcW w:w="960" w:type="dxa"/>
            <w:vAlign w:val="bottom"/>
            <w:tcBorders>
              <w:bottom w:val="single" w:sz="8" w:color="888B8D"/>
            </w:tcBorders>
          </w:tcPr>
          <w:p>
            <w:pPr>
              <w:spacing w:after="0"/>
              <w:rPr>
                <w:sz w:val="16"/>
                <w:szCs w:val="16"/>
                <w:color w:val="auto"/>
              </w:rPr>
            </w:pPr>
          </w:p>
        </w:tc>
        <w:tc>
          <w:tcPr>
            <w:tcW w:w="240" w:type="dxa"/>
            <w:vAlign w:val="bottom"/>
            <w:tcBorders>
              <w:bottom w:val="single" w:sz="8" w:color="888B8D"/>
            </w:tcBorders>
          </w:tcPr>
          <w:p>
            <w:pPr>
              <w:spacing w:after="0"/>
              <w:rPr>
                <w:sz w:val="16"/>
                <w:szCs w:val="16"/>
                <w:color w:val="auto"/>
              </w:rPr>
            </w:pPr>
          </w:p>
        </w:tc>
        <w:tc>
          <w:tcPr>
            <w:tcW w:w="840" w:type="dxa"/>
            <w:vAlign w:val="bottom"/>
            <w:tcBorders>
              <w:bottom w:val="single" w:sz="8" w:color="888B8D"/>
            </w:tcBorders>
          </w:tcPr>
          <w:p>
            <w:pPr>
              <w:spacing w:after="0"/>
              <w:rPr>
                <w:sz w:val="16"/>
                <w:szCs w:val="16"/>
                <w:color w:val="auto"/>
              </w:rPr>
            </w:pPr>
          </w:p>
        </w:tc>
      </w:tr>
      <w:tr>
        <w:trPr>
          <w:trHeight w:val="193"/>
        </w:trPr>
        <w:tc>
          <w:tcPr>
            <w:tcW w:w="434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Interest rate swap agreements</w:t>
            </w:r>
          </w:p>
        </w:tc>
        <w:tc>
          <w:tcPr>
            <w:tcW w:w="12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3,899</w:t>
            </w:r>
          </w:p>
        </w:tc>
        <w:tc>
          <w:tcPr>
            <w:tcW w:w="2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4,717</w:t>
            </w:r>
          </w:p>
        </w:tc>
        <w:tc>
          <w:tcPr>
            <w:tcW w:w="2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3</w:t>
            </w:r>
          </w:p>
        </w:tc>
        <w:tc>
          <w:tcPr>
            <w:tcW w:w="2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18</w:t>
            </w:r>
          </w:p>
        </w:tc>
        <w:tc>
          <w:tcPr>
            <w:tcW w:w="2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(139)</w:t>
            </w:r>
          </w:p>
        </w:tc>
        <w:tc>
          <w:tcPr>
            <w:tcW w:w="2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(184)</w:t>
            </w:r>
          </w:p>
        </w:tc>
      </w:tr>
      <w:tr>
        <w:trPr>
          <w:trHeight w:val="199"/>
        </w:trPr>
        <w:tc>
          <w:tcPr>
            <w:tcW w:w="4340" w:type="dxa"/>
            <w:vAlign w:val="bottom"/>
            <w:tcBorders>
              <w:bottom w:val="single" w:sz="8" w:color="888B8D"/>
            </w:tcBorders>
          </w:tcPr>
          <w:p>
            <w:pPr>
              <w:ind w:left="20"/>
              <w:spacing w:after="0"/>
              <w:rPr>
                <w:sz w:val="20"/>
                <w:szCs w:val="20"/>
                <w:color w:val="auto"/>
              </w:rPr>
            </w:pPr>
            <w:r>
              <w:rPr>
                <w:rFonts w:ascii="Arial" w:cs="Arial" w:eastAsia="Arial" w:hAnsi="Arial"/>
                <w:sz w:val="14"/>
                <w:szCs w:val="14"/>
                <w:b w:val="1"/>
                <w:bCs w:val="1"/>
                <w:color w:val="auto"/>
              </w:rPr>
              <w:t>Derivatives in cash flow hedging relationships</w:t>
            </w:r>
          </w:p>
        </w:tc>
        <w:tc>
          <w:tcPr>
            <w:tcW w:w="120" w:type="dxa"/>
            <w:vAlign w:val="bottom"/>
            <w:tcBorders>
              <w:bottom w:val="single" w:sz="8" w:color="888B8D"/>
            </w:tcBorders>
          </w:tcPr>
          <w:p>
            <w:pPr>
              <w:spacing w:after="0"/>
              <w:rPr>
                <w:sz w:val="17"/>
                <w:szCs w:val="17"/>
                <w:color w:val="auto"/>
              </w:rPr>
            </w:pPr>
          </w:p>
        </w:tc>
        <w:tc>
          <w:tcPr>
            <w:tcW w:w="940" w:type="dxa"/>
            <w:vAlign w:val="bottom"/>
            <w:tcBorders>
              <w:bottom w:val="single" w:sz="8" w:color="888B8D"/>
            </w:tcBorders>
          </w:tcPr>
          <w:p>
            <w:pPr>
              <w:spacing w:after="0"/>
              <w:rPr>
                <w:sz w:val="17"/>
                <w:szCs w:val="17"/>
                <w:color w:val="auto"/>
              </w:rPr>
            </w:pPr>
          </w:p>
        </w:tc>
        <w:tc>
          <w:tcPr>
            <w:tcW w:w="240" w:type="dxa"/>
            <w:vAlign w:val="bottom"/>
            <w:tcBorders>
              <w:bottom w:val="single" w:sz="8" w:color="888B8D"/>
            </w:tcBorders>
          </w:tcPr>
          <w:p>
            <w:pPr>
              <w:spacing w:after="0"/>
              <w:rPr>
                <w:sz w:val="17"/>
                <w:szCs w:val="17"/>
                <w:color w:val="auto"/>
              </w:rPr>
            </w:pPr>
          </w:p>
        </w:tc>
        <w:tc>
          <w:tcPr>
            <w:tcW w:w="940" w:type="dxa"/>
            <w:vAlign w:val="bottom"/>
            <w:tcBorders>
              <w:bottom w:val="single" w:sz="8" w:color="888B8D"/>
            </w:tcBorders>
          </w:tcPr>
          <w:p>
            <w:pPr>
              <w:spacing w:after="0"/>
              <w:rPr>
                <w:sz w:val="17"/>
                <w:szCs w:val="17"/>
                <w:color w:val="auto"/>
              </w:rPr>
            </w:pPr>
          </w:p>
        </w:tc>
        <w:tc>
          <w:tcPr>
            <w:tcW w:w="260" w:type="dxa"/>
            <w:vAlign w:val="bottom"/>
            <w:tcBorders>
              <w:bottom w:val="single" w:sz="8" w:color="888B8D"/>
            </w:tcBorders>
          </w:tcPr>
          <w:p>
            <w:pPr>
              <w:spacing w:after="0"/>
              <w:rPr>
                <w:sz w:val="17"/>
                <w:szCs w:val="17"/>
                <w:color w:val="auto"/>
              </w:rPr>
            </w:pPr>
          </w:p>
        </w:tc>
        <w:tc>
          <w:tcPr>
            <w:tcW w:w="920" w:type="dxa"/>
            <w:vAlign w:val="bottom"/>
            <w:tcBorders>
              <w:bottom w:val="single" w:sz="8" w:color="888B8D"/>
            </w:tcBorders>
          </w:tcPr>
          <w:p>
            <w:pPr>
              <w:spacing w:after="0"/>
              <w:rPr>
                <w:sz w:val="17"/>
                <w:szCs w:val="17"/>
                <w:color w:val="auto"/>
              </w:rPr>
            </w:pPr>
          </w:p>
        </w:tc>
        <w:tc>
          <w:tcPr>
            <w:tcW w:w="260" w:type="dxa"/>
            <w:vAlign w:val="bottom"/>
            <w:tcBorders>
              <w:bottom w:val="single" w:sz="8" w:color="888B8D"/>
            </w:tcBorders>
          </w:tcPr>
          <w:p>
            <w:pPr>
              <w:spacing w:after="0"/>
              <w:rPr>
                <w:sz w:val="17"/>
                <w:szCs w:val="17"/>
                <w:color w:val="auto"/>
              </w:rPr>
            </w:pPr>
          </w:p>
        </w:tc>
        <w:tc>
          <w:tcPr>
            <w:tcW w:w="940" w:type="dxa"/>
            <w:vAlign w:val="bottom"/>
            <w:tcBorders>
              <w:bottom w:val="single" w:sz="8" w:color="888B8D"/>
            </w:tcBorders>
          </w:tcPr>
          <w:p>
            <w:pPr>
              <w:spacing w:after="0"/>
              <w:rPr>
                <w:sz w:val="17"/>
                <w:szCs w:val="17"/>
                <w:color w:val="auto"/>
              </w:rPr>
            </w:pPr>
          </w:p>
        </w:tc>
        <w:tc>
          <w:tcPr>
            <w:tcW w:w="240" w:type="dxa"/>
            <w:vAlign w:val="bottom"/>
            <w:tcBorders>
              <w:bottom w:val="single" w:sz="8" w:color="888B8D"/>
            </w:tcBorders>
          </w:tcPr>
          <w:p>
            <w:pPr>
              <w:spacing w:after="0"/>
              <w:rPr>
                <w:sz w:val="17"/>
                <w:szCs w:val="17"/>
                <w:color w:val="auto"/>
              </w:rPr>
            </w:pPr>
          </w:p>
        </w:tc>
        <w:tc>
          <w:tcPr>
            <w:tcW w:w="960" w:type="dxa"/>
            <w:vAlign w:val="bottom"/>
            <w:tcBorders>
              <w:bottom w:val="single" w:sz="8" w:color="888B8D"/>
            </w:tcBorders>
          </w:tcPr>
          <w:p>
            <w:pPr>
              <w:spacing w:after="0"/>
              <w:rPr>
                <w:sz w:val="17"/>
                <w:szCs w:val="17"/>
                <w:color w:val="auto"/>
              </w:rPr>
            </w:pPr>
          </w:p>
        </w:tc>
        <w:tc>
          <w:tcPr>
            <w:tcW w:w="240" w:type="dxa"/>
            <w:vAlign w:val="bottom"/>
            <w:tcBorders>
              <w:bottom w:val="single" w:sz="8" w:color="888B8D"/>
            </w:tcBorders>
          </w:tcPr>
          <w:p>
            <w:pPr>
              <w:spacing w:after="0"/>
              <w:rPr>
                <w:sz w:val="17"/>
                <w:szCs w:val="17"/>
                <w:color w:val="auto"/>
              </w:rPr>
            </w:pPr>
          </w:p>
        </w:tc>
        <w:tc>
          <w:tcPr>
            <w:tcW w:w="840" w:type="dxa"/>
            <w:vAlign w:val="bottom"/>
            <w:tcBorders>
              <w:bottom w:val="single" w:sz="8" w:color="888B8D"/>
            </w:tcBorders>
          </w:tcPr>
          <w:p>
            <w:pPr>
              <w:spacing w:after="0"/>
              <w:rPr>
                <w:sz w:val="17"/>
                <w:szCs w:val="17"/>
                <w:color w:val="auto"/>
              </w:rPr>
            </w:pPr>
          </w:p>
        </w:tc>
      </w:tr>
      <w:tr>
        <w:trPr>
          <w:trHeight w:val="193"/>
        </w:trPr>
        <w:tc>
          <w:tcPr>
            <w:tcW w:w="434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Foreign currency exchange contracts</w:t>
            </w:r>
          </w:p>
        </w:tc>
        <w:tc>
          <w:tcPr>
            <w:tcW w:w="120" w:type="dxa"/>
            <w:vAlign w:val="bottom"/>
            <w:tcBorders>
              <w:bottom w:val="single" w:sz="8" w:color="888B8D"/>
            </w:tcBorders>
          </w:tcPr>
          <w:p>
            <w:pPr>
              <w:spacing w:after="0"/>
              <w:rPr>
                <w:sz w:val="16"/>
                <w:szCs w:val="16"/>
                <w:color w:val="auto"/>
              </w:rPr>
            </w:pPr>
          </w:p>
        </w:tc>
        <w:tc>
          <w:tcPr>
            <w:tcW w:w="94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1,235</w:t>
            </w:r>
          </w:p>
        </w:tc>
        <w:tc>
          <w:tcPr>
            <w:tcW w:w="240" w:type="dxa"/>
            <w:vAlign w:val="bottom"/>
            <w:tcBorders>
              <w:bottom w:val="single" w:sz="8" w:color="888B8D"/>
            </w:tcBorders>
          </w:tcPr>
          <w:p>
            <w:pPr>
              <w:spacing w:after="0"/>
              <w:rPr>
                <w:sz w:val="16"/>
                <w:szCs w:val="16"/>
                <w:color w:val="auto"/>
              </w:rPr>
            </w:pPr>
          </w:p>
        </w:tc>
        <w:tc>
          <w:tcPr>
            <w:tcW w:w="94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712</w:t>
            </w:r>
          </w:p>
        </w:tc>
        <w:tc>
          <w:tcPr>
            <w:tcW w:w="260" w:type="dxa"/>
            <w:vAlign w:val="bottom"/>
            <w:tcBorders>
              <w:bottom w:val="single" w:sz="8" w:color="888B8D"/>
            </w:tcBorders>
          </w:tcPr>
          <w:p>
            <w:pPr>
              <w:spacing w:after="0"/>
              <w:rPr>
                <w:sz w:val="16"/>
                <w:szCs w:val="16"/>
                <w:color w:val="auto"/>
              </w:rPr>
            </w:pPr>
          </w:p>
        </w:tc>
        <w:tc>
          <w:tcPr>
            <w:tcW w:w="92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30</w:t>
            </w:r>
          </w:p>
        </w:tc>
        <w:tc>
          <w:tcPr>
            <w:tcW w:w="260" w:type="dxa"/>
            <w:vAlign w:val="bottom"/>
            <w:tcBorders>
              <w:bottom w:val="single" w:sz="8" w:color="888B8D"/>
            </w:tcBorders>
          </w:tcPr>
          <w:p>
            <w:pPr>
              <w:spacing w:after="0"/>
              <w:rPr>
                <w:sz w:val="16"/>
                <w:szCs w:val="16"/>
                <w:color w:val="auto"/>
              </w:rPr>
            </w:pPr>
          </w:p>
        </w:tc>
        <w:tc>
          <w:tcPr>
            <w:tcW w:w="94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28</w:t>
            </w:r>
          </w:p>
        </w:tc>
        <w:tc>
          <w:tcPr>
            <w:tcW w:w="240" w:type="dxa"/>
            <w:vAlign w:val="bottom"/>
            <w:tcBorders>
              <w:bottom w:val="single" w:sz="8" w:color="888B8D"/>
            </w:tcBorders>
          </w:tcPr>
          <w:p>
            <w:pPr>
              <w:spacing w:after="0"/>
              <w:rPr>
                <w:sz w:val="16"/>
                <w:szCs w:val="16"/>
                <w:color w:val="auto"/>
              </w:rPr>
            </w:pPr>
          </w:p>
        </w:tc>
        <w:tc>
          <w:tcPr>
            <w:tcW w:w="96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(10)</w:t>
            </w:r>
          </w:p>
        </w:tc>
        <w:tc>
          <w:tcPr>
            <w:tcW w:w="240" w:type="dxa"/>
            <w:vAlign w:val="bottom"/>
            <w:tcBorders>
              <w:bottom w:val="single" w:sz="8" w:color="888B8D"/>
            </w:tcBorders>
          </w:tcPr>
          <w:p>
            <w:pPr>
              <w:spacing w:after="0"/>
              <w:rPr>
                <w:sz w:val="16"/>
                <w:szCs w:val="16"/>
                <w:color w:val="auto"/>
              </w:rPr>
            </w:pPr>
          </w:p>
        </w:tc>
        <w:tc>
          <w:tcPr>
            <w:tcW w:w="8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(4)</w:t>
            </w:r>
          </w:p>
        </w:tc>
      </w:tr>
      <w:tr>
        <w:trPr>
          <w:trHeight w:val="196"/>
        </w:trPr>
        <w:tc>
          <w:tcPr>
            <w:tcW w:w="434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Commodity contracts</w:t>
            </w:r>
          </w:p>
        </w:tc>
        <w:tc>
          <w:tcPr>
            <w:tcW w:w="120" w:type="dxa"/>
            <w:vAlign w:val="bottom"/>
            <w:tcBorders>
              <w:bottom w:val="single" w:sz="8" w:color="888B8D"/>
            </w:tcBorders>
          </w:tcPr>
          <w:p>
            <w:pPr>
              <w:spacing w:after="0"/>
              <w:rPr>
                <w:sz w:val="17"/>
                <w:szCs w:val="17"/>
                <w:color w:val="auto"/>
              </w:rPr>
            </w:pPr>
          </w:p>
        </w:tc>
        <w:tc>
          <w:tcPr>
            <w:tcW w:w="94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1</w:t>
            </w:r>
          </w:p>
        </w:tc>
        <w:tc>
          <w:tcPr>
            <w:tcW w:w="240" w:type="dxa"/>
            <w:vAlign w:val="bottom"/>
            <w:tcBorders>
              <w:bottom w:val="single" w:sz="8" w:color="888B8D"/>
            </w:tcBorders>
          </w:tcPr>
          <w:p>
            <w:pPr>
              <w:spacing w:after="0"/>
              <w:rPr>
                <w:sz w:val="17"/>
                <w:szCs w:val="17"/>
                <w:color w:val="auto"/>
              </w:rPr>
            </w:pPr>
          </w:p>
        </w:tc>
        <w:tc>
          <w:tcPr>
            <w:tcW w:w="94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6</w:t>
            </w:r>
          </w:p>
        </w:tc>
        <w:tc>
          <w:tcPr>
            <w:tcW w:w="260" w:type="dxa"/>
            <w:vAlign w:val="bottom"/>
            <w:tcBorders>
              <w:bottom w:val="single" w:sz="8" w:color="888B8D"/>
            </w:tcBorders>
          </w:tcPr>
          <w:p>
            <w:pPr>
              <w:spacing w:after="0"/>
              <w:rPr>
                <w:sz w:val="17"/>
                <w:szCs w:val="17"/>
                <w:color w:val="auto"/>
              </w:rPr>
            </w:pPr>
          </w:p>
        </w:tc>
        <w:tc>
          <w:tcPr>
            <w:tcW w:w="92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888B8D"/>
            </w:tcBorders>
          </w:tcPr>
          <w:p>
            <w:pPr>
              <w:spacing w:after="0"/>
              <w:rPr>
                <w:sz w:val="17"/>
                <w:szCs w:val="17"/>
                <w:color w:val="auto"/>
              </w:rPr>
            </w:pPr>
          </w:p>
        </w:tc>
        <w:tc>
          <w:tcPr>
            <w:tcW w:w="94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888B8D"/>
            </w:tcBorders>
          </w:tcPr>
          <w:p>
            <w:pPr>
              <w:spacing w:after="0"/>
              <w:rPr>
                <w:sz w:val="17"/>
                <w:szCs w:val="17"/>
                <w:color w:val="auto"/>
              </w:rPr>
            </w:pPr>
          </w:p>
        </w:tc>
        <w:tc>
          <w:tcPr>
            <w:tcW w:w="96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888B8D"/>
            </w:tcBorders>
          </w:tcPr>
          <w:p>
            <w:pPr>
              <w:spacing w:after="0"/>
              <w:rPr>
                <w:sz w:val="17"/>
                <w:szCs w:val="17"/>
                <w:color w:val="auto"/>
              </w:rPr>
            </w:pPr>
          </w:p>
        </w:tc>
        <w:tc>
          <w:tcPr>
            <w:tcW w:w="8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w:t>
            </w:r>
          </w:p>
        </w:tc>
      </w:tr>
      <w:tr>
        <w:trPr>
          <w:trHeight w:val="199"/>
        </w:trPr>
        <w:tc>
          <w:tcPr>
            <w:tcW w:w="434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Derivatives in net investment hedging relationships</w:t>
            </w:r>
          </w:p>
        </w:tc>
        <w:tc>
          <w:tcPr>
            <w:tcW w:w="120" w:type="dxa"/>
            <w:vAlign w:val="bottom"/>
            <w:tcBorders>
              <w:bottom w:val="single" w:sz="8" w:color="888B8D"/>
            </w:tcBorders>
          </w:tcPr>
          <w:p>
            <w:pPr>
              <w:spacing w:after="0"/>
              <w:rPr>
                <w:sz w:val="17"/>
                <w:szCs w:val="17"/>
                <w:color w:val="auto"/>
              </w:rPr>
            </w:pPr>
          </w:p>
        </w:tc>
        <w:tc>
          <w:tcPr>
            <w:tcW w:w="940" w:type="dxa"/>
            <w:vAlign w:val="bottom"/>
            <w:tcBorders>
              <w:bottom w:val="single" w:sz="8" w:color="888B8D"/>
            </w:tcBorders>
          </w:tcPr>
          <w:p>
            <w:pPr>
              <w:spacing w:after="0"/>
              <w:rPr>
                <w:sz w:val="17"/>
                <w:szCs w:val="17"/>
                <w:color w:val="auto"/>
              </w:rPr>
            </w:pPr>
          </w:p>
        </w:tc>
        <w:tc>
          <w:tcPr>
            <w:tcW w:w="240" w:type="dxa"/>
            <w:vAlign w:val="bottom"/>
            <w:tcBorders>
              <w:bottom w:val="single" w:sz="8" w:color="888B8D"/>
            </w:tcBorders>
          </w:tcPr>
          <w:p>
            <w:pPr>
              <w:spacing w:after="0"/>
              <w:rPr>
                <w:sz w:val="17"/>
                <w:szCs w:val="17"/>
                <w:color w:val="auto"/>
              </w:rPr>
            </w:pPr>
          </w:p>
        </w:tc>
        <w:tc>
          <w:tcPr>
            <w:tcW w:w="940" w:type="dxa"/>
            <w:vAlign w:val="bottom"/>
            <w:tcBorders>
              <w:bottom w:val="single" w:sz="8" w:color="888B8D"/>
            </w:tcBorders>
          </w:tcPr>
          <w:p>
            <w:pPr>
              <w:spacing w:after="0"/>
              <w:rPr>
                <w:sz w:val="17"/>
                <w:szCs w:val="17"/>
                <w:color w:val="auto"/>
              </w:rPr>
            </w:pPr>
          </w:p>
        </w:tc>
        <w:tc>
          <w:tcPr>
            <w:tcW w:w="260" w:type="dxa"/>
            <w:vAlign w:val="bottom"/>
            <w:tcBorders>
              <w:bottom w:val="single" w:sz="8" w:color="888B8D"/>
            </w:tcBorders>
          </w:tcPr>
          <w:p>
            <w:pPr>
              <w:spacing w:after="0"/>
              <w:rPr>
                <w:sz w:val="17"/>
                <w:szCs w:val="17"/>
                <w:color w:val="auto"/>
              </w:rPr>
            </w:pPr>
          </w:p>
        </w:tc>
        <w:tc>
          <w:tcPr>
            <w:tcW w:w="920" w:type="dxa"/>
            <w:vAlign w:val="bottom"/>
            <w:tcBorders>
              <w:bottom w:val="single" w:sz="8" w:color="888B8D"/>
            </w:tcBorders>
          </w:tcPr>
          <w:p>
            <w:pPr>
              <w:spacing w:after="0"/>
              <w:rPr>
                <w:sz w:val="17"/>
                <w:szCs w:val="17"/>
                <w:color w:val="auto"/>
              </w:rPr>
            </w:pPr>
          </w:p>
        </w:tc>
        <w:tc>
          <w:tcPr>
            <w:tcW w:w="260" w:type="dxa"/>
            <w:vAlign w:val="bottom"/>
            <w:tcBorders>
              <w:bottom w:val="single" w:sz="8" w:color="888B8D"/>
            </w:tcBorders>
          </w:tcPr>
          <w:p>
            <w:pPr>
              <w:spacing w:after="0"/>
              <w:rPr>
                <w:sz w:val="17"/>
                <w:szCs w:val="17"/>
                <w:color w:val="auto"/>
              </w:rPr>
            </w:pPr>
          </w:p>
        </w:tc>
        <w:tc>
          <w:tcPr>
            <w:tcW w:w="940" w:type="dxa"/>
            <w:vAlign w:val="bottom"/>
            <w:tcBorders>
              <w:bottom w:val="single" w:sz="8" w:color="888B8D"/>
            </w:tcBorders>
          </w:tcPr>
          <w:p>
            <w:pPr>
              <w:spacing w:after="0"/>
              <w:rPr>
                <w:sz w:val="17"/>
                <w:szCs w:val="17"/>
                <w:color w:val="auto"/>
              </w:rPr>
            </w:pPr>
          </w:p>
        </w:tc>
        <w:tc>
          <w:tcPr>
            <w:tcW w:w="240" w:type="dxa"/>
            <w:vAlign w:val="bottom"/>
            <w:tcBorders>
              <w:bottom w:val="single" w:sz="8" w:color="888B8D"/>
            </w:tcBorders>
          </w:tcPr>
          <w:p>
            <w:pPr>
              <w:spacing w:after="0"/>
              <w:rPr>
                <w:sz w:val="17"/>
                <w:szCs w:val="17"/>
                <w:color w:val="auto"/>
              </w:rPr>
            </w:pPr>
          </w:p>
        </w:tc>
        <w:tc>
          <w:tcPr>
            <w:tcW w:w="960" w:type="dxa"/>
            <w:vAlign w:val="bottom"/>
            <w:tcBorders>
              <w:bottom w:val="single" w:sz="8" w:color="888B8D"/>
            </w:tcBorders>
          </w:tcPr>
          <w:p>
            <w:pPr>
              <w:spacing w:after="0"/>
              <w:rPr>
                <w:sz w:val="17"/>
                <w:szCs w:val="17"/>
                <w:color w:val="auto"/>
              </w:rPr>
            </w:pPr>
          </w:p>
        </w:tc>
        <w:tc>
          <w:tcPr>
            <w:tcW w:w="240" w:type="dxa"/>
            <w:vAlign w:val="bottom"/>
            <w:tcBorders>
              <w:bottom w:val="single" w:sz="8" w:color="888B8D"/>
            </w:tcBorders>
          </w:tcPr>
          <w:p>
            <w:pPr>
              <w:spacing w:after="0"/>
              <w:rPr>
                <w:sz w:val="17"/>
                <w:szCs w:val="17"/>
                <w:color w:val="auto"/>
              </w:rPr>
            </w:pPr>
          </w:p>
        </w:tc>
        <w:tc>
          <w:tcPr>
            <w:tcW w:w="840" w:type="dxa"/>
            <w:vAlign w:val="bottom"/>
            <w:tcBorders>
              <w:bottom w:val="single" w:sz="8" w:color="888B8D"/>
            </w:tcBorders>
          </w:tcPr>
          <w:p>
            <w:pPr>
              <w:spacing w:after="0"/>
              <w:rPr>
                <w:sz w:val="17"/>
                <w:szCs w:val="17"/>
                <w:color w:val="auto"/>
              </w:rPr>
            </w:pPr>
          </w:p>
        </w:tc>
      </w:tr>
      <w:tr>
        <w:trPr>
          <w:trHeight w:val="193"/>
        </w:trPr>
        <w:tc>
          <w:tcPr>
            <w:tcW w:w="434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Cross currency swap agreements</w:t>
            </w:r>
          </w:p>
        </w:tc>
        <w:tc>
          <w:tcPr>
            <w:tcW w:w="120" w:type="dxa"/>
            <w:vAlign w:val="bottom"/>
            <w:tcBorders>
              <w:bottom w:val="single" w:sz="8" w:color="D7282F"/>
            </w:tcBorders>
          </w:tcPr>
          <w:p>
            <w:pPr>
              <w:spacing w:after="0"/>
              <w:rPr>
                <w:sz w:val="16"/>
                <w:szCs w:val="16"/>
                <w:color w:val="auto"/>
              </w:rPr>
            </w:pPr>
          </w:p>
        </w:tc>
        <w:tc>
          <w:tcPr>
            <w:tcW w:w="9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7,214</w:t>
            </w:r>
          </w:p>
        </w:tc>
        <w:tc>
          <w:tcPr>
            <w:tcW w:w="240" w:type="dxa"/>
            <w:vAlign w:val="bottom"/>
            <w:tcBorders>
              <w:bottom w:val="single" w:sz="8" w:color="D7282F"/>
            </w:tcBorders>
          </w:tcPr>
          <w:p>
            <w:pPr>
              <w:spacing w:after="0"/>
              <w:rPr>
                <w:sz w:val="16"/>
                <w:szCs w:val="16"/>
                <w:color w:val="auto"/>
              </w:rPr>
            </w:pPr>
          </w:p>
        </w:tc>
        <w:tc>
          <w:tcPr>
            <w:tcW w:w="9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4,264</w:t>
            </w:r>
          </w:p>
        </w:tc>
        <w:tc>
          <w:tcPr>
            <w:tcW w:w="260" w:type="dxa"/>
            <w:vAlign w:val="bottom"/>
            <w:tcBorders>
              <w:bottom w:val="single" w:sz="8" w:color="D7282F"/>
            </w:tcBorders>
          </w:tcPr>
          <w:p>
            <w:pPr>
              <w:spacing w:after="0"/>
              <w:rPr>
                <w:sz w:val="16"/>
                <w:szCs w:val="16"/>
                <w:color w:val="auto"/>
              </w:rPr>
            </w:pPr>
          </w:p>
        </w:tc>
        <w:tc>
          <w:tcPr>
            <w:tcW w:w="92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124</w:t>
            </w:r>
          </w:p>
        </w:tc>
        <w:tc>
          <w:tcPr>
            <w:tcW w:w="260" w:type="dxa"/>
            <w:vAlign w:val="bottom"/>
            <w:tcBorders>
              <w:bottom w:val="single" w:sz="8" w:color="D7282F"/>
            </w:tcBorders>
          </w:tcPr>
          <w:p>
            <w:pPr>
              <w:spacing w:after="0"/>
              <w:rPr>
                <w:sz w:val="16"/>
                <w:szCs w:val="16"/>
                <w:color w:val="auto"/>
              </w:rPr>
            </w:pPr>
          </w:p>
        </w:tc>
        <w:tc>
          <w:tcPr>
            <w:tcW w:w="9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D7282F"/>
            </w:tcBorders>
          </w:tcPr>
          <w:p>
            <w:pPr>
              <w:spacing w:after="0"/>
              <w:rPr>
                <w:sz w:val="16"/>
                <w:szCs w:val="16"/>
                <w:color w:val="auto"/>
              </w:rPr>
            </w:pPr>
          </w:p>
        </w:tc>
        <w:tc>
          <w:tcPr>
            <w:tcW w:w="9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(56)</w:t>
            </w:r>
          </w:p>
        </w:tc>
        <w:tc>
          <w:tcPr>
            <w:tcW w:w="240" w:type="dxa"/>
            <w:vAlign w:val="bottom"/>
            <w:tcBorders>
              <w:bottom w:val="single" w:sz="8" w:color="D7282F"/>
            </w:tcBorders>
          </w:tcPr>
          <w:p>
            <w:pPr>
              <w:spacing w:after="0"/>
              <w:rPr>
                <w:sz w:val="16"/>
                <w:szCs w:val="16"/>
                <w:color w:val="auto"/>
              </w:rPr>
            </w:pPr>
          </w:p>
        </w:tc>
        <w:tc>
          <w:tcPr>
            <w:tcW w:w="8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(145)</w:t>
            </w:r>
          </w:p>
        </w:tc>
      </w:tr>
      <w:tr>
        <w:trPr>
          <w:trHeight w:val="199"/>
        </w:trPr>
        <w:tc>
          <w:tcPr>
            <w:tcW w:w="434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derivatives designated as hedging instruments</w:t>
            </w:r>
          </w:p>
        </w:tc>
        <w:tc>
          <w:tcPr>
            <w:tcW w:w="12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12,349</w:t>
            </w:r>
          </w:p>
        </w:tc>
        <w:tc>
          <w:tcPr>
            <w:tcW w:w="24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9,699</w:t>
            </w:r>
          </w:p>
        </w:tc>
        <w:tc>
          <w:tcPr>
            <w:tcW w:w="260" w:type="dxa"/>
            <w:vAlign w:val="bottom"/>
            <w:tcBorders>
              <w:bottom w:val="single" w:sz="8" w:color="D7282F"/>
            </w:tcBorders>
          </w:tcPr>
          <w:p>
            <w:pPr>
              <w:spacing w:after="0"/>
              <w:rPr>
                <w:sz w:val="17"/>
                <w:szCs w:val="17"/>
                <w:color w:val="auto"/>
              </w:rPr>
            </w:pPr>
          </w:p>
        </w:tc>
        <w:tc>
          <w:tcPr>
            <w:tcW w:w="92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157</w:t>
            </w:r>
          </w:p>
        </w:tc>
        <w:tc>
          <w:tcPr>
            <w:tcW w:w="26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46</w:t>
            </w:r>
          </w:p>
        </w:tc>
        <w:tc>
          <w:tcPr>
            <w:tcW w:w="240" w:type="dxa"/>
            <w:vAlign w:val="bottom"/>
            <w:tcBorders>
              <w:bottom w:val="single" w:sz="8" w:color="D7282F"/>
            </w:tcBorders>
          </w:tcPr>
          <w:p>
            <w:pPr>
              <w:spacing w:after="0"/>
              <w:rPr>
                <w:sz w:val="17"/>
                <w:szCs w:val="17"/>
                <w:color w:val="auto"/>
              </w:rPr>
            </w:pPr>
          </w:p>
        </w:tc>
        <w:tc>
          <w:tcPr>
            <w:tcW w:w="9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(205)</w:t>
            </w:r>
          </w:p>
        </w:tc>
        <w:tc>
          <w:tcPr>
            <w:tcW w:w="240" w:type="dxa"/>
            <w:vAlign w:val="bottom"/>
            <w:tcBorders>
              <w:bottom w:val="single" w:sz="8" w:color="D7282F"/>
            </w:tcBorders>
          </w:tcPr>
          <w:p>
            <w:pPr>
              <w:spacing w:after="0"/>
              <w:rPr>
                <w:sz w:val="17"/>
                <w:szCs w:val="17"/>
                <w:color w:val="auto"/>
              </w:rPr>
            </w:pPr>
          </w:p>
        </w:tc>
        <w:tc>
          <w:tcPr>
            <w:tcW w:w="8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(334)</w:t>
            </w:r>
          </w:p>
        </w:tc>
      </w:tr>
      <w:tr>
        <w:trPr>
          <w:trHeight w:val="196"/>
        </w:trPr>
        <w:tc>
          <w:tcPr>
            <w:tcW w:w="4340" w:type="dxa"/>
            <w:vAlign w:val="bottom"/>
            <w:tcBorders>
              <w:bottom w:val="single" w:sz="8" w:color="888B8D"/>
            </w:tcBorders>
          </w:tcPr>
          <w:p>
            <w:pPr>
              <w:ind w:left="20"/>
              <w:spacing w:after="0"/>
              <w:rPr>
                <w:sz w:val="20"/>
                <w:szCs w:val="20"/>
                <w:color w:val="auto"/>
              </w:rPr>
            </w:pPr>
            <w:r>
              <w:rPr>
                <w:rFonts w:ascii="Arial" w:cs="Arial" w:eastAsia="Arial" w:hAnsi="Arial"/>
                <w:sz w:val="14"/>
                <w:szCs w:val="14"/>
                <w:b w:val="1"/>
                <w:bCs w:val="1"/>
                <w:color w:val="auto"/>
              </w:rPr>
              <w:t>Derivatives not designated as hedging instruments</w:t>
            </w:r>
          </w:p>
        </w:tc>
        <w:tc>
          <w:tcPr>
            <w:tcW w:w="120" w:type="dxa"/>
            <w:vAlign w:val="bottom"/>
            <w:tcBorders>
              <w:bottom w:val="single" w:sz="8" w:color="888B8D"/>
            </w:tcBorders>
          </w:tcPr>
          <w:p>
            <w:pPr>
              <w:spacing w:after="0"/>
              <w:rPr>
                <w:sz w:val="17"/>
                <w:szCs w:val="17"/>
                <w:color w:val="auto"/>
              </w:rPr>
            </w:pPr>
          </w:p>
        </w:tc>
        <w:tc>
          <w:tcPr>
            <w:tcW w:w="940" w:type="dxa"/>
            <w:vAlign w:val="bottom"/>
            <w:tcBorders>
              <w:bottom w:val="single" w:sz="8" w:color="888B8D"/>
            </w:tcBorders>
          </w:tcPr>
          <w:p>
            <w:pPr>
              <w:spacing w:after="0"/>
              <w:rPr>
                <w:sz w:val="17"/>
                <w:szCs w:val="17"/>
                <w:color w:val="auto"/>
              </w:rPr>
            </w:pPr>
          </w:p>
        </w:tc>
        <w:tc>
          <w:tcPr>
            <w:tcW w:w="240" w:type="dxa"/>
            <w:vAlign w:val="bottom"/>
            <w:tcBorders>
              <w:bottom w:val="single" w:sz="8" w:color="888B8D"/>
            </w:tcBorders>
          </w:tcPr>
          <w:p>
            <w:pPr>
              <w:spacing w:after="0"/>
              <w:rPr>
                <w:sz w:val="17"/>
                <w:szCs w:val="17"/>
                <w:color w:val="auto"/>
              </w:rPr>
            </w:pPr>
          </w:p>
        </w:tc>
        <w:tc>
          <w:tcPr>
            <w:tcW w:w="940" w:type="dxa"/>
            <w:vAlign w:val="bottom"/>
            <w:tcBorders>
              <w:bottom w:val="single" w:sz="8" w:color="888B8D"/>
            </w:tcBorders>
          </w:tcPr>
          <w:p>
            <w:pPr>
              <w:spacing w:after="0"/>
              <w:rPr>
                <w:sz w:val="17"/>
                <w:szCs w:val="17"/>
                <w:color w:val="auto"/>
              </w:rPr>
            </w:pPr>
          </w:p>
        </w:tc>
        <w:tc>
          <w:tcPr>
            <w:tcW w:w="260" w:type="dxa"/>
            <w:vAlign w:val="bottom"/>
            <w:tcBorders>
              <w:bottom w:val="single" w:sz="8" w:color="888B8D"/>
            </w:tcBorders>
          </w:tcPr>
          <w:p>
            <w:pPr>
              <w:spacing w:after="0"/>
              <w:rPr>
                <w:sz w:val="17"/>
                <w:szCs w:val="17"/>
                <w:color w:val="auto"/>
              </w:rPr>
            </w:pPr>
          </w:p>
        </w:tc>
        <w:tc>
          <w:tcPr>
            <w:tcW w:w="920" w:type="dxa"/>
            <w:vAlign w:val="bottom"/>
            <w:tcBorders>
              <w:bottom w:val="single" w:sz="8" w:color="888B8D"/>
            </w:tcBorders>
          </w:tcPr>
          <w:p>
            <w:pPr>
              <w:spacing w:after="0"/>
              <w:rPr>
                <w:sz w:val="17"/>
                <w:szCs w:val="17"/>
                <w:color w:val="auto"/>
              </w:rPr>
            </w:pPr>
          </w:p>
        </w:tc>
        <w:tc>
          <w:tcPr>
            <w:tcW w:w="260" w:type="dxa"/>
            <w:vAlign w:val="bottom"/>
            <w:tcBorders>
              <w:bottom w:val="single" w:sz="8" w:color="888B8D"/>
            </w:tcBorders>
          </w:tcPr>
          <w:p>
            <w:pPr>
              <w:spacing w:after="0"/>
              <w:rPr>
                <w:sz w:val="17"/>
                <w:szCs w:val="17"/>
                <w:color w:val="auto"/>
              </w:rPr>
            </w:pPr>
          </w:p>
        </w:tc>
        <w:tc>
          <w:tcPr>
            <w:tcW w:w="940" w:type="dxa"/>
            <w:vAlign w:val="bottom"/>
            <w:tcBorders>
              <w:bottom w:val="single" w:sz="8" w:color="888B8D"/>
            </w:tcBorders>
          </w:tcPr>
          <w:p>
            <w:pPr>
              <w:spacing w:after="0"/>
              <w:rPr>
                <w:sz w:val="17"/>
                <w:szCs w:val="17"/>
                <w:color w:val="auto"/>
              </w:rPr>
            </w:pPr>
          </w:p>
        </w:tc>
        <w:tc>
          <w:tcPr>
            <w:tcW w:w="240" w:type="dxa"/>
            <w:vAlign w:val="bottom"/>
            <w:tcBorders>
              <w:bottom w:val="single" w:sz="8" w:color="888B8D"/>
            </w:tcBorders>
          </w:tcPr>
          <w:p>
            <w:pPr>
              <w:spacing w:after="0"/>
              <w:rPr>
                <w:sz w:val="17"/>
                <w:szCs w:val="17"/>
                <w:color w:val="auto"/>
              </w:rPr>
            </w:pPr>
          </w:p>
        </w:tc>
        <w:tc>
          <w:tcPr>
            <w:tcW w:w="960" w:type="dxa"/>
            <w:vAlign w:val="bottom"/>
            <w:tcBorders>
              <w:bottom w:val="single" w:sz="8" w:color="888B8D"/>
            </w:tcBorders>
          </w:tcPr>
          <w:p>
            <w:pPr>
              <w:spacing w:after="0"/>
              <w:rPr>
                <w:sz w:val="17"/>
                <w:szCs w:val="17"/>
                <w:color w:val="auto"/>
              </w:rPr>
            </w:pPr>
          </w:p>
        </w:tc>
        <w:tc>
          <w:tcPr>
            <w:tcW w:w="240" w:type="dxa"/>
            <w:vAlign w:val="bottom"/>
            <w:tcBorders>
              <w:bottom w:val="single" w:sz="8" w:color="888B8D"/>
            </w:tcBorders>
          </w:tcPr>
          <w:p>
            <w:pPr>
              <w:spacing w:after="0"/>
              <w:rPr>
                <w:sz w:val="17"/>
                <w:szCs w:val="17"/>
                <w:color w:val="auto"/>
              </w:rPr>
            </w:pPr>
          </w:p>
        </w:tc>
        <w:tc>
          <w:tcPr>
            <w:tcW w:w="840" w:type="dxa"/>
            <w:vAlign w:val="bottom"/>
            <w:tcBorders>
              <w:bottom w:val="single" w:sz="8" w:color="888B8D"/>
            </w:tcBorders>
          </w:tcPr>
          <w:p>
            <w:pPr>
              <w:spacing w:after="0"/>
              <w:rPr>
                <w:sz w:val="17"/>
                <w:szCs w:val="17"/>
                <w:color w:val="auto"/>
              </w:rPr>
            </w:pPr>
          </w:p>
        </w:tc>
      </w:tr>
      <w:tr>
        <w:trPr>
          <w:trHeight w:val="193"/>
        </w:trPr>
        <w:tc>
          <w:tcPr>
            <w:tcW w:w="434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Foreign currency exchange contracts</w:t>
            </w:r>
          </w:p>
        </w:tc>
        <w:tc>
          <w:tcPr>
            <w:tcW w:w="120" w:type="dxa"/>
            <w:vAlign w:val="bottom"/>
            <w:tcBorders>
              <w:bottom w:val="single" w:sz="8" w:color="D7282F"/>
            </w:tcBorders>
          </w:tcPr>
          <w:p>
            <w:pPr>
              <w:spacing w:after="0"/>
              <w:rPr>
                <w:sz w:val="16"/>
                <w:szCs w:val="16"/>
                <w:color w:val="auto"/>
              </w:rPr>
            </w:pPr>
          </w:p>
        </w:tc>
        <w:tc>
          <w:tcPr>
            <w:tcW w:w="9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8,773</w:t>
            </w:r>
          </w:p>
        </w:tc>
        <w:tc>
          <w:tcPr>
            <w:tcW w:w="240" w:type="dxa"/>
            <w:vAlign w:val="bottom"/>
            <w:tcBorders>
              <w:bottom w:val="single" w:sz="8" w:color="D7282F"/>
            </w:tcBorders>
          </w:tcPr>
          <w:p>
            <w:pPr>
              <w:spacing w:after="0"/>
              <w:rPr>
                <w:sz w:val="16"/>
                <w:szCs w:val="16"/>
                <w:color w:val="auto"/>
              </w:rPr>
            </w:pPr>
          </w:p>
        </w:tc>
        <w:tc>
          <w:tcPr>
            <w:tcW w:w="9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8,198</w:t>
            </w:r>
          </w:p>
        </w:tc>
        <w:tc>
          <w:tcPr>
            <w:tcW w:w="260" w:type="dxa"/>
            <w:vAlign w:val="bottom"/>
            <w:tcBorders>
              <w:bottom w:val="single" w:sz="8" w:color="D7282F"/>
            </w:tcBorders>
          </w:tcPr>
          <w:p>
            <w:pPr>
              <w:spacing w:after="0"/>
              <w:rPr>
                <w:sz w:val="16"/>
                <w:szCs w:val="16"/>
                <w:color w:val="auto"/>
              </w:rPr>
            </w:pPr>
          </w:p>
        </w:tc>
        <w:tc>
          <w:tcPr>
            <w:tcW w:w="92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3</w:t>
            </w:r>
          </w:p>
        </w:tc>
        <w:tc>
          <w:tcPr>
            <w:tcW w:w="260" w:type="dxa"/>
            <w:vAlign w:val="bottom"/>
            <w:tcBorders>
              <w:bottom w:val="single" w:sz="8" w:color="D7282F"/>
            </w:tcBorders>
          </w:tcPr>
          <w:p>
            <w:pPr>
              <w:spacing w:after="0"/>
              <w:rPr>
                <w:sz w:val="16"/>
                <w:szCs w:val="16"/>
                <w:color w:val="auto"/>
              </w:rPr>
            </w:pPr>
          </w:p>
        </w:tc>
        <w:tc>
          <w:tcPr>
            <w:tcW w:w="9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7</w:t>
            </w:r>
          </w:p>
        </w:tc>
        <w:tc>
          <w:tcPr>
            <w:tcW w:w="240" w:type="dxa"/>
            <w:vAlign w:val="bottom"/>
            <w:tcBorders>
              <w:bottom w:val="single" w:sz="8" w:color="D7282F"/>
            </w:tcBorders>
          </w:tcPr>
          <w:p>
            <w:pPr>
              <w:spacing w:after="0"/>
              <w:rPr>
                <w:sz w:val="16"/>
                <w:szCs w:val="16"/>
                <w:color w:val="auto"/>
              </w:rPr>
            </w:pPr>
          </w:p>
        </w:tc>
        <w:tc>
          <w:tcPr>
            <w:tcW w:w="9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(5)</w:t>
            </w:r>
          </w:p>
        </w:tc>
        <w:tc>
          <w:tcPr>
            <w:tcW w:w="240" w:type="dxa"/>
            <w:vAlign w:val="bottom"/>
            <w:tcBorders>
              <w:bottom w:val="single" w:sz="8" w:color="D7282F"/>
            </w:tcBorders>
          </w:tcPr>
          <w:p>
            <w:pPr>
              <w:spacing w:after="0"/>
              <w:rPr>
                <w:sz w:val="16"/>
                <w:szCs w:val="16"/>
                <w:color w:val="auto"/>
              </w:rPr>
            </w:pPr>
          </w:p>
        </w:tc>
        <w:tc>
          <w:tcPr>
            <w:tcW w:w="8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(5)</w:t>
            </w:r>
          </w:p>
        </w:tc>
      </w:tr>
      <w:tr>
        <w:trPr>
          <w:trHeight w:val="199"/>
        </w:trPr>
        <w:tc>
          <w:tcPr>
            <w:tcW w:w="4340" w:type="dxa"/>
            <w:vAlign w:val="bottom"/>
            <w:tcBorders>
              <w:bottom w:val="single" w:sz="8" w:color="D7282F"/>
            </w:tcBorders>
          </w:tcPr>
          <w:p>
            <w:pPr>
              <w:ind w:left="360"/>
              <w:spacing w:after="0"/>
              <w:rPr>
                <w:sz w:val="20"/>
                <w:szCs w:val="20"/>
                <w:color w:val="auto"/>
              </w:rPr>
            </w:pPr>
            <w:r>
              <w:rPr>
                <w:rFonts w:ascii="Arial" w:cs="Arial" w:eastAsia="Arial" w:hAnsi="Arial"/>
                <w:sz w:val="14"/>
                <w:szCs w:val="14"/>
                <w:b w:val="1"/>
                <w:bCs w:val="1"/>
                <w:color w:val="auto"/>
              </w:rPr>
              <w:t>Total derivatives at fair value</w:t>
            </w:r>
          </w:p>
        </w:tc>
        <w:tc>
          <w:tcPr>
            <w:tcW w:w="1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21,122</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17,897</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160</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53</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(210)</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(339)</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All Derivative assets are presented in Other current assets or Other assets. All Derivative liabilities are presented in Accrued liabilities or Other liabilities.</w:t>
      </w:r>
    </w:p>
    <w:p>
      <w:pPr>
        <w:spacing w:after="0" w:line="11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addition to the foreign currency derivative contracts designated as net investment hedges, certain of the Company's foreign currency denominated debt instruments are designated as net investment hedges. The carrying value of those debt instruments designated as net investment hedges, which includes the adjustment for the foreign currency transaction gain or loss on those instruments, was $6,158 million and $6,099 million as of December 31, 2024, and 2023, respectively.</w:t>
      </w:r>
    </w:p>
    <w:p>
      <w:pPr>
        <w:spacing w:after="0" w:line="7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Interest rate swap agreements are designated as hedge relationships with gains or losses on the derivative recognized in Interest and other financial charges offsetting the gains and losses on the underlying debt being hedged. Gains and losses on interest rate swap agreements recognized in earnings were $30 million of expense, $121 million of income, and $347 million of expense for the years ended December 31, 2024, 2023, and 2022, respectively. Gains and losses are fully offset by losses and gains on the underlying debt being hedged.</w:t>
      </w:r>
    </w:p>
    <w:p>
      <w:pPr>
        <w:spacing w:after="0" w:line="200" w:lineRule="exact"/>
        <w:rPr>
          <w:sz w:val="20"/>
          <w:szCs w:val="20"/>
          <w:color w:val="auto"/>
        </w:rPr>
      </w:pPr>
    </w:p>
    <w:p>
      <w:pPr>
        <w:spacing w:after="0" w:line="204" w:lineRule="exact"/>
        <w:rPr>
          <w:sz w:val="20"/>
          <w:szCs w:val="20"/>
          <w:color w:val="auto"/>
        </w:rPr>
      </w:pPr>
    </w:p>
    <w:p>
      <w:pPr>
        <w:ind w:left="400" w:hanging="392"/>
        <w:spacing w:after="0"/>
        <w:tabs>
          <w:tab w:leader="none" w:pos="400" w:val="left"/>
        </w:tabs>
        <w:numPr>
          <w:ilvl w:val="0"/>
          <w:numId w:val="143"/>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85" w:name="page86"/>
    <w:bookmarkEnd w:id="85"/>
    <w:p>
      <w:pPr>
        <w:ind w:left="20"/>
        <w:spacing w:after="0"/>
        <w:tabs>
          <w:tab w:leader="none" w:pos="784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FINANCIAL STATEMENTS AND SUPPLEMENTARY DATA</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amounts recorded in the Consolidated Balance Sheet related to cumulative basis adjustments for fair value hedges: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40" w:type="dxa"/>
            <w:vAlign w:val="bottom"/>
            <w:gridSpan w:val="3"/>
          </w:tcPr>
          <w:p>
            <w:pPr>
              <w:jc w:val="center"/>
              <w:ind w:right="28"/>
              <w:spacing w:after="0"/>
              <w:rPr>
                <w:sz w:val="20"/>
                <w:szCs w:val="20"/>
                <w:color w:val="auto"/>
              </w:rPr>
            </w:pPr>
            <w:r>
              <w:rPr>
                <w:rFonts w:ascii="Arial" w:cs="Arial" w:eastAsia="Arial" w:hAnsi="Arial"/>
                <w:sz w:val="14"/>
                <w:szCs w:val="14"/>
                <w:b w:val="1"/>
                <w:bCs w:val="1"/>
                <w:color w:val="auto"/>
              </w:rPr>
              <w:t>Cumulative Amount of</w:t>
            </w:r>
          </w:p>
        </w:tc>
        <w:tc>
          <w:tcPr>
            <w:tcW w:w="0" w:type="dxa"/>
            <w:vAlign w:val="bottom"/>
          </w:tcPr>
          <w:p>
            <w:pPr>
              <w:spacing w:after="0"/>
              <w:rPr>
                <w:sz w:val="1"/>
                <w:szCs w:val="1"/>
                <w:color w:val="auto"/>
              </w:rPr>
            </w:pPr>
          </w:p>
        </w:tc>
      </w:tr>
      <w:tr>
        <w:trPr>
          <w:trHeight w:val="148"/>
        </w:trPr>
        <w:tc>
          <w:tcPr>
            <w:tcW w:w="6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40" w:type="dxa"/>
            <w:vAlign w:val="bottom"/>
            <w:gridSpan w:val="3"/>
          </w:tcPr>
          <w:p>
            <w:pPr>
              <w:jc w:val="center"/>
              <w:ind w:right="28"/>
              <w:spacing w:after="0" w:line="149" w:lineRule="exact"/>
              <w:rPr>
                <w:sz w:val="20"/>
                <w:szCs w:val="20"/>
                <w:color w:val="auto"/>
              </w:rPr>
            </w:pPr>
            <w:r>
              <w:rPr>
                <w:rFonts w:ascii="Arial" w:cs="Arial" w:eastAsia="Arial" w:hAnsi="Arial"/>
                <w:sz w:val="14"/>
                <w:szCs w:val="14"/>
                <w:b w:val="1"/>
                <w:bCs w:val="1"/>
                <w:color w:val="auto"/>
              </w:rPr>
              <w:t>Fair Value Hedging</w:t>
            </w:r>
          </w:p>
        </w:tc>
        <w:tc>
          <w:tcPr>
            <w:tcW w:w="0" w:type="dxa"/>
            <w:vAlign w:val="bottom"/>
          </w:tcPr>
          <w:p>
            <w:pPr>
              <w:spacing w:after="0"/>
              <w:rPr>
                <w:sz w:val="1"/>
                <w:szCs w:val="1"/>
                <w:color w:val="auto"/>
              </w:rPr>
            </w:pPr>
          </w:p>
        </w:tc>
      </w:tr>
      <w:tr>
        <w:trPr>
          <w:trHeight w:val="144"/>
        </w:trPr>
        <w:tc>
          <w:tcPr>
            <w:tcW w:w="6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gridSpan w:val="2"/>
            <w:vMerge w:val="restart"/>
          </w:tcPr>
          <w:p>
            <w:pPr>
              <w:jc w:val="center"/>
              <w:ind w:left="188"/>
              <w:spacing w:after="0"/>
              <w:rPr>
                <w:sz w:val="20"/>
                <w:szCs w:val="20"/>
                <w:color w:val="auto"/>
              </w:rPr>
            </w:pPr>
            <w:r>
              <w:rPr>
                <w:rFonts w:ascii="Arial" w:cs="Arial" w:eastAsia="Arial" w:hAnsi="Arial"/>
                <w:sz w:val="14"/>
                <w:szCs w:val="14"/>
                <w:b w:val="1"/>
                <w:bCs w:val="1"/>
                <w:color w:val="auto"/>
              </w:rPr>
              <w:t>Carrying Amount</w:t>
            </w: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40" w:type="dxa"/>
            <w:vAlign w:val="bottom"/>
            <w:gridSpan w:val="3"/>
          </w:tcPr>
          <w:p>
            <w:pPr>
              <w:jc w:val="center"/>
              <w:ind w:right="28"/>
              <w:spacing w:after="0" w:line="145" w:lineRule="exact"/>
              <w:rPr>
                <w:sz w:val="20"/>
                <w:szCs w:val="20"/>
                <w:color w:val="auto"/>
              </w:rPr>
            </w:pPr>
            <w:r>
              <w:rPr>
                <w:rFonts w:ascii="Arial" w:cs="Arial" w:eastAsia="Arial" w:hAnsi="Arial"/>
                <w:sz w:val="14"/>
                <w:szCs w:val="14"/>
                <w:b w:val="1"/>
                <w:bCs w:val="1"/>
                <w:color w:val="auto"/>
              </w:rPr>
              <w:t>Adjustment</w:t>
            </w:r>
          </w:p>
        </w:tc>
        <w:tc>
          <w:tcPr>
            <w:tcW w:w="0" w:type="dxa"/>
            <w:vAlign w:val="bottom"/>
          </w:tcPr>
          <w:p>
            <w:pPr>
              <w:spacing w:after="0"/>
              <w:rPr>
                <w:sz w:val="1"/>
                <w:szCs w:val="1"/>
                <w:color w:val="auto"/>
              </w:rPr>
            </w:pPr>
          </w:p>
        </w:tc>
      </w:tr>
      <w:tr>
        <w:trPr>
          <w:trHeight w:val="139"/>
        </w:trPr>
        <w:tc>
          <w:tcPr>
            <w:tcW w:w="6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40" w:type="dxa"/>
            <w:vAlign w:val="bottom"/>
            <w:gridSpan w:val="3"/>
          </w:tcPr>
          <w:p>
            <w:pPr>
              <w:jc w:val="center"/>
              <w:ind w:right="28"/>
              <w:spacing w:after="0" w:line="139" w:lineRule="exact"/>
              <w:rPr>
                <w:sz w:val="20"/>
                <w:szCs w:val="20"/>
                <w:color w:val="auto"/>
              </w:rPr>
            </w:pPr>
            <w:r>
              <w:rPr>
                <w:rFonts w:ascii="Arial" w:cs="Arial" w:eastAsia="Arial" w:hAnsi="Arial"/>
                <w:sz w:val="14"/>
                <w:szCs w:val="14"/>
                <w:b w:val="1"/>
                <w:bCs w:val="1"/>
                <w:color w:val="auto"/>
              </w:rPr>
              <w:t>Included in the Carrying</w:t>
            </w:r>
          </w:p>
        </w:tc>
        <w:tc>
          <w:tcPr>
            <w:tcW w:w="0" w:type="dxa"/>
            <w:vAlign w:val="bottom"/>
          </w:tcPr>
          <w:p>
            <w:pPr>
              <w:spacing w:after="0"/>
              <w:rPr>
                <w:sz w:val="1"/>
                <w:szCs w:val="1"/>
                <w:color w:val="auto"/>
              </w:rPr>
            </w:pPr>
          </w:p>
        </w:tc>
      </w:tr>
      <w:tr>
        <w:trPr>
          <w:trHeight w:val="185"/>
        </w:trPr>
        <w:tc>
          <w:tcPr>
            <w:tcW w:w="6680" w:type="dxa"/>
            <w:vAlign w:val="bottom"/>
          </w:tcPr>
          <w:p>
            <w:pPr>
              <w:spacing w:after="0"/>
              <w:rPr>
                <w:sz w:val="16"/>
                <w:szCs w:val="16"/>
                <w:color w:val="auto"/>
              </w:rPr>
            </w:pPr>
          </w:p>
        </w:tc>
        <w:tc>
          <w:tcPr>
            <w:tcW w:w="200" w:type="dxa"/>
            <w:vAlign w:val="bottom"/>
            <w:tcBorders>
              <w:bottom w:val="single" w:sz="8" w:color="D7282F"/>
            </w:tcBorders>
          </w:tcPr>
          <w:p>
            <w:pPr>
              <w:spacing w:after="0"/>
              <w:rPr>
                <w:sz w:val="16"/>
                <w:szCs w:val="16"/>
                <w:color w:val="auto"/>
              </w:rPr>
            </w:pPr>
          </w:p>
        </w:tc>
        <w:tc>
          <w:tcPr>
            <w:tcW w:w="1520" w:type="dxa"/>
            <w:vAlign w:val="bottom"/>
            <w:tcBorders>
              <w:bottom w:val="single" w:sz="8" w:color="D7282F"/>
            </w:tcBorders>
            <w:gridSpan w:val="2"/>
          </w:tcPr>
          <w:p>
            <w:pPr>
              <w:jc w:val="center"/>
              <w:ind w:left="208"/>
              <w:spacing w:after="0"/>
              <w:rPr>
                <w:sz w:val="20"/>
                <w:szCs w:val="20"/>
                <w:color w:val="auto"/>
              </w:rPr>
            </w:pPr>
            <w:r>
              <w:rPr>
                <w:rFonts w:ascii="Arial" w:cs="Arial" w:eastAsia="Arial" w:hAnsi="Arial"/>
                <w:sz w:val="14"/>
                <w:szCs w:val="14"/>
                <w:b w:val="1"/>
                <w:bCs w:val="1"/>
                <w:color w:val="auto"/>
              </w:rPr>
              <w:t>of Hedged Item</w:t>
            </w:r>
          </w:p>
        </w:tc>
        <w:tc>
          <w:tcPr>
            <w:tcW w:w="580" w:type="dxa"/>
            <w:vAlign w:val="bottom"/>
            <w:tcBorders>
              <w:bottom w:val="single" w:sz="8" w:color="D7282F"/>
            </w:tcBorders>
          </w:tcPr>
          <w:p>
            <w:pPr>
              <w:spacing w:after="0"/>
              <w:rPr>
                <w:sz w:val="16"/>
                <w:szCs w:val="16"/>
                <w:color w:val="auto"/>
              </w:rPr>
            </w:pPr>
          </w:p>
        </w:tc>
        <w:tc>
          <w:tcPr>
            <w:tcW w:w="220" w:type="dxa"/>
            <w:vAlign w:val="bottom"/>
            <w:tcBorders>
              <w:bottom w:val="single" w:sz="8" w:color="D7282F"/>
            </w:tcBorders>
          </w:tcPr>
          <w:p>
            <w:pPr>
              <w:spacing w:after="0"/>
              <w:rPr>
                <w:sz w:val="16"/>
                <w:szCs w:val="16"/>
                <w:color w:val="auto"/>
              </w:rPr>
            </w:pPr>
          </w:p>
        </w:tc>
        <w:tc>
          <w:tcPr>
            <w:tcW w:w="2040" w:type="dxa"/>
            <w:vAlign w:val="bottom"/>
            <w:tcBorders>
              <w:bottom w:val="single" w:sz="8" w:color="D7282F"/>
            </w:tcBorders>
            <w:gridSpan w:val="3"/>
          </w:tcPr>
          <w:p>
            <w:pPr>
              <w:jc w:val="center"/>
              <w:ind w:right="28"/>
              <w:spacing w:after="0"/>
              <w:rPr>
                <w:sz w:val="20"/>
                <w:szCs w:val="20"/>
                <w:color w:val="auto"/>
              </w:rPr>
            </w:pPr>
            <w:r>
              <w:rPr>
                <w:rFonts w:ascii="Arial" w:cs="Arial" w:eastAsia="Arial" w:hAnsi="Arial"/>
                <w:sz w:val="14"/>
                <w:szCs w:val="14"/>
                <w:b w:val="1"/>
                <w:bCs w:val="1"/>
                <w:color w:val="auto"/>
              </w:rPr>
              <w:t>Amount of Hedged Item</w:t>
            </w:r>
          </w:p>
        </w:tc>
        <w:tc>
          <w:tcPr>
            <w:tcW w:w="0" w:type="dxa"/>
            <w:vAlign w:val="bottom"/>
          </w:tcPr>
          <w:p>
            <w:pPr>
              <w:spacing w:after="0"/>
              <w:rPr>
                <w:sz w:val="1"/>
                <w:szCs w:val="1"/>
                <w:color w:val="auto"/>
              </w:rPr>
            </w:pPr>
          </w:p>
        </w:tc>
      </w:tr>
      <w:tr>
        <w:trPr>
          <w:trHeight w:val="173"/>
        </w:trPr>
        <w:tc>
          <w:tcPr>
            <w:tcW w:w="6680" w:type="dxa"/>
            <w:vAlign w:val="bottom"/>
          </w:tcPr>
          <w:p>
            <w:pPr>
              <w:spacing w:after="0"/>
              <w:rPr>
                <w:sz w:val="15"/>
                <w:szCs w:val="15"/>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122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5"/>
                <w:szCs w:val="15"/>
                <w:color w:val="auto"/>
              </w:rPr>
            </w:pPr>
          </w:p>
        </w:tc>
        <w:tc>
          <w:tcPr>
            <w:tcW w:w="960" w:type="dxa"/>
            <w:vAlign w:val="bottom"/>
          </w:tcPr>
          <w:p>
            <w:pPr>
              <w:jc w:val="center"/>
              <w:ind w:right="148"/>
              <w:spacing w:after="0"/>
              <w:rPr>
                <w:sz w:val="20"/>
                <w:szCs w:val="20"/>
                <w:color w:val="auto"/>
              </w:rPr>
            </w:pPr>
            <w:r>
              <w:rPr>
                <w:rFonts w:ascii="Arial" w:cs="Arial" w:eastAsia="Arial" w:hAnsi="Arial"/>
                <w:sz w:val="14"/>
                <w:szCs w:val="14"/>
                <w:b w:val="1"/>
                <w:bCs w:val="1"/>
                <w:color w:val="auto"/>
              </w:rPr>
              <w:t>December</w:t>
            </w:r>
          </w:p>
        </w:tc>
        <w:tc>
          <w:tcPr>
            <w:tcW w:w="240" w:type="dxa"/>
            <w:vAlign w:val="bottom"/>
          </w:tcPr>
          <w:p>
            <w:pPr>
              <w:spacing w:after="0"/>
              <w:rPr>
                <w:sz w:val="15"/>
                <w:szCs w:val="15"/>
                <w:color w:val="auto"/>
              </w:rPr>
            </w:pPr>
          </w:p>
        </w:tc>
        <w:tc>
          <w:tcPr>
            <w:tcW w:w="840" w:type="dxa"/>
            <w:vAlign w:val="bottom"/>
          </w:tcPr>
          <w:p>
            <w:pPr>
              <w:jc w:val="center"/>
              <w:ind w:right="48"/>
              <w:spacing w:after="0"/>
              <w:rPr>
                <w:sz w:val="20"/>
                <w:szCs w:val="20"/>
                <w:color w:val="auto"/>
              </w:rPr>
            </w:pPr>
            <w:r>
              <w:rPr>
                <w:rFonts w:ascii="Arial" w:cs="Arial" w:eastAsia="Arial" w:hAnsi="Arial"/>
                <w:sz w:val="14"/>
                <w:szCs w:val="14"/>
                <w:b w:val="1"/>
                <w:bCs w:val="1"/>
                <w:color w:val="auto"/>
              </w:rPr>
              <w:t>December</w:t>
            </w:r>
          </w:p>
        </w:tc>
        <w:tc>
          <w:tcPr>
            <w:tcW w:w="0" w:type="dxa"/>
            <w:vAlign w:val="bottom"/>
          </w:tcPr>
          <w:p>
            <w:pPr>
              <w:spacing w:after="0"/>
              <w:rPr>
                <w:sz w:val="1"/>
                <w:szCs w:val="1"/>
                <w:color w:val="auto"/>
              </w:rPr>
            </w:pPr>
          </w:p>
        </w:tc>
      </w:tr>
      <w:tr>
        <w:trPr>
          <w:trHeight w:val="185"/>
        </w:trPr>
        <w:tc>
          <w:tcPr>
            <w:tcW w:w="6680" w:type="dxa"/>
            <w:vAlign w:val="bottom"/>
            <w:tcBorders>
              <w:bottom w:val="single" w:sz="8" w:color="D7282F"/>
            </w:tcBorders>
          </w:tcPr>
          <w:p>
            <w:pPr>
              <w:spacing w:after="0"/>
              <w:rPr>
                <w:sz w:val="16"/>
                <w:szCs w:val="16"/>
                <w:color w:val="auto"/>
              </w:rPr>
            </w:pPr>
          </w:p>
        </w:tc>
        <w:tc>
          <w:tcPr>
            <w:tcW w:w="200" w:type="dxa"/>
            <w:vAlign w:val="bottom"/>
            <w:tcBorders>
              <w:bottom w:val="single" w:sz="8" w:color="D7282F"/>
            </w:tcBorders>
          </w:tcPr>
          <w:p>
            <w:pPr>
              <w:spacing w:after="0"/>
              <w:rPr>
                <w:sz w:val="16"/>
                <w:szCs w:val="16"/>
                <w:color w:val="auto"/>
              </w:rPr>
            </w:pPr>
          </w:p>
        </w:tc>
        <w:tc>
          <w:tcPr>
            <w:tcW w:w="880" w:type="dxa"/>
            <w:vAlign w:val="bottom"/>
            <w:tcBorders>
              <w:bottom w:val="single" w:sz="8" w:color="D7282F"/>
            </w:tcBorders>
          </w:tcPr>
          <w:p>
            <w:pPr>
              <w:jc w:val="right"/>
              <w:ind w:right="368"/>
              <w:spacing w:after="0"/>
              <w:rPr>
                <w:sz w:val="20"/>
                <w:szCs w:val="20"/>
                <w:color w:val="auto"/>
              </w:rPr>
            </w:pPr>
            <w:r>
              <w:rPr>
                <w:rFonts w:ascii="Arial" w:cs="Arial" w:eastAsia="Arial" w:hAnsi="Arial"/>
                <w:sz w:val="14"/>
                <w:szCs w:val="14"/>
                <w:b w:val="1"/>
                <w:bCs w:val="1"/>
                <w:color w:val="auto"/>
              </w:rPr>
              <w:t>2024</w:t>
            </w:r>
          </w:p>
        </w:tc>
        <w:tc>
          <w:tcPr>
            <w:tcW w:w="1220" w:type="dxa"/>
            <w:vAlign w:val="bottom"/>
            <w:tcBorders>
              <w:bottom w:val="single" w:sz="8" w:color="D7282F"/>
            </w:tcBorders>
            <w:gridSpan w:val="2"/>
          </w:tcPr>
          <w:p>
            <w:pPr>
              <w:jc w:val="right"/>
              <w:ind w:right="368"/>
              <w:spacing w:after="0"/>
              <w:rPr>
                <w:sz w:val="20"/>
                <w:szCs w:val="20"/>
                <w:color w:val="auto"/>
              </w:rPr>
            </w:pPr>
            <w:r>
              <w:rPr>
                <w:rFonts w:ascii="Arial" w:cs="Arial" w:eastAsia="Arial" w:hAnsi="Arial"/>
                <w:sz w:val="14"/>
                <w:szCs w:val="14"/>
                <w:b w:val="1"/>
                <w:bCs w:val="1"/>
                <w:color w:val="auto"/>
              </w:rPr>
              <w:t>2023</w:t>
            </w:r>
          </w:p>
        </w:tc>
        <w:tc>
          <w:tcPr>
            <w:tcW w:w="220" w:type="dxa"/>
            <w:vAlign w:val="bottom"/>
            <w:tcBorders>
              <w:bottom w:val="single" w:sz="8" w:color="D7282F"/>
            </w:tcBorders>
          </w:tcPr>
          <w:p>
            <w:pPr>
              <w:spacing w:after="0"/>
              <w:rPr>
                <w:sz w:val="16"/>
                <w:szCs w:val="16"/>
                <w:color w:val="auto"/>
              </w:rPr>
            </w:pPr>
          </w:p>
        </w:tc>
        <w:tc>
          <w:tcPr>
            <w:tcW w:w="960" w:type="dxa"/>
            <w:vAlign w:val="bottom"/>
            <w:tcBorders>
              <w:bottom w:val="single" w:sz="8" w:color="D7282F"/>
            </w:tcBorders>
          </w:tcPr>
          <w:p>
            <w:pPr>
              <w:jc w:val="right"/>
              <w:ind w:right="228"/>
              <w:spacing w:after="0"/>
              <w:rPr>
                <w:sz w:val="20"/>
                <w:szCs w:val="20"/>
                <w:color w:val="auto"/>
              </w:rPr>
            </w:pPr>
            <w:r>
              <w:rPr>
                <w:rFonts w:ascii="Arial" w:cs="Arial" w:eastAsia="Arial" w:hAnsi="Arial"/>
                <w:sz w:val="14"/>
                <w:szCs w:val="14"/>
                <w:b w:val="1"/>
                <w:bCs w:val="1"/>
                <w:color w:val="auto"/>
              </w:rPr>
              <w:t>31, 2024</w:t>
            </w:r>
          </w:p>
        </w:tc>
        <w:tc>
          <w:tcPr>
            <w:tcW w:w="240" w:type="dxa"/>
            <w:vAlign w:val="bottom"/>
            <w:tcBorders>
              <w:bottom w:val="single" w:sz="8" w:color="D7282F"/>
            </w:tcBorders>
          </w:tcPr>
          <w:p>
            <w:pPr>
              <w:spacing w:after="0"/>
              <w:rPr>
                <w:sz w:val="16"/>
                <w:szCs w:val="16"/>
                <w:color w:val="auto"/>
              </w:rPr>
            </w:pPr>
          </w:p>
        </w:tc>
        <w:tc>
          <w:tcPr>
            <w:tcW w:w="840" w:type="dxa"/>
            <w:vAlign w:val="bottom"/>
            <w:tcBorders>
              <w:bottom w:val="single" w:sz="8" w:color="D7282F"/>
            </w:tcBorders>
          </w:tcPr>
          <w:p>
            <w:pPr>
              <w:jc w:val="right"/>
              <w:ind w:right="128"/>
              <w:spacing w:after="0"/>
              <w:rPr>
                <w:sz w:val="20"/>
                <w:szCs w:val="20"/>
                <w:color w:val="auto"/>
              </w:rPr>
            </w:pPr>
            <w:r>
              <w:rPr>
                <w:rFonts w:ascii="Arial" w:cs="Arial" w:eastAsia="Arial" w:hAnsi="Arial"/>
                <w:sz w:val="14"/>
                <w:szCs w:val="14"/>
                <w:b w:val="1"/>
                <w:bCs w:val="1"/>
                <w:color w:val="auto"/>
              </w:rPr>
              <w:t>31, 2023</w:t>
            </w:r>
          </w:p>
        </w:tc>
        <w:tc>
          <w:tcPr>
            <w:tcW w:w="0" w:type="dxa"/>
            <w:vAlign w:val="bottom"/>
          </w:tcPr>
          <w:p>
            <w:pPr>
              <w:spacing w:after="0"/>
              <w:rPr>
                <w:sz w:val="1"/>
                <w:szCs w:val="1"/>
                <w:color w:val="auto"/>
              </w:rPr>
            </w:pPr>
          </w:p>
        </w:tc>
      </w:tr>
      <w:tr>
        <w:trPr>
          <w:trHeight w:val="192"/>
        </w:trPr>
        <w:tc>
          <w:tcPr>
            <w:tcW w:w="66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Long-term debt</w:t>
            </w:r>
          </w:p>
        </w:tc>
        <w:tc>
          <w:tcPr>
            <w:tcW w:w="20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3,763</w:t>
            </w:r>
          </w:p>
        </w:tc>
        <w:tc>
          <w:tcPr>
            <w:tcW w:w="64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4,551</w:t>
            </w: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(136)</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(166)</w:t>
            </w: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summarize the location and impact to the Consolidated Statement of Operations related to derivative instruments: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820" w:type="dxa"/>
            <w:vAlign w:val="bottom"/>
          </w:tcPr>
          <w:p>
            <w:pPr>
              <w:spacing w:after="0"/>
              <w:rPr>
                <w:sz w:val="17"/>
                <w:szCs w:val="17"/>
                <w:color w:val="auto"/>
              </w:rPr>
            </w:pPr>
          </w:p>
        </w:tc>
        <w:tc>
          <w:tcPr>
            <w:tcW w:w="140" w:type="dxa"/>
            <w:vAlign w:val="bottom"/>
            <w:tcBorders>
              <w:bottom w:val="single" w:sz="8" w:color="D7282F"/>
            </w:tcBorders>
          </w:tcPr>
          <w:p>
            <w:pPr>
              <w:spacing w:after="0"/>
              <w:rPr>
                <w:sz w:val="17"/>
                <w:szCs w:val="17"/>
                <w:color w:val="auto"/>
              </w:rPr>
            </w:pPr>
          </w:p>
        </w:tc>
        <w:tc>
          <w:tcPr>
            <w:tcW w:w="920" w:type="dxa"/>
            <w:vAlign w:val="bottom"/>
            <w:tcBorders>
              <w:bottom w:val="single" w:sz="8" w:color="D7282F"/>
            </w:tcBorders>
          </w:tcPr>
          <w:p>
            <w:pPr>
              <w:spacing w:after="0"/>
              <w:rPr>
                <w:sz w:val="17"/>
                <w:szCs w:val="17"/>
                <w:color w:val="auto"/>
              </w:rPr>
            </w:pPr>
          </w:p>
        </w:tc>
        <w:tc>
          <w:tcPr>
            <w:tcW w:w="280" w:type="dxa"/>
            <w:vAlign w:val="bottom"/>
            <w:tcBorders>
              <w:bottom w:val="single" w:sz="8" w:color="D7282F"/>
            </w:tcBorders>
          </w:tcPr>
          <w:p>
            <w:pPr>
              <w:spacing w:after="0"/>
              <w:rPr>
                <w:sz w:val="17"/>
                <w:szCs w:val="17"/>
                <w:color w:val="auto"/>
              </w:rPr>
            </w:pPr>
          </w:p>
        </w:tc>
        <w:tc>
          <w:tcPr>
            <w:tcW w:w="920" w:type="dxa"/>
            <w:vAlign w:val="bottom"/>
            <w:tcBorders>
              <w:bottom w:val="single" w:sz="8" w:color="D7282F"/>
            </w:tcBorders>
          </w:tcPr>
          <w:p>
            <w:pPr>
              <w:spacing w:after="0"/>
              <w:rPr>
                <w:sz w:val="17"/>
                <w:szCs w:val="17"/>
                <w:color w:val="auto"/>
              </w:rPr>
            </w:pPr>
          </w:p>
        </w:tc>
        <w:tc>
          <w:tcPr>
            <w:tcW w:w="280" w:type="dxa"/>
            <w:vAlign w:val="bottom"/>
            <w:tcBorders>
              <w:bottom w:val="single" w:sz="8" w:color="D7282F"/>
            </w:tcBorders>
          </w:tcPr>
          <w:p>
            <w:pPr>
              <w:spacing w:after="0"/>
              <w:rPr>
                <w:sz w:val="17"/>
                <w:szCs w:val="17"/>
                <w:color w:val="auto"/>
              </w:rPr>
            </w:pPr>
          </w:p>
        </w:tc>
        <w:tc>
          <w:tcPr>
            <w:tcW w:w="2460" w:type="dxa"/>
            <w:vAlign w:val="bottom"/>
            <w:tcBorders>
              <w:bottom w:val="single" w:sz="8" w:color="D7282F"/>
            </w:tcBorders>
            <w:gridSpan w:val="3"/>
          </w:tcPr>
          <w:p>
            <w:pPr>
              <w:jc w:val="right"/>
              <w:ind w:right="148"/>
              <w:spacing w:after="0"/>
              <w:rPr>
                <w:sz w:val="20"/>
                <w:szCs w:val="20"/>
                <w:color w:val="auto"/>
              </w:rPr>
            </w:pPr>
            <w:r>
              <w:rPr>
                <w:rFonts w:ascii="Arial" w:cs="Arial" w:eastAsia="Arial" w:hAnsi="Arial"/>
                <w:sz w:val="14"/>
                <w:szCs w:val="14"/>
                <w:b w:val="1"/>
                <w:bCs w:val="1"/>
                <w:color w:val="auto"/>
              </w:rPr>
              <w:t>Year Ended December 31, 2024</w:t>
            </w:r>
          </w:p>
        </w:tc>
        <w:tc>
          <w:tcPr>
            <w:tcW w:w="300" w:type="dxa"/>
            <w:vAlign w:val="bottom"/>
            <w:tcBorders>
              <w:bottom w:val="single" w:sz="8" w:color="D7282F"/>
            </w:tcBorders>
          </w:tcPr>
          <w:p>
            <w:pPr>
              <w:spacing w:after="0"/>
              <w:rPr>
                <w:sz w:val="17"/>
                <w:szCs w:val="17"/>
                <w:color w:val="auto"/>
              </w:rPr>
            </w:pPr>
          </w:p>
        </w:tc>
        <w:tc>
          <w:tcPr>
            <w:tcW w:w="980" w:type="dxa"/>
            <w:vAlign w:val="bottom"/>
            <w:tcBorders>
              <w:bottom w:val="single" w:sz="8" w:color="D7282F"/>
            </w:tcBorders>
          </w:tcPr>
          <w:p>
            <w:pPr>
              <w:spacing w:after="0"/>
              <w:rPr>
                <w:sz w:val="17"/>
                <w:szCs w:val="17"/>
                <w:color w:val="auto"/>
              </w:rPr>
            </w:pPr>
          </w:p>
        </w:tc>
        <w:tc>
          <w:tcPr>
            <w:tcW w:w="220" w:type="dxa"/>
            <w:vAlign w:val="bottom"/>
            <w:tcBorders>
              <w:bottom w:val="single" w:sz="8" w:color="D7282F"/>
            </w:tcBorders>
          </w:tcPr>
          <w:p>
            <w:pPr>
              <w:spacing w:after="0"/>
              <w:rPr>
                <w:sz w:val="17"/>
                <w:szCs w:val="17"/>
                <w:color w:val="auto"/>
              </w:rPr>
            </w:pPr>
          </w:p>
        </w:tc>
        <w:tc>
          <w:tcPr>
            <w:tcW w:w="920" w:type="dxa"/>
            <w:vAlign w:val="bottom"/>
            <w:tcBorders>
              <w:bottom w:val="single" w:sz="8" w:color="D7282F"/>
            </w:tcBorders>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3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vMerge w:val="restart"/>
          </w:tcPr>
          <w:p>
            <w:pPr>
              <w:jc w:val="center"/>
              <w:ind w:right="148"/>
              <w:spacing w:after="0"/>
              <w:rPr>
                <w:sz w:val="20"/>
                <w:szCs w:val="20"/>
                <w:color w:val="auto"/>
              </w:rPr>
            </w:pPr>
            <w:r>
              <w:rPr>
                <w:rFonts w:ascii="Arial" w:cs="Arial" w:eastAsia="Arial" w:hAnsi="Arial"/>
                <w:sz w:val="14"/>
                <w:szCs w:val="14"/>
                <w:b w:val="1"/>
                <w:bCs w:val="1"/>
                <w:color w:val="auto"/>
              </w:rPr>
              <w:t>Cost of</w:t>
            </w:r>
          </w:p>
        </w:tc>
        <w:tc>
          <w:tcPr>
            <w:tcW w:w="280" w:type="dxa"/>
            <w:vAlign w:val="bottom"/>
          </w:tcPr>
          <w:p>
            <w:pPr>
              <w:spacing w:after="0"/>
              <w:rPr>
                <w:sz w:val="16"/>
                <w:szCs w:val="16"/>
                <w:color w:val="auto"/>
              </w:rPr>
            </w:pPr>
          </w:p>
        </w:tc>
        <w:tc>
          <w:tcPr>
            <w:tcW w:w="920" w:type="dxa"/>
            <w:vAlign w:val="bottom"/>
            <w:vMerge w:val="restart"/>
          </w:tcPr>
          <w:p>
            <w:pPr>
              <w:jc w:val="center"/>
              <w:ind w:right="148"/>
              <w:spacing w:after="0"/>
              <w:rPr>
                <w:sz w:val="20"/>
                <w:szCs w:val="20"/>
                <w:color w:val="auto"/>
              </w:rPr>
            </w:pPr>
            <w:r>
              <w:rPr>
                <w:rFonts w:ascii="Arial" w:cs="Arial" w:eastAsia="Arial" w:hAnsi="Arial"/>
                <w:sz w:val="14"/>
                <w:szCs w:val="14"/>
                <w:b w:val="1"/>
                <w:bCs w:val="1"/>
                <w:color w:val="auto"/>
              </w:rPr>
              <w:t>Cost of</w:t>
            </w:r>
          </w:p>
        </w:tc>
        <w:tc>
          <w:tcPr>
            <w:tcW w:w="240" w:type="dxa"/>
            <w:vAlign w:val="bottom"/>
          </w:tcPr>
          <w:p>
            <w:pPr>
              <w:spacing w:after="0"/>
              <w:rPr>
                <w:sz w:val="16"/>
                <w:szCs w:val="16"/>
                <w:color w:val="auto"/>
              </w:rPr>
            </w:pPr>
          </w:p>
        </w:tc>
        <w:tc>
          <w:tcPr>
            <w:tcW w:w="1300" w:type="dxa"/>
            <w:vAlign w:val="bottom"/>
          </w:tcPr>
          <w:p>
            <w:pPr>
              <w:jc w:val="center"/>
              <w:ind w:right="108"/>
              <w:spacing w:after="0"/>
              <w:rPr>
                <w:sz w:val="20"/>
                <w:szCs w:val="20"/>
                <w:color w:val="auto"/>
              </w:rPr>
            </w:pPr>
            <w:r>
              <w:rPr>
                <w:rFonts w:ascii="Arial" w:cs="Arial" w:eastAsia="Arial" w:hAnsi="Arial"/>
                <w:sz w:val="14"/>
                <w:szCs w:val="14"/>
                <w:b w:val="1"/>
                <w:bCs w:val="1"/>
                <w:color w:val="auto"/>
              </w:rPr>
              <w:t>Selling, General</w:t>
            </w:r>
          </w:p>
        </w:tc>
        <w:tc>
          <w:tcPr>
            <w:tcW w:w="300" w:type="dxa"/>
            <w:vAlign w:val="bottom"/>
          </w:tcPr>
          <w:p>
            <w:pPr>
              <w:spacing w:after="0"/>
              <w:rPr>
                <w:sz w:val="16"/>
                <w:szCs w:val="16"/>
                <w:color w:val="auto"/>
              </w:rPr>
            </w:pPr>
          </w:p>
        </w:tc>
        <w:tc>
          <w:tcPr>
            <w:tcW w:w="980" w:type="dxa"/>
            <w:vAlign w:val="bottom"/>
            <w:vMerge w:val="restart"/>
          </w:tcPr>
          <w:p>
            <w:pPr>
              <w:jc w:val="center"/>
              <w:ind w:right="208"/>
              <w:spacing w:after="0"/>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6"/>
                <w:szCs w:val="16"/>
                <w:color w:val="auto"/>
              </w:rPr>
            </w:pPr>
          </w:p>
        </w:tc>
        <w:tc>
          <w:tcPr>
            <w:tcW w:w="920" w:type="dxa"/>
            <w:vAlign w:val="bottom"/>
          </w:tcPr>
          <w:p>
            <w:pPr>
              <w:jc w:val="center"/>
              <w:ind w:right="28"/>
              <w:spacing w:after="0"/>
              <w:rPr>
                <w:sz w:val="20"/>
                <w:szCs w:val="20"/>
                <w:color w:val="auto"/>
              </w:rPr>
            </w:pPr>
            <w:r>
              <w:rPr>
                <w:rFonts w:ascii="Arial" w:cs="Arial" w:eastAsia="Arial" w:hAnsi="Arial"/>
                <w:sz w:val="14"/>
                <w:szCs w:val="14"/>
                <w:b w:val="1"/>
                <w:bCs w:val="1"/>
                <w:color w:val="auto"/>
              </w:rPr>
              <w:t>Interest and</w:t>
            </w:r>
          </w:p>
        </w:tc>
        <w:tc>
          <w:tcPr>
            <w:tcW w:w="0" w:type="dxa"/>
            <w:vAlign w:val="bottom"/>
          </w:tcPr>
          <w:p>
            <w:pPr>
              <w:spacing w:after="0"/>
              <w:rPr>
                <w:sz w:val="1"/>
                <w:szCs w:val="1"/>
                <w:color w:val="auto"/>
              </w:rPr>
            </w:pPr>
          </w:p>
        </w:tc>
      </w:tr>
      <w:tr>
        <w:trPr>
          <w:trHeight w:val="148"/>
        </w:trPr>
        <w:tc>
          <w:tcPr>
            <w:tcW w:w="3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Pr>
          <w:p>
            <w:pPr>
              <w:jc w:val="center"/>
              <w:ind w:right="128"/>
              <w:spacing w:after="0" w:line="149" w:lineRule="exact"/>
              <w:rPr>
                <w:sz w:val="20"/>
                <w:szCs w:val="20"/>
                <w:color w:val="auto"/>
              </w:rPr>
            </w:pPr>
            <w:r>
              <w:rPr>
                <w:rFonts w:ascii="Arial" w:cs="Arial" w:eastAsia="Arial" w:hAnsi="Arial"/>
                <w:sz w:val="14"/>
                <w:szCs w:val="14"/>
                <w:b w:val="1"/>
                <w:bCs w:val="1"/>
                <w:color w:val="auto"/>
              </w:rPr>
              <w:t>and</w:t>
            </w:r>
          </w:p>
        </w:tc>
        <w:tc>
          <w:tcPr>
            <w:tcW w:w="30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44"/>
        </w:trPr>
        <w:tc>
          <w:tcPr>
            <w:tcW w:w="3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Net Sales</w:t>
            </w:r>
          </w:p>
        </w:tc>
        <w:tc>
          <w:tcPr>
            <w:tcW w:w="280" w:type="dxa"/>
            <w:vAlign w:val="bottom"/>
          </w:tcPr>
          <w:p>
            <w:pPr>
              <w:spacing w:after="0"/>
              <w:rPr>
                <w:sz w:val="12"/>
                <w:szCs w:val="12"/>
                <w:color w:val="auto"/>
              </w:rPr>
            </w:pPr>
          </w:p>
        </w:tc>
        <w:tc>
          <w:tcPr>
            <w:tcW w:w="920" w:type="dxa"/>
            <w:vAlign w:val="bottom"/>
          </w:tcPr>
          <w:p>
            <w:pPr>
              <w:jc w:val="center"/>
              <w:ind w:right="148"/>
              <w:spacing w:after="0" w:line="145" w:lineRule="exact"/>
              <w:rPr>
                <w:sz w:val="20"/>
                <w:szCs w:val="20"/>
                <w:color w:val="auto"/>
              </w:rPr>
            </w:pPr>
            <w:r>
              <w:rPr>
                <w:rFonts w:ascii="Arial" w:cs="Arial" w:eastAsia="Arial" w:hAnsi="Arial"/>
                <w:sz w:val="14"/>
                <w:szCs w:val="14"/>
                <w:b w:val="1"/>
                <w:bCs w:val="1"/>
                <w:color w:val="auto"/>
              </w:rPr>
              <w:t>Products</w:t>
            </w:r>
          </w:p>
        </w:tc>
        <w:tc>
          <w:tcPr>
            <w:tcW w:w="280" w:type="dxa"/>
            <w:vAlign w:val="bottom"/>
          </w:tcPr>
          <w:p>
            <w:pPr>
              <w:spacing w:after="0"/>
              <w:rPr>
                <w:sz w:val="12"/>
                <w:szCs w:val="12"/>
                <w:color w:val="auto"/>
              </w:rPr>
            </w:pPr>
          </w:p>
        </w:tc>
        <w:tc>
          <w:tcPr>
            <w:tcW w:w="920" w:type="dxa"/>
            <w:vAlign w:val="bottom"/>
          </w:tcPr>
          <w:p>
            <w:pPr>
              <w:jc w:val="center"/>
              <w:ind w:right="168"/>
              <w:spacing w:after="0" w:line="145" w:lineRule="exact"/>
              <w:rPr>
                <w:sz w:val="20"/>
                <w:szCs w:val="20"/>
                <w:color w:val="auto"/>
              </w:rPr>
            </w:pPr>
            <w:r>
              <w:rPr>
                <w:rFonts w:ascii="Arial" w:cs="Arial" w:eastAsia="Arial" w:hAnsi="Arial"/>
                <w:sz w:val="14"/>
                <w:szCs w:val="14"/>
                <w:b w:val="1"/>
                <w:bCs w:val="1"/>
                <w:color w:val="auto"/>
              </w:rPr>
              <w:t>Services</w:t>
            </w:r>
          </w:p>
        </w:tc>
        <w:tc>
          <w:tcPr>
            <w:tcW w:w="240" w:type="dxa"/>
            <w:vAlign w:val="bottom"/>
          </w:tcPr>
          <w:p>
            <w:pPr>
              <w:spacing w:after="0"/>
              <w:rPr>
                <w:sz w:val="12"/>
                <w:szCs w:val="12"/>
                <w:color w:val="auto"/>
              </w:rPr>
            </w:pPr>
          </w:p>
        </w:tc>
        <w:tc>
          <w:tcPr>
            <w:tcW w:w="1300" w:type="dxa"/>
            <w:vAlign w:val="bottom"/>
          </w:tcPr>
          <w:p>
            <w:pPr>
              <w:jc w:val="center"/>
              <w:ind w:right="108"/>
              <w:spacing w:after="0" w:line="145" w:lineRule="exact"/>
              <w:rPr>
                <w:sz w:val="20"/>
                <w:szCs w:val="20"/>
                <w:color w:val="auto"/>
              </w:rPr>
            </w:pPr>
            <w:r>
              <w:rPr>
                <w:rFonts w:ascii="Arial" w:cs="Arial" w:eastAsia="Arial" w:hAnsi="Arial"/>
                <w:sz w:val="14"/>
                <w:szCs w:val="14"/>
                <w:b w:val="1"/>
                <w:bCs w:val="1"/>
                <w:color w:val="auto"/>
              </w:rPr>
              <w:t>Administrative</w:t>
            </w:r>
          </w:p>
        </w:tc>
        <w:tc>
          <w:tcPr>
            <w:tcW w:w="300" w:type="dxa"/>
            <w:vAlign w:val="bottom"/>
          </w:tcPr>
          <w:p>
            <w:pPr>
              <w:spacing w:after="0"/>
              <w:rPr>
                <w:sz w:val="12"/>
                <w:szCs w:val="12"/>
                <w:color w:val="auto"/>
              </w:rPr>
            </w:pPr>
          </w:p>
        </w:tc>
        <w:tc>
          <w:tcPr>
            <w:tcW w:w="980" w:type="dxa"/>
            <w:vAlign w:val="bottom"/>
          </w:tcPr>
          <w:p>
            <w:pPr>
              <w:jc w:val="center"/>
              <w:ind w:right="188"/>
              <w:spacing w:after="0" w:line="145" w:lineRule="exact"/>
              <w:rPr>
                <w:sz w:val="20"/>
                <w:szCs w:val="20"/>
                <w:color w:val="auto"/>
              </w:rPr>
            </w:pPr>
            <w:r>
              <w:rPr>
                <w:rFonts w:ascii="Arial" w:cs="Arial" w:eastAsia="Arial" w:hAnsi="Arial"/>
                <w:sz w:val="14"/>
                <w:szCs w:val="14"/>
                <w:b w:val="1"/>
                <w:bCs w:val="1"/>
                <w:color w:val="auto"/>
              </w:rPr>
              <w:t>(Income)</w:t>
            </w:r>
          </w:p>
        </w:tc>
        <w:tc>
          <w:tcPr>
            <w:tcW w:w="220" w:type="dxa"/>
            <w:vAlign w:val="bottom"/>
          </w:tcPr>
          <w:p>
            <w:pPr>
              <w:spacing w:after="0"/>
              <w:rPr>
                <w:sz w:val="12"/>
                <w:szCs w:val="12"/>
                <w:color w:val="auto"/>
              </w:rPr>
            </w:pPr>
          </w:p>
        </w:tc>
        <w:tc>
          <w:tcPr>
            <w:tcW w:w="920" w:type="dxa"/>
            <w:vAlign w:val="bottom"/>
          </w:tcPr>
          <w:p>
            <w:pPr>
              <w:jc w:val="center"/>
              <w:ind w:right="28"/>
              <w:spacing w:after="0" w:line="145" w:lineRule="exact"/>
              <w:rPr>
                <w:sz w:val="20"/>
                <w:szCs w:val="20"/>
                <w:color w:val="auto"/>
              </w:rPr>
            </w:pPr>
            <w:r>
              <w:rPr>
                <w:rFonts w:ascii="Arial" w:cs="Arial" w:eastAsia="Arial" w:hAnsi="Arial"/>
                <w:sz w:val="14"/>
                <w:szCs w:val="14"/>
                <w:b w:val="1"/>
                <w:bCs w:val="1"/>
                <w:color w:val="auto"/>
              </w:rPr>
              <w:t>Financial</w:t>
            </w:r>
          </w:p>
        </w:tc>
        <w:tc>
          <w:tcPr>
            <w:tcW w:w="0" w:type="dxa"/>
            <w:vAlign w:val="bottom"/>
          </w:tcPr>
          <w:p>
            <w:pPr>
              <w:spacing w:after="0"/>
              <w:rPr>
                <w:sz w:val="1"/>
                <w:szCs w:val="1"/>
                <w:color w:val="auto"/>
              </w:rPr>
            </w:pPr>
          </w:p>
        </w:tc>
      </w:tr>
      <w:tr>
        <w:trPr>
          <w:trHeight w:val="189"/>
        </w:trPr>
        <w:tc>
          <w:tcPr>
            <w:tcW w:w="3820" w:type="dxa"/>
            <w:vAlign w:val="bottom"/>
            <w:tcBorders>
              <w:bottom w:val="single" w:sz="8" w:color="D7282F"/>
            </w:tcBorders>
          </w:tcPr>
          <w:p>
            <w:pPr>
              <w:spacing w:after="0"/>
              <w:rPr>
                <w:sz w:val="16"/>
                <w:szCs w:val="16"/>
                <w:color w:val="auto"/>
              </w:rPr>
            </w:pPr>
          </w:p>
        </w:tc>
        <w:tc>
          <w:tcPr>
            <w:tcW w:w="140" w:type="dxa"/>
            <w:vAlign w:val="bottom"/>
            <w:tcBorders>
              <w:bottom w:val="single" w:sz="8" w:color="D7282F"/>
            </w:tcBorders>
          </w:tcPr>
          <w:p>
            <w:pPr>
              <w:spacing w:after="0"/>
              <w:rPr>
                <w:sz w:val="16"/>
                <w:szCs w:val="16"/>
                <w:color w:val="auto"/>
              </w:rPr>
            </w:pPr>
          </w:p>
        </w:tc>
        <w:tc>
          <w:tcPr>
            <w:tcW w:w="920" w:type="dxa"/>
            <w:vAlign w:val="bottom"/>
            <w:tcBorders>
              <w:bottom w:val="single" w:sz="8" w:color="D7282F"/>
            </w:tcBorders>
            <w:vMerge w:val="continue"/>
          </w:tcPr>
          <w:p>
            <w:pPr>
              <w:spacing w:after="0"/>
              <w:rPr>
                <w:sz w:val="16"/>
                <w:szCs w:val="16"/>
                <w:color w:val="auto"/>
              </w:rPr>
            </w:pPr>
          </w:p>
        </w:tc>
        <w:tc>
          <w:tcPr>
            <w:tcW w:w="280" w:type="dxa"/>
            <w:vAlign w:val="bottom"/>
            <w:tcBorders>
              <w:bottom w:val="single" w:sz="8" w:color="D7282F"/>
            </w:tcBorders>
          </w:tcPr>
          <w:p>
            <w:pPr>
              <w:spacing w:after="0"/>
              <w:rPr>
                <w:sz w:val="16"/>
                <w:szCs w:val="16"/>
                <w:color w:val="auto"/>
              </w:rPr>
            </w:pPr>
          </w:p>
        </w:tc>
        <w:tc>
          <w:tcPr>
            <w:tcW w:w="920" w:type="dxa"/>
            <w:vAlign w:val="bottom"/>
            <w:tcBorders>
              <w:bottom w:val="single" w:sz="8" w:color="D7282F"/>
            </w:tcBorders>
          </w:tcPr>
          <w:p>
            <w:pPr>
              <w:jc w:val="center"/>
              <w:ind w:right="168"/>
              <w:spacing w:after="0"/>
              <w:rPr>
                <w:sz w:val="20"/>
                <w:szCs w:val="20"/>
                <w:color w:val="auto"/>
              </w:rPr>
            </w:pPr>
            <w:r>
              <w:rPr>
                <w:rFonts w:ascii="Arial" w:cs="Arial" w:eastAsia="Arial" w:hAnsi="Arial"/>
                <w:sz w:val="14"/>
                <w:szCs w:val="14"/>
                <w:b w:val="1"/>
                <w:bCs w:val="1"/>
                <w:color w:val="auto"/>
              </w:rPr>
              <w:t>Sold</w:t>
            </w:r>
          </w:p>
        </w:tc>
        <w:tc>
          <w:tcPr>
            <w:tcW w:w="280" w:type="dxa"/>
            <w:vAlign w:val="bottom"/>
            <w:tcBorders>
              <w:bottom w:val="single" w:sz="8" w:color="D7282F"/>
            </w:tcBorders>
          </w:tcPr>
          <w:p>
            <w:pPr>
              <w:spacing w:after="0"/>
              <w:rPr>
                <w:sz w:val="16"/>
                <w:szCs w:val="16"/>
                <w:color w:val="auto"/>
              </w:rPr>
            </w:pPr>
          </w:p>
        </w:tc>
        <w:tc>
          <w:tcPr>
            <w:tcW w:w="920" w:type="dxa"/>
            <w:vAlign w:val="bottom"/>
            <w:tcBorders>
              <w:bottom w:val="single" w:sz="8" w:color="D7282F"/>
            </w:tcBorders>
          </w:tcPr>
          <w:p>
            <w:pPr>
              <w:jc w:val="center"/>
              <w:ind w:right="168"/>
              <w:spacing w:after="0"/>
              <w:rPr>
                <w:sz w:val="20"/>
                <w:szCs w:val="20"/>
                <w:color w:val="auto"/>
              </w:rPr>
            </w:pPr>
            <w:r>
              <w:rPr>
                <w:rFonts w:ascii="Arial" w:cs="Arial" w:eastAsia="Arial" w:hAnsi="Arial"/>
                <w:sz w:val="14"/>
                <w:szCs w:val="14"/>
                <w:b w:val="1"/>
                <w:bCs w:val="1"/>
                <w:color w:val="auto"/>
              </w:rPr>
              <w:t>Sold</w:t>
            </w:r>
          </w:p>
        </w:tc>
        <w:tc>
          <w:tcPr>
            <w:tcW w:w="240" w:type="dxa"/>
            <w:vAlign w:val="bottom"/>
            <w:tcBorders>
              <w:bottom w:val="single" w:sz="8" w:color="D7282F"/>
            </w:tcBorders>
          </w:tcPr>
          <w:p>
            <w:pPr>
              <w:spacing w:after="0"/>
              <w:rPr>
                <w:sz w:val="16"/>
                <w:szCs w:val="16"/>
                <w:color w:val="auto"/>
              </w:rPr>
            </w:pPr>
          </w:p>
        </w:tc>
        <w:tc>
          <w:tcPr>
            <w:tcW w:w="1300" w:type="dxa"/>
            <w:vAlign w:val="bottom"/>
            <w:tcBorders>
              <w:bottom w:val="single" w:sz="8" w:color="D7282F"/>
            </w:tcBorders>
          </w:tcPr>
          <w:p>
            <w:pPr>
              <w:jc w:val="center"/>
              <w:ind w:right="108"/>
              <w:spacing w:after="0"/>
              <w:rPr>
                <w:sz w:val="20"/>
                <w:szCs w:val="20"/>
                <w:color w:val="auto"/>
              </w:rPr>
            </w:pPr>
            <w:r>
              <w:rPr>
                <w:rFonts w:ascii="Arial" w:cs="Arial" w:eastAsia="Arial" w:hAnsi="Arial"/>
                <w:sz w:val="14"/>
                <w:szCs w:val="14"/>
                <w:b w:val="1"/>
                <w:bCs w:val="1"/>
                <w:color w:val="auto"/>
              </w:rPr>
              <w:t>Expenses</w:t>
            </w:r>
          </w:p>
        </w:tc>
        <w:tc>
          <w:tcPr>
            <w:tcW w:w="300" w:type="dxa"/>
            <w:vAlign w:val="bottom"/>
            <w:tcBorders>
              <w:bottom w:val="single" w:sz="8" w:color="D7282F"/>
            </w:tcBorders>
          </w:tcPr>
          <w:p>
            <w:pPr>
              <w:spacing w:after="0"/>
              <w:rPr>
                <w:sz w:val="16"/>
                <w:szCs w:val="16"/>
                <w:color w:val="auto"/>
              </w:rPr>
            </w:pPr>
          </w:p>
        </w:tc>
        <w:tc>
          <w:tcPr>
            <w:tcW w:w="980" w:type="dxa"/>
            <w:vAlign w:val="bottom"/>
            <w:tcBorders>
              <w:bottom w:val="single" w:sz="8" w:color="D7282F"/>
            </w:tcBorders>
          </w:tcPr>
          <w:p>
            <w:pPr>
              <w:jc w:val="center"/>
              <w:ind w:right="208"/>
              <w:spacing w:after="0"/>
              <w:rPr>
                <w:sz w:val="20"/>
                <w:szCs w:val="20"/>
                <w:color w:val="auto"/>
              </w:rPr>
            </w:pPr>
            <w:r>
              <w:rPr>
                <w:rFonts w:ascii="Arial" w:cs="Arial" w:eastAsia="Arial" w:hAnsi="Arial"/>
                <w:sz w:val="14"/>
                <w:szCs w:val="14"/>
                <w:b w:val="1"/>
                <w:bCs w:val="1"/>
                <w:color w:val="auto"/>
              </w:rPr>
              <w:t>Expense</w:t>
            </w:r>
          </w:p>
        </w:tc>
        <w:tc>
          <w:tcPr>
            <w:tcW w:w="220" w:type="dxa"/>
            <w:vAlign w:val="bottom"/>
            <w:tcBorders>
              <w:bottom w:val="single" w:sz="8" w:color="D7282F"/>
            </w:tcBorders>
          </w:tcPr>
          <w:p>
            <w:pPr>
              <w:spacing w:after="0"/>
              <w:rPr>
                <w:sz w:val="16"/>
                <w:szCs w:val="16"/>
                <w:color w:val="auto"/>
              </w:rPr>
            </w:pPr>
          </w:p>
        </w:tc>
        <w:tc>
          <w:tcPr>
            <w:tcW w:w="920" w:type="dxa"/>
            <w:vAlign w:val="bottom"/>
            <w:tcBorders>
              <w:bottom w:val="single" w:sz="8" w:color="D7282F"/>
            </w:tcBorders>
          </w:tcPr>
          <w:p>
            <w:pPr>
              <w:jc w:val="center"/>
              <w:ind w:right="28"/>
              <w:spacing w:after="0"/>
              <w:rPr>
                <w:sz w:val="20"/>
                <w:szCs w:val="20"/>
                <w:color w:val="auto"/>
              </w:rPr>
            </w:pPr>
            <w:r>
              <w:rPr>
                <w:rFonts w:ascii="Arial" w:cs="Arial" w:eastAsia="Arial" w:hAnsi="Arial"/>
                <w:sz w:val="14"/>
                <w:szCs w:val="14"/>
                <w:b w:val="1"/>
                <w:bCs w:val="1"/>
                <w:color w:val="auto"/>
              </w:rPr>
              <w:t>Charges</w:t>
            </w:r>
          </w:p>
        </w:tc>
        <w:tc>
          <w:tcPr>
            <w:tcW w:w="0" w:type="dxa"/>
            <w:vAlign w:val="bottom"/>
          </w:tcPr>
          <w:p>
            <w:pPr>
              <w:spacing w:after="0"/>
              <w:rPr>
                <w:sz w:val="1"/>
                <w:szCs w:val="1"/>
                <w:color w:val="auto"/>
              </w:rPr>
            </w:pPr>
          </w:p>
        </w:tc>
      </w:tr>
      <w:tr>
        <w:trPr>
          <w:trHeight w:val="192"/>
        </w:trPr>
        <w:tc>
          <w:tcPr>
            <w:tcW w:w="3960" w:type="dxa"/>
            <w:vAlign w:val="bottom"/>
            <w:tcBorders>
              <w:bottom w:val="single" w:sz="8" w:color="888B8D"/>
            </w:tcBorders>
            <w:gridSpan w:val="2"/>
          </w:tcPr>
          <w:p>
            <w:pPr>
              <w:ind w:left="384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38,498</w:t>
            </w:r>
          </w:p>
        </w:tc>
        <w:tc>
          <w:tcPr>
            <w:tcW w:w="28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17,227</w:t>
            </w:r>
          </w:p>
        </w:tc>
        <w:tc>
          <w:tcPr>
            <w:tcW w:w="28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6,609</w:t>
            </w:r>
          </w:p>
        </w:tc>
        <w:tc>
          <w:tcPr>
            <w:tcW w:w="2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5,466</w:t>
            </w:r>
          </w:p>
        </w:tc>
        <w:tc>
          <w:tcPr>
            <w:tcW w:w="3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(830)</w:t>
            </w:r>
          </w:p>
        </w:tc>
        <w:tc>
          <w:tcPr>
            <w:tcW w:w="22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1,058</w:t>
            </w:r>
          </w:p>
        </w:tc>
        <w:tc>
          <w:tcPr>
            <w:tcW w:w="0" w:type="dxa"/>
            <w:vAlign w:val="bottom"/>
          </w:tcPr>
          <w:p>
            <w:pPr>
              <w:spacing w:after="0"/>
              <w:rPr>
                <w:sz w:val="1"/>
                <w:szCs w:val="1"/>
                <w:color w:val="auto"/>
              </w:rPr>
            </w:pPr>
          </w:p>
        </w:tc>
      </w:tr>
      <w:tr>
        <w:trPr>
          <w:trHeight w:val="199"/>
        </w:trPr>
        <w:tc>
          <w:tcPr>
            <w:tcW w:w="3960" w:type="dxa"/>
            <w:vAlign w:val="bottom"/>
            <w:tcBorders>
              <w:bottom w:val="single" w:sz="8" w:color="888B8D"/>
            </w:tcBorders>
            <w:gridSpan w:val="2"/>
          </w:tcPr>
          <w:p>
            <w:pPr>
              <w:ind w:left="20"/>
              <w:spacing w:after="0"/>
              <w:rPr>
                <w:sz w:val="20"/>
                <w:szCs w:val="20"/>
                <w:color w:val="auto"/>
              </w:rPr>
            </w:pPr>
            <w:r>
              <w:rPr>
                <w:rFonts w:ascii="Arial" w:cs="Arial" w:eastAsia="Arial" w:hAnsi="Arial"/>
                <w:sz w:val="14"/>
                <w:szCs w:val="14"/>
                <w:b w:val="1"/>
                <w:bCs w:val="1"/>
                <w:color w:val="auto"/>
              </w:rPr>
              <w:t>Gain (loss) on cash flow hedges</w:t>
            </w:r>
          </w:p>
        </w:tc>
        <w:tc>
          <w:tcPr>
            <w:tcW w:w="920" w:type="dxa"/>
            <w:vAlign w:val="bottom"/>
            <w:tcBorders>
              <w:bottom w:val="single" w:sz="8" w:color="888B8D"/>
            </w:tcBorders>
          </w:tcPr>
          <w:p>
            <w:pPr>
              <w:spacing w:after="0"/>
              <w:rPr>
                <w:sz w:val="17"/>
                <w:szCs w:val="17"/>
                <w:color w:val="auto"/>
              </w:rPr>
            </w:pPr>
          </w:p>
        </w:tc>
        <w:tc>
          <w:tcPr>
            <w:tcW w:w="280" w:type="dxa"/>
            <w:vAlign w:val="bottom"/>
            <w:tcBorders>
              <w:bottom w:val="single" w:sz="8" w:color="888B8D"/>
            </w:tcBorders>
          </w:tcPr>
          <w:p>
            <w:pPr>
              <w:spacing w:after="0"/>
              <w:rPr>
                <w:sz w:val="17"/>
                <w:szCs w:val="17"/>
                <w:color w:val="auto"/>
              </w:rPr>
            </w:pPr>
          </w:p>
        </w:tc>
        <w:tc>
          <w:tcPr>
            <w:tcW w:w="920" w:type="dxa"/>
            <w:vAlign w:val="bottom"/>
            <w:tcBorders>
              <w:bottom w:val="single" w:sz="8" w:color="888B8D"/>
            </w:tcBorders>
          </w:tcPr>
          <w:p>
            <w:pPr>
              <w:spacing w:after="0"/>
              <w:rPr>
                <w:sz w:val="17"/>
                <w:szCs w:val="17"/>
                <w:color w:val="auto"/>
              </w:rPr>
            </w:pPr>
          </w:p>
        </w:tc>
        <w:tc>
          <w:tcPr>
            <w:tcW w:w="280" w:type="dxa"/>
            <w:vAlign w:val="bottom"/>
            <w:tcBorders>
              <w:bottom w:val="single" w:sz="8" w:color="888B8D"/>
            </w:tcBorders>
          </w:tcPr>
          <w:p>
            <w:pPr>
              <w:spacing w:after="0"/>
              <w:rPr>
                <w:sz w:val="17"/>
                <w:szCs w:val="17"/>
                <w:color w:val="auto"/>
              </w:rPr>
            </w:pPr>
          </w:p>
        </w:tc>
        <w:tc>
          <w:tcPr>
            <w:tcW w:w="920" w:type="dxa"/>
            <w:vAlign w:val="bottom"/>
            <w:tcBorders>
              <w:bottom w:val="single" w:sz="8" w:color="888B8D"/>
            </w:tcBorders>
          </w:tcPr>
          <w:p>
            <w:pPr>
              <w:spacing w:after="0"/>
              <w:rPr>
                <w:sz w:val="17"/>
                <w:szCs w:val="17"/>
                <w:color w:val="auto"/>
              </w:rPr>
            </w:pPr>
          </w:p>
        </w:tc>
        <w:tc>
          <w:tcPr>
            <w:tcW w:w="240" w:type="dxa"/>
            <w:vAlign w:val="bottom"/>
            <w:tcBorders>
              <w:bottom w:val="single" w:sz="8" w:color="888B8D"/>
            </w:tcBorders>
          </w:tcPr>
          <w:p>
            <w:pPr>
              <w:spacing w:after="0"/>
              <w:rPr>
                <w:sz w:val="17"/>
                <w:szCs w:val="17"/>
                <w:color w:val="auto"/>
              </w:rPr>
            </w:pPr>
          </w:p>
        </w:tc>
        <w:tc>
          <w:tcPr>
            <w:tcW w:w="1300" w:type="dxa"/>
            <w:vAlign w:val="bottom"/>
            <w:tcBorders>
              <w:bottom w:val="single" w:sz="8" w:color="888B8D"/>
            </w:tcBorders>
          </w:tcPr>
          <w:p>
            <w:pPr>
              <w:spacing w:after="0"/>
              <w:rPr>
                <w:sz w:val="17"/>
                <w:szCs w:val="17"/>
                <w:color w:val="auto"/>
              </w:rPr>
            </w:pPr>
          </w:p>
        </w:tc>
        <w:tc>
          <w:tcPr>
            <w:tcW w:w="300" w:type="dxa"/>
            <w:vAlign w:val="bottom"/>
            <w:tcBorders>
              <w:bottom w:val="single" w:sz="8" w:color="888B8D"/>
            </w:tcBorders>
          </w:tcPr>
          <w:p>
            <w:pPr>
              <w:spacing w:after="0"/>
              <w:rPr>
                <w:sz w:val="17"/>
                <w:szCs w:val="17"/>
                <w:color w:val="auto"/>
              </w:rPr>
            </w:pPr>
          </w:p>
        </w:tc>
        <w:tc>
          <w:tcPr>
            <w:tcW w:w="980" w:type="dxa"/>
            <w:vAlign w:val="bottom"/>
            <w:tcBorders>
              <w:bottom w:val="single" w:sz="8" w:color="888B8D"/>
            </w:tcBorders>
          </w:tcPr>
          <w:p>
            <w:pPr>
              <w:spacing w:after="0"/>
              <w:rPr>
                <w:sz w:val="17"/>
                <w:szCs w:val="17"/>
                <w:color w:val="auto"/>
              </w:rPr>
            </w:pPr>
          </w:p>
        </w:tc>
        <w:tc>
          <w:tcPr>
            <w:tcW w:w="220" w:type="dxa"/>
            <w:vAlign w:val="bottom"/>
            <w:tcBorders>
              <w:bottom w:val="single" w:sz="8" w:color="888B8D"/>
            </w:tcBorders>
          </w:tcPr>
          <w:p>
            <w:pPr>
              <w:spacing w:after="0"/>
              <w:rPr>
                <w:sz w:val="17"/>
                <w:szCs w:val="17"/>
                <w:color w:val="auto"/>
              </w:rPr>
            </w:pPr>
          </w:p>
        </w:tc>
        <w:tc>
          <w:tcPr>
            <w:tcW w:w="920" w:type="dxa"/>
            <w:vAlign w:val="bottom"/>
            <w:tcBorders>
              <w:bottom w:val="single" w:sz="8" w:color="888B8D"/>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960" w:type="dxa"/>
            <w:vAlign w:val="bottom"/>
            <w:tcBorders>
              <w:bottom w:val="single" w:sz="8" w:color="888B8D"/>
            </w:tcBorders>
            <w:gridSpan w:val="2"/>
          </w:tcPr>
          <w:p>
            <w:pPr>
              <w:ind w:left="140"/>
              <w:spacing w:after="0"/>
              <w:rPr>
                <w:sz w:val="20"/>
                <w:szCs w:val="20"/>
                <w:color w:val="auto"/>
              </w:rPr>
            </w:pPr>
            <w:r>
              <w:rPr>
                <w:rFonts w:ascii="Arial" w:cs="Arial" w:eastAsia="Arial" w:hAnsi="Arial"/>
                <w:sz w:val="14"/>
                <w:szCs w:val="14"/>
                <w:color w:val="auto"/>
              </w:rPr>
              <w:t>Foreign currency exchange contracts</w:t>
            </w:r>
          </w:p>
        </w:tc>
        <w:tc>
          <w:tcPr>
            <w:tcW w:w="920" w:type="dxa"/>
            <w:vAlign w:val="bottom"/>
            <w:tcBorders>
              <w:bottom w:val="single" w:sz="8" w:color="888B8D"/>
            </w:tcBorders>
          </w:tcPr>
          <w:p>
            <w:pPr>
              <w:spacing w:after="0"/>
              <w:rPr>
                <w:sz w:val="16"/>
                <w:szCs w:val="16"/>
                <w:color w:val="auto"/>
              </w:rPr>
            </w:pPr>
          </w:p>
        </w:tc>
        <w:tc>
          <w:tcPr>
            <w:tcW w:w="280" w:type="dxa"/>
            <w:vAlign w:val="bottom"/>
            <w:tcBorders>
              <w:bottom w:val="single" w:sz="8" w:color="888B8D"/>
            </w:tcBorders>
          </w:tcPr>
          <w:p>
            <w:pPr>
              <w:spacing w:after="0"/>
              <w:rPr>
                <w:sz w:val="16"/>
                <w:szCs w:val="16"/>
                <w:color w:val="auto"/>
              </w:rPr>
            </w:pPr>
          </w:p>
        </w:tc>
        <w:tc>
          <w:tcPr>
            <w:tcW w:w="920" w:type="dxa"/>
            <w:vAlign w:val="bottom"/>
            <w:tcBorders>
              <w:bottom w:val="single" w:sz="8" w:color="888B8D"/>
            </w:tcBorders>
          </w:tcPr>
          <w:p>
            <w:pPr>
              <w:spacing w:after="0"/>
              <w:rPr>
                <w:sz w:val="16"/>
                <w:szCs w:val="16"/>
                <w:color w:val="auto"/>
              </w:rPr>
            </w:pPr>
          </w:p>
        </w:tc>
        <w:tc>
          <w:tcPr>
            <w:tcW w:w="280" w:type="dxa"/>
            <w:vAlign w:val="bottom"/>
            <w:tcBorders>
              <w:bottom w:val="single" w:sz="8" w:color="888B8D"/>
            </w:tcBorders>
          </w:tcPr>
          <w:p>
            <w:pPr>
              <w:spacing w:after="0"/>
              <w:rPr>
                <w:sz w:val="16"/>
                <w:szCs w:val="16"/>
                <w:color w:val="auto"/>
              </w:rPr>
            </w:pPr>
          </w:p>
        </w:tc>
        <w:tc>
          <w:tcPr>
            <w:tcW w:w="920" w:type="dxa"/>
            <w:vAlign w:val="bottom"/>
            <w:tcBorders>
              <w:bottom w:val="single" w:sz="8" w:color="888B8D"/>
            </w:tcBorders>
          </w:tcPr>
          <w:p>
            <w:pPr>
              <w:spacing w:after="0"/>
              <w:rPr>
                <w:sz w:val="16"/>
                <w:szCs w:val="16"/>
                <w:color w:val="auto"/>
              </w:rPr>
            </w:pPr>
          </w:p>
        </w:tc>
        <w:tc>
          <w:tcPr>
            <w:tcW w:w="240" w:type="dxa"/>
            <w:vAlign w:val="bottom"/>
            <w:tcBorders>
              <w:bottom w:val="single" w:sz="8" w:color="888B8D"/>
            </w:tcBorders>
          </w:tcPr>
          <w:p>
            <w:pPr>
              <w:spacing w:after="0"/>
              <w:rPr>
                <w:sz w:val="16"/>
                <w:szCs w:val="16"/>
                <w:color w:val="auto"/>
              </w:rPr>
            </w:pPr>
          </w:p>
        </w:tc>
        <w:tc>
          <w:tcPr>
            <w:tcW w:w="1300" w:type="dxa"/>
            <w:vAlign w:val="bottom"/>
            <w:tcBorders>
              <w:bottom w:val="single" w:sz="8" w:color="888B8D"/>
            </w:tcBorders>
          </w:tcPr>
          <w:p>
            <w:pPr>
              <w:spacing w:after="0"/>
              <w:rPr>
                <w:sz w:val="16"/>
                <w:szCs w:val="16"/>
                <w:color w:val="auto"/>
              </w:rPr>
            </w:pPr>
          </w:p>
        </w:tc>
        <w:tc>
          <w:tcPr>
            <w:tcW w:w="300" w:type="dxa"/>
            <w:vAlign w:val="bottom"/>
            <w:tcBorders>
              <w:bottom w:val="single" w:sz="8" w:color="888B8D"/>
            </w:tcBorders>
          </w:tcPr>
          <w:p>
            <w:pPr>
              <w:spacing w:after="0"/>
              <w:rPr>
                <w:sz w:val="16"/>
                <w:szCs w:val="16"/>
                <w:color w:val="auto"/>
              </w:rPr>
            </w:pPr>
          </w:p>
        </w:tc>
        <w:tc>
          <w:tcPr>
            <w:tcW w:w="980" w:type="dxa"/>
            <w:vAlign w:val="bottom"/>
            <w:tcBorders>
              <w:bottom w:val="single" w:sz="8" w:color="888B8D"/>
            </w:tcBorders>
          </w:tcPr>
          <w:p>
            <w:pPr>
              <w:spacing w:after="0"/>
              <w:rPr>
                <w:sz w:val="16"/>
                <w:szCs w:val="16"/>
                <w:color w:val="auto"/>
              </w:rPr>
            </w:pPr>
          </w:p>
        </w:tc>
        <w:tc>
          <w:tcPr>
            <w:tcW w:w="220" w:type="dxa"/>
            <w:vAlign w:val="bottom"/>
            <w:tcBorders>
              <w:bottom w:val="single" w:sz="8" w:color="888B8D"/>
            </w:tcBorders>
          </w:tcPr>
          <w:p>
            <w:pPr>
              <w:spacing w:after="0"/>
              <w:rPr>
                <w:sz w:val="16"/>
                <w:szCs w:val="16"/>
                <w:color w:val="auto"/>
              </w:rPr>
            </w:pPr>
          </w:p>
        </w:tc>
        <w:tc>
          <w:tcPr>
            <w:tcW w:w="920" w:type="dxa"/>
            <w:vAlign w:val="bottom"/>
            <w:tcBorders>
              <w:bottom w:val="single" w:sz="8" w:color="888B8D"/>
            </w:tcBorders>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3960" w:type="dxa"/>
            <w:vAlign w:val="bottom"/>
            <w:gridSpan w:val="2"/>
          </w:tcPr>
          <w:p>
            <w:pPr>
              <w:ind w:left="240"/>
              <w:spacing w:after="0" w:line="151" w:lineRule="exact"/>
              <w:rPr>
                <w:sz w:val="20"/>
                <w:szCs w:val="20"/>
                <w:color w:val="auto"/>
              </w:rPr>
            </w:pPr>
            <w:r>
              <w:rPr>
                <w:rFonts w:ascii="Arial" w:cs="Arial" w:eastAsia="Arial" w:hAnsi="Arial"/>
                <w:sz w:val="14"/>
                <w:szCs w:val="14"/>
                <w:color w:val="auto"/>
              </w:rPr>
              <w:t>Amount reclassified from accumulated other</w:t>
            </w:r>
          </w:p>
        </w:tc>
        <w:tc>
          <w:tcPr>
            <w:tcW w:w="920" w:type="dxa"/>
            <w:vAlign w:val="bottom"/>
            <w:vMerge w:val="restart"/>
          </w:tcPr>
          <w:p>
            <w:pPr>
              <w:jc w:val="right"/>
              <w:ind w:right="88"/>
              <w:spacing w:after="0"/>
              <w:rPr>
                <w:sz w:val="20"/>
                <w:szCs w:val="20"/>
                <w:color w:val="auto"/>
              </w:rPr>
            </w:pPr>
            <w:r>
              <w:rPr>
                <w:rFonts w:ascii="Arial" w:cs="Arial" w:eastAsia="Arial" w:hAnsi="Arial"/>
                <w:sz w:val="14"/>
                <w:szCs w:val="14"/>
                <w:color w:val="auto"/>
              </w:rPr>
              <w:t>2</w:t>
            </w:r>
          </w:p>
        </w:tc>
        <w:tc>
          <w:tcPr>
            <w:tcW w:w="280" w:type="dxa"/>
            <w:vAlign w:val="bottom"/>
          </w:tcPr>
          <w:p>
            <w:pPr>
              <w:spacing w:after="0"/>
              <w:rPr>
                <w:sz w:val="13"/>
                <w:szCs w:val="13"/>
                <w:color w:val="auto"/>
              </w:rPr>
            </w:pPr>
          </w:p>
        </w:tc>
        <w:tc>
          <w:tcPr>
            <w:tcW w:w="920" w:type="dxa"/>
            <w:vAlign w:val="bottom"/>
            <w:vMerge w:val="restart"/>
          </w:tcPr>
          <w:p>
            <w:pPr>
              <w:jc w:val="right"/>
              <w:ind w:right="88"/>
              <w:spacing w:after="0"/>
              <w:rPr>
                <w:sz w:val="20"/>
                <w:szCs w:val="20"/>
                <w:color w:val="auto"/>
              </w:rPr>
            </w:pPr>
            <w:r>
              <w:rPr>
                <w:rFonts w:ascii="Arial" w:cs="Arial" w:eastAsia="Arial" w:hAnsi="Arial"/>
                <w:sz w:val="14"/>
                <w:szCs w:val="14"/>
                <w:color w:val="auto"/>
              </w:rPr>
              <w:t>8</w:t>
            </w:r>
          </w:p>
        </w:tc>
        <w:tc>
          <w:tcPr>
            <w:tcW w:w="280" w:type="dxa"/>
            <w:vAlign w:val="bottom"/>
          </w:tcPr>
          <w:p>
            <w:pPr>
              <w:spacing w:after="0"/>
              <w:rPr>
                <w:sz w:val="13"/>
                <w:szCs w:val="13"/>
                <w:color w:val="auto"/>
              </w:rPr>
            </w:pPr>
          </w:p>
        </w:tc>
        <w:tc>
          <w:tcPr>
            <w:tcW w:w="920" w:type="dxa"/>
            <w:vAlign w:val="bottom"/>
            <w:vMerge w:val="restart"/>
          </w:tcPr>
          <w:p>
            <w:pPr>
              <w:jc w:val="right"/>
              <w:ind w:right="88"/>
              <w:spacing w:after="0"/>
              <w:rPr>
                <w:sz w:val="20"/>
                <w:szCs w:val="20"/>
                <w:color w:val="auto"/>
              </w:rPr>
            </w:pPr>
            <w:r>
              <w:rPr>
                <w:rFonts w:ascii="Arial" w:cs="Arial" w:eastAsia="Arial" w:hAnsi="Arial"/>
                <w:sz w:val="14"/>
                <w:szCs w:val="14"/>
                <w:color w:val="auto"/>
              </w:rPr>
              <w:t>3</w:t>
            </w:r>
          </w:p>
        </w:tc>
        <w:tc>
          <w:tcPr>
            <w:tcW w:w="240" w:type="dxa"/>
            <w:vAlign w:val="bottom"/>
          </w:tcPr>
          <w:p>
            <w:pPr>
              <w:spacing w:after="0"/>
              <w:rPr>
                <w:sz w:val="13"/>
                <w:szCs w:val="13"/>
                <w:color w:val="auto"/>
              </w:rPr>
            </w:pPr>
          </w:p>
        </w:tc>
        <w:tc>
          <w:tcPr>
            <w:tcW w:w="1300" w:type="dxa"/>
            <w:vAlign w:val="bottom"/>
            <w:vMerge w:val="restart"/>
          </w:tcPr>
          <w:p>
            <w:pPr>
              <w:jc w:val="right"/>
              <w:ind w:right="88"/>
              <w:spacing w:after="0"/>
              <w:rPr>
                <w:sz w:val="20"/>
                <w:szCs w:val="20"/>
                <w:color w:val="auto"/>
              </w:rPr>
            </w:pPr>
            <w:r>
              <w:rPr>
                <w:rFonts w:ascii="Arial" w:cs="Arial" w:eastAsia="Arial" w:hAnsi="Arial"/>
                <w:sz w:val="14"/>
                <w:szCs w:val="14"/>
                <w:color w:val="auto"/>
              </w:rPr>
              <w:t>4</w:t>
            </w:r>
          </w:p>
        </w:tc>
        <w:tc>
          <w:tcPr>
            <w:tcW w:w="300" w:type="dxa"/>
            <w:vAlign w:val="bottom"/>
          </w:tcPr>
          <w:p>
            <w:pPr>
              <w:spacing w:after="0"/>
              <w:rPr>
                <w:sz w:val="13"/>
                <w:szCs w:val="13"/>
                <w:color w:val="auto"/>
              </w:rPr>
            </w:pPr>
          </w:p>
        </w:tc>
        <w:tc>
          <w:tcPr>
            <w:tcW w:w="9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3960" w:type="dxa"/>
            <w:vAlign w:val="bottom"/>
            <w:tcBorders>
              <w:bottom w:val="single" w:sz="8" w:color="888B8D"/>
            </w:tcBorders>
            <w:gridSpan w:val="2"/>
          </w:tcPr>
          <w:p>
            <w:pPr>
              <w:ind w:left="240"/>
              <w:spacing w:after="0"/>
              <w:rPr>
                <w:sz w:val="20"/>
                <w:szCs w:val="20"/>
                <w:color w:val="auto"/>
              </w:rPr>
            </w:pPr>
            <w:r>
              <w:rPr>
                <w:rFonts w:ascii="Arial" w:cs="Arial" w:eastAsia="Arial" w:hAnsi="Arial"/>
                <w:sz w:val="14"/>
                <w:szCs w:val="14"/>
                <w:color w:val="auto"/>
              </w:rPr>
              <w:t>comprehensive loss into income</w:t>
            </w:r>
          </w:p>
        </w:tc>
        <w:tc>
          <w:tcPr>
            <w:tcW w:w="920" w:type="dxa"/>
            <w:vAlign w:val="bottom"/>
            <w:tcBorders>
              <w:bottom w:val="single" w:sz="8" w:color="888B8D"/>
            </w:tcBorders>
            <w:vMerge w:val="continue"/>
          </w:tcPr>
          <w:p>
            <w:pPr>
              <w:spacing w:after="0"/>
              <w:rPr>
                <w:sz w:val="16"/>
                <w:szCs w:val="16"/>
                <w:color w:val="auto"/>
              </w:rPr>
            </w:pPr>
          </w:p>
        </w:tc>
        <w:tc>
          <w:tcPr>
            <w:tcW w:w="280" w:type="dxa"/>
            <w:vAlign w:val="bottom"/>
            <w:tcBorders>
              <w:bottom w:val="single" w:sz="8" w:color="888B8D"/>
            </w:tcBorders>
          </w:tcPr>
          <w:p>
            <w:pPr>
              <w:spacing w:after="0"/>
              <w:rPr>
                <w:sz w:val="16"/>
                <w:szCs w:val="16"/>
                <w:color w:val="auto"/>
              </w:rPr>
            </w:pPr>
          </w:p>
        </w:tc>
        <w:tc>
          <w:tcPr>
            <w:tcW w:w="920" w:type="dxa"/>
            <w:vAlign w:val="bottom"/>
            <w:tcBorders>
              <w:bottom w:val="single" w:sz="8" w:color="888B8D"/>
            </w:tcBorders>
            <w:vMerge w:val="continue"/>
          </w:tcPr>
          <w:p>
            <w:pPr>
              <w:spacing w:after="0"/>
              <w:rPr>
                <w:sz w:val="16"/>
                <w:szCs w:val="16"/>
                <w:color w:val="auto"/>
              </w:rPr>
            </w:pPr>
          </w:p>
        </w:tc>
        <w:tc>
          <w:tcPr>
            <w:tcW w:w="280" w:type="dxa"/>
            <w:vAlign w:val="bottom"/>
            <w:tcBorders>
              <w:bottom w:val="single" w:sz="8" w:color="888B8D"/>
            </w:tcBorders>
          </w:tcPr>
          <w:p>
            <w:pPr>
              <w:spacing w:after="0"/>
              <w:rPr>
                <w:sz w:val="16"/>
                <w:szCs w:val="16"/>
                <w:color w:val="auto"/>
              </w:rPr>
            </w:pPr>
          </w:p>
        </w:tc>
        <w:tc>
          <w:tcPr>
            <w:tcW w:w="920" w:type="dxa"/>
            <w:vAlign w:val="bottom"/>
            <w:tcBorders>
              <w:bottom w:val="single" w:sz="8" w:color="888B8D"/>
            </w:tcBorders>
            <w:vMerge w:val="continue"/>
          </w:tcPr>
          <w:p>
            <w:pPr>
              <w:spacing w:after="0"/>
              <w:rPr>
                <w:sz w:val="16"/>
                <w:szCs w:val="16"/>
                <w:color w:val="auto"/>
              </w:rPr>
            </w:pPr>
          </w:p>
        </w:tc>
        <w:tc>
          <w:tcPr>
            <w:tcW w:w="240" w:type="dxa"/>
            <w:vAlign w:val="bottom"/>
            <w:tcBorders>
              <w:bottom w:val="single" w:sz="8" w:color="888B8D"/>
            </w:tcBorders>
          </w:tcPr>
          <w:p>
            <w:pPr>
              <w:spacing w:after="0"/>
              <w:rPr>
                <w:sz w:val="16"/>
                <w:szCs w:val="16"/>
                <w:color w:val="auto"/>
              </w:rPr>
            </w:pPr>
          </w:p>
        </w:tc>
        <w:tc>
          <w:tcPr>
            <w:tcW w:w="1300" w:type="dxa"/>
            <w:vAlign w:val="bottom"/>
            <w:tcBorders>
              <w:bottom w:val="single" w:sz="8" w:color="888B8D"/>
            </w:tcBorders>
            <w:vMerge w:val="continue"/>
          </w:tcPr>
          <w:p>
            <w:pPr>
              <w:spacing w:after="0"/>
              <w:rPr>
                <w:sz w:val="16"/>
                <w:szCs w:val="16"/>
                <w:color w:val="auto"/>
              </w:rPr>
            </w:pPr>
          </w:p>
        </w:tc>
        <w:tc>
          <w:tcPr>
            <w:tcW w:w="300" w:type="dxa"/>
            <w:vAlign w:val="bottom"/>
            <w:tcBorders>
              <w:bottom w:val="single" w:sz="8" w:color="888B8D"/>
            </w:tcBorders>
          </w:tcPr>
          <w:p>
            <w:pPr>
              <w:spacing w:after="0"/>
              <w:rPr>
                <w:sz w:val="16"/>
                <w:szCs w:val="16"/>
                <w:color w:val="auto"/>
              </w:rPr>
            </w:pPr>
          </w:p>
        </w:tc>
        <w:tc>
          <w:tcPr>
            <w:tcW w:w="980" w:type="dxa"/>
            <w:vAlign w:val="bottom"/>
            <w:tcBorders>
              <w:bottom w:val="single" w:sz="8" w:color="888B8D"/>
            </w:tcBorders>
            <w:vMerge w:val="continue"/>
          </w:tcPr>
          <w:p>
            <w:pPr>
              <w:spacing w:after="0"/>
              <w:rPr>
                <w:sz w:val="16"/>
                <w:szCs w:val="16"/>
                <w:color w:val="auto"/>
              </w:rPr>
            </w:pPr>
          </w:p>
        </w:tc>
        <w:tc>
          <w:tcPr>
            <w:tcW w:w="220" w:type="dxa"/>
            <w:vAlign w:val="bottom"/>
            <w:tcBorders>
              <w:bottom w:val="single" w:sz="8" w:color="888B8D"/>
            </w:tcBorders>
          </w:tcPr>
          <w:p>
            <w:pPr>
              <w:spacing w:after="0"/>
              <w:rPr>
                <w:sz w:val="16"/>
                <w:szCs w:val="16"/>
                <w:color w:val="auto"/>
              </w:rPr>
            </w:pPr>
          </w:p>
        </w:tc>
        <w:tc>
          <w:tcPr>
            <w:tcW w:w="920" w:type="dxa"/>
            <w:vAlign w:val="bottom"/>
            <w:tcBorders>
              <w:bottom w:val="single" w:sz="8" w:color="888B8D"/>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960" w:type="dxa"/>
            <w:vAlign w:val="bottom"/>
            <w:tcBorders>
              <w:bottom w:val="single" w:sz="8" w:color="888B8D"/>
            </w:tcBorders>
            <w:gridSpan w:val="2"/>
          </w:tcPr>
          <w:p>
            <w:pPr>
              <w:ind w:left="20"/>
              <w:spacing w:after="0"/>
              <w:rPr>
                <w:sz w:val="20"/>
                <w:szCs w:val="20"/>
                <w:color w:val="auto"/>
              </w:rPr>
            </w:pPr>
            <w:r>
              <w:rPr>
                <w:rFonts w:ascii="Arial" w:cs="Arial" w:eastAsia="Arial" w:hAnsi="Arial"/>
                <w:sz w:val="14"/>
                <w:szCs w:val="14"/>
                <w:b w:val="1"/>
                <w:bCs w:val="1"/>
                <w:color w:val="auto"/>
              </w:rPr>
              <w:t>Gain (loss) on fair value hedges</w:t>
            </w:r>
          </w:p>
        </w:tc>
        <w:tc>
          <w:tcPr>
            <w:tcW w:w="920" w:type="dxa"/>
            <w:vAlign w:val="bottom"/>
            <w:tcBorders>
              <w:bottom w:val="single" w:sz="8" w:color="888B8D"/>
            </w:tcBorders>
          </w:tcPr>
          <w:p>
            <w:pPr>
              <w:spacing w:after="0"/>
              <w:rPr>
                <w:sz w:val="16"/>
                <w:szCs w:val="16"/>
                <w:color w:val="auto"/>
              </w:rPr>
            </w:pPr>
          </w:p>
        </w:tc>
        <w:tc>
          <w:tcPr>
            <w:tcW w:w="280" w:type="dxa"/>
            <w:vAlign w:val="bottom"/>
            <w:tcBorders>
              <w:bottom w:val="single" w:sz="8" w:color="888B8D"/>
            </w:tcBorders>
          </w:tcPr>
          <w:p>
            <w:pPr>
              <w:spacing w:after="0"/>
              <w:rPr>
                <w:sz w:val="16"/>
                <w:szCs w:val="16"/>
                <w:color w:val="auto"/>
              </w:rPr>
            </w:pPr>
          </w:p>
        </w:tc>
        <w:tc>
          <w:tcPr>
            <w:tcW w:w="920" w:type="dxa"/>
            <w:vAlign w:val="bottom"/>
            <w:tcBorders>
              <w:bottom w:val="single" w:sz="8" w:color="888B8D"/>
            </w:tcBorders>
          </w:tcPr>
          <w:p>
            <w:pPr>
              <w:spacing w:after="0"/>
              <w:rPr>
                <w:sz w:val="16"/>
                <w:szCs w:val="16"/>
                <w:color w:val="auto"/>
              </w:rPr>
            </w:pPr>
          </w:p>
        </w:tc>
        <w:tc>
          <w:tcPr>
            <w:tcW w:w="280" w:type="dxa"/>
            <w:vAlign w:val="bottom"/>
            <w:tcBorders>
              <w:bottom w:val="single" w:sz="8" w:color="888B8D"/>
            </w:tcBorders>
          </w:tcPr>
          <w:p>
            <w:pPr>
              <w:spacing w:after="0"/>
              <w:rPr>
                <w:sz w:val="16"/>
                <w:szCs w:val="16"/>
                <w:color w:val="auto"/>
              </w:rPr>
            </w:pPr>
          </w:p>
        </w:tc>
        <w:tc>
          <w:tcPr>
            <w:tcW w:w="920" w:type="dxa"/>
            <w:vAlign w:val="bottom"/>
            <w:tcBorders>
              <w:bottom w:val="single" w:sz="8" w:color="888B8D"/>
            </w:tcBorders>
          </w:tcPr>
          <w:p>
            <w:pPr>
              <w:spacing w:after="0"/>
              <w:rPr>
                <w:sz w:val="16"/>
                <w:szCs w:val="16"/>
                <w:color w:val="auto"/>
              </w:rPr>
            </w:pPr>
          </w:p>
        </w:tc>
        <w:tc>
          <w:tcPr>
            <w:tcW w:w="240" w:type="dxa"/>
            <w:vAlign w:val="bottom"/>
            <w:tcBorders>
              <w:bottom w:val="single" w:sz="8" w:color="888B8D"/>
            </w:tcBorders>
          </w:tcPr>
          <w:p>
            <w:pPr>
              <w:spacing w:after="0"/>
              <w:rPr>
                <w:sz w:val="16"/>
                <w:szCs w:val="16"/>
                <w:color w:val="auto"/>
              </w:rPr>
            </w:pPr>
          </w:p>
        </w:tc>
        <w:tc>
          <w:tcPr>
            <w:tcW w:w="1300" w:type="dxa"/>
            <w:vAlign w:val="bottom"/>
            <w:tcBorders>
              <w:bottom w:val="single" w:sz="8" w:color="888B8D"/>
            </w:tcBorders>
          </w:tcPr>
          <w:p>
            <w:pPr>
              <w:spacing w:after="0"/>
              <w:rPr>
                <w:sz w:val="16"/>
                <w:szCs w:val="16"/>
                <w:color w:val="auto"/>
              </w:rPr>
            </w:pPr>
          </w:p>
        </w:tc>
        <w:tc>
          <w:tcPr>
            <w:tcW w:w="300" w:type="dxa"/>
            <w:vAlign w:val="bottom"/>
            <w:tcBorders>
              <w:bottom w:val="single" w:sz="8" w:color="888B8D"/>
            </w:tcBorders>
          </w:tcPr>
          <w:p>
            <w:pPr>
              <w:spacing w:after="0"/>
              <w:rPr>
                <w:sz w:val="16"/>
                <w:szCs w:val="16"/>
                <w:color w:val="auto"/>
              </w:rPr>
            </w:pPr>
          </w:p>
        </w:tc>
        <w:tc>
          <w:tcPr>
            <w:tcW w:w="980" w:type="dxa"/>
            <w:vAlign w:val="bottom"/>
            <w:tcBorders>
              <w:bottom w:val="single" w:sz="8" w:color="888B8D"/>
            </w:tcBorders>
          </w:tcPr>
          <w:p>
            <w:pPr>
              <w:spacing w:after="0"/>
              <w:rPr>
                <w:sz w:val="16"/>
                <w:szCs w:val="16"/>
                <w:color w:val="auto"/>
              </w:rPr>
            </w:pPr>
          </w:p>
        </w:tc>
        <w:tc>
          <w:tcPr>
            <w:tcW w:w="220" w:type="dxa"/>
            <w:vAlign w:val="bottom"/>
            <w:tcBorders>
              <w:bottom w:val="single" w:sz="8" w:color="888B8D"/>
            </w:tcBorders>
          </w:tcPr>
          <w:p>
            <w:pPr>
              <w:spacing w:after="0"/>
              <w:rPr>
                <w:sz w:val="16"/>
                <w:szCs w:val="16"/>
                <w:color w:val="auto"/>
              </w:rPr>
            </w:pPr>
          </w:p>
        </w:tc>
        <w:tc>
          <w:tcPr>
            <w:tcW w:w="920" w:type="dxa"/>
            <w:vAlign w:val="bottom"/>
            <w:tcBorders>
              <w:bottom w:val="single" w:sz="8" w:color="888B8D"/>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960" w:type="dxa"/>
            <w:vAlign w:val="bottom"/>
            <w:tcBorders>
              <w:bottom w:val="single" w:sz="8" w:color="888B8D"/>
            </w:tcBorders>
            <w:gridSpan w:val="2"/>
          </w:tcPr>
          <w:p>
            <w:pPr>
              <w:ind w:left="140"/>
              <w:spacing w:after="0"/>
              <w:rPr>
                <w:sz w:val="20"/>
                <w:szCs w:val="20"/>
                <w:color w:val="auto"/>
              </w:rPr>
            </w:pPr>
            <w:r>
              <w:rPr>
                <w:rFonts w:ascii="Arial" w:cs="Arial" w:eastAsia="Arial" w:hAnsi="Arial"/>
                <w:sz w:val="14"/>
                <w:szCs w:val="14"/>
                <w:color w:val="auto"/>
              </w:rPr>
              <w:t>Interest rate swap agreements</w:t>
            </w:r>
          </w:p>
        </w:tc>
        <w:tc>
          <w:tcPr>
            <w:tcW w:w="920" w:type="dxa"/>
            <w:vAlign w:val="bottom"/>
            <w:tcBorders>
              <w:bottom w:val="single" w:sz="8" w:color="888B8D"/>
            </w:tcBorders>
          </w:tcPr>
          <w:p>
            <w:pPr>
              <w:spacing w:after="0"/>
              <w:rPr>
                <w:sz w:val="16"/>
                <w:szCs w:val="16"/>
                <w:color w:val="auto"/>
              </w:rPr>
            </w:pPr>
          </w:p>
        </w:tc>
        <w:tc>
          <w:tcPr>
            <w:tcW w:w="280" w:type="dxa"/>
            <w:vAlign w:val="bottom"/>
            <w:tcBorders>
              <w:bottom w:val="single" w:sz="8" w:color="888B8D"/>
            </w:tcBorders>
          </w:tcPr>
          <w:p>
            <w:pPr>
              <w:spacing w:after="0"/>
              <w:rPr>
                <w:sz w:val="16"/>
                <w:szCs w:val="16"/>
                <w:color w:val="auto"/>
              </w:rPr>
            </w:pPr>
          </w:p>
        </w:tc>
        <w:tc>
          <w:tcPr>
            <w:tcW w:w="920" w:type="dxa"/>
            <w:vAlign w:val="bottom"/>
            <w:tcBorders>
              <w:bottom w:val="single" w:sz="8" w:color="888B8D"/>
            </w:tcBorders>
          </w:tcPr>
          <w:p>
            <w:pPr>
              <w:spacing w:after="0"/>
              <w:rPr>
                <w:sz w:val="16"/>
                <w:szCs w:val="16"/>
                <w:color w:val="auto"/>
              </w:rPr>
            </w:pPr>
          </w:p>
        </w:tc>
        <w:tc>
          <w:tcPr>
            <w:tcW w:w="280" w:type="dxa"/>
            <w:vAlign w:val="bottom"/>
            <w:tcBorders>
              <w:bottom w:val="single" w:sz="8" w:color="888B8D"/>
            </w:tcBorders>
          </w:tcPr>
          <w:p>
            <w:pPr>
              <w:spacing w:after="0"/>
              <w:rPr>
                <w:sz w:val="16"/>
                <w:szCs w:val="16"/>
                <w:color w:val="auto"/>
              </w:rPr>
            </w:pPr>
          </w:p>
        </w:tc>
        <w:tc>
          <w:tcPr>
            <w:tcW w:w="920" w:type="dxa"/>
            <w:vAlign w:val="bottom"/>
            <w:tcBorders>
              <w:bottom w:val="single" w:sz="8" w:color="888B8D"/>
            </w:tcBorders>
          </w:tcPr>
          <w:p>
            <w:pPr>
              <w:spacing w:after="0"/>
              <w:rPr>
                <w:sz w:val="16"/>
                <w:szCs w:val="16"/>
                <w:color w:val="auto"/>
              </w:rPr>
            </w:pPr>
          </w:p>
        </w:tc>
        <w:tc>
          <w:tcPr>
            <w:tcW w:w="240" w:type="dxa"/>
            <w:vAlign w:val="bottom"/>
            <w:tcBorders>
              <w:bottom w:val="single" w:sz="8" w:color="888B8D"/>
            </w:tcBorders>
          </w:tcPr>
          <w:p>
            <w:pPr>
              <w:spacing w:after="0"/>
              <w:rPr>
                <w:sz w:val="16"/>
                <w:szCs w:val="16"/>
                <w:color w:val="auto"/>
              </w:rPr>
            </w:pPr>
          </w:p>
        </w:tc>
        <w:tc>
          <w:tcPr>
            <w:tcW w:w="1300" w:type="dxa"/>
            <w:vAlign w:val="bottom"/>
            <w:tcBorders>
              <w:bottom w:val="single" w:sz="8" w:color="888B8D"/>
            </w:tcBorders>
          </w:tcPr>
          <w:p>
            <w:pPr>
              <w:spacing w:after="0"/>
              <w:rPr>
                <w:sz w:val="16"/>
                <w:szCs w:val="16"/>
                <w:color w:val="auto"/>
              </w:rPr>
            </w:pPr>
          </w:p>
        </w:tc>
        <w:tc>
          <w:tcPr>
            <w:tcW w:w="300" w:type="dxa"/>
            <w:vAlign w:val="bottom"/>
            <w:tcBorders>
              <w:bottom w:val="single" w:sz="8" w:color="888B8D"/>
            </w:tcBorders>
          </w:tcPr>
          <w:p>
            <w:pPr>
              <w:spacing w:after="0"/>
              <w:rPr>
                <w:sz w:val="16"/>
                <w:szCs w:val="16"/>
                <w:color w:val="auto"/>
              </w:rPr>
            </w:pPr>
          </w:p>
        </w:tc>
        <w:tc>
          <w:tcPr>
            <w:tcW w:w="980" w:type="dxa"/>
            <w:vAlign w:val="bottom"/>
            <w:tcBorders>
              <w:bottom w:val="single" w:sz="8" w:color="888B8D"/>
            </w:tcBorders>
          </w:tcPr>
          <w:p>
            <w:pPr>
              <w:spacing w:after="0"/>
              <w:rPr>
                <w:sz w:val="16"/>
                <w:szCs w:val="16"/>
                <w:color w:val="auto"/>
              </w:rPr>
            </w:pPr>
          </w:p>
        </w:tc>
        <w:tc>
          <w:tcPr>
            <w:tcW w:w="220" w:type="dxa"/>
            <w:vAlign w:val="bottom"/>
            <w:tcBorders>
              <w:bottom w:val="single" w:sz="8" w:color="888B8D"/>
            </w:tcBorders>
          </w:tcPr>
          <w:p>
            <w:pPr>
              <w:spacing w:after="0"/>
              <w:rPr>
                <w:sz w:val="16"/>
                <w:szCs w:val="16"/>
                <w:color w:val="auto"/>
              </w:rPr>
            </w:pPr>
          </w:p>
        </w:tc>
        <w:tc>
          <w:tcPr>
            <w:tcW w:w="920" w:type="dxa"/>
            <w:vAlign w:val="bottom"/>
            <w:tcBorders>
              <w:bottom w:val="single" w:sz="8" w:color="888B8D"/>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960" w:type="dxa"/>
            <w:vAlign w:val="bottom"/>
            <w:tcBorders>
              <w:bottom w:val="single" w:sz="8" w:color="888B8D"/>
            </w:tcBorders>
            <w:gridSpan w:val="2"/>
          </w:tcPr>
          <w:p>
            <w:pPr>
              <w:ind w:left="240"/>
              <w:spacing w:after="0"/>
              <w:rPr>
                <w:sz w:val="20"/>
                <w:szCs w:val="20"/>
                <w:color w:val="auto"/>
              </w:rPr>
            </w:pPr>
            <w:r>
              <w:rPr>
                <w:rFonts w:ascii="Arial" w:cs="Arial" w:eastAsia="Arial" w:hAnsi="Arial"/>
                <w:sz w:val="14"/>
                <w:szCs w:val="14"/>
                <w:color w:val="auto"/>
              </w:rPr>
              <w:t>Hedged items</w:t>
            </w:r>
          </w:p>
        </w:tc>
        <w:tc>
          <w:tcPr>
            <w:tcW w:w="92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888B8D"/>
            </w:tcBorders>
          </w:tcPr>
          <w:p>
            <w:pPr>
              <w:spacing w:after="0"/>
              <w:rPr>
                <w:sz w:val="17"/>
                <w:szCs w:val="17"/>
                <w:color w:val="auto"/>
              </w:rPr>
            </w:pPr>
          </w:p>
        </w:tc>
        <w:tc>
          <w:tcPr>
            <w:tcW w:w="92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888B8D"/>
            </w:tcBorders>
          </w:tcPr>
          <w:p>
            <w:pPr>
              <w:spacing w:after="0"/>
              <w:rPr>
                <w:sz w:val="17"/>
                <w:szCs w:val="17"/>
                <w:color w:val="auto"/>
              </w:rPr>
            </w:pPr>
          </w:p>
        </w:tc>
        <w:tc>
          <w:tcPr>
            <w:tcW w:w="92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888B8D"/>
            </w:tcBorders>
          </w:tcPr>
          <w:p>
            <w:pPr>
              <w:spacing w:after="0"/>
              <w:rPr>
                <w:sz w:val="17"/>
                <w:szCs w:val="17"/>
                <w:color w:val="auto"/>
              </w:rPr>
            </w:pPr>
          </w:p>
        </w:tc>
        <w:tc>
          <w:tcPr>
            <w:tcW w:w="130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888B8D"/>
            </w:tcBorders>
          </w:tcPr>
          <w:p>
            <w:pPr>
              <w:spacing w:after="0"/>
              <w:rPr>
                <w:sz w:val="17"/>
                <w:szCs w:val="17"/>
                <w:color w:val="auto"/>
              </w:rPr>
            </w:pPr>
          </w:p>
        </w:tc>
        <w:tc>
          <w:tcPr>
            <w:tcW w:w="98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888B8D"/>
            </w:tcBorders>
          </w:tcPr>
          <w:p>
            <w:pPr>
              <w:spacing w:after="0"/>
              <w:rPr>
                <w:sz w:val="17"/>
                <w:szCs w:val="17"/>
                <w:color w:val="auto"/>
              </w:rPr>
            </w:pPr>
          </w:p>
        </w:tc>
        <w:tc>
          <w:tcPr>
            <w:tcW w:w="92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96"/>
        </w:trPr>
        <w:tc>
          <w:tcPr>
            <w:tcW w:w="3820" w:type="dxa"/>
            <w:vAlign w:val="bottom"/>
            <w:tcBorders>
              <w:bottom w:val="single" w:sz="8" w:color="61656A"/>
            </w:tcBorders>
          </w:tcPr>
          <w:p>
            <w:pPr>
              <w:ind w:left="240"/>
              <w:spacing w:after="0"/>
              <w:rPr>
                <w:sz w:val="20"/>
                <w:szCs w:val="20"/>
                <w:color w:val="auto"/>
              </w:rPr>
            </w:pPr>
            <w:r>
              <w:rPr>
                <w:rFonts w:ascii="Arial" w:cs="Arial" w:eastAsia="Arial" w:hAnsi="Arial"/>
                <w:sz w:val="14"/>
                <w:szCs w:val="14"/>
                <w:color w:val="auto"/>
              </w:rPr>
              <w:t>Derivatives designated as hedges</w:t>
            </w:r>
          </w:p>
        </w:tc>
        <w:tc>
          <w:tcPr>
            <w:tcW w:w="140" w:type="dxa"/>
            <w:vAlign w:val="bottom"/>
            <w:tcBorders>
              <w:bottom w:val="single" w:sz="8" w:color="888B8D"/>
            </w:tcBorders>
          </w:tcPr>
          <w:p>
            <w:pPr>
              <w:spacing w:after="0"/>
              <w:rPr>
                <w:sz w:val="17"/>
                <w:szCs w:val="17"/>
                <w:color w:val="auto"/>
              </w:rPr>
            </w:pPr>
          </w:p>
        </w:tc>
        <w:tc>
          <w:tcPr>
            <w:tcW w:w="92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888B8D"/>
            </w:tcBorders>
          </w:tcPr>
          <w:p>
            <w:pPr>
              <w:spacing w:after="0"/>
              <w:rPr>
                <w:sz w:val="17"/>
                <w:szCs w:val="17"/>
                <w:color w:val="auto"/>
              </w:rPr>
            </w:pPr>
          </w:p>
        </w:tc>
        <w:tc>
          <w:tcPr>
            <w:tcW w:w="92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888B8D"/>
            </w:tcBorders>
          </w:tcPr>
          <w:p>
            <w:pPr>
              <w:spacing w:after="0"/>
              <w:rPr>
                <w:sz w:val="17"/>
                <w:szCs w:val="17"/>
                <w:color w:val="auto"/>
              </w:rPr>
            </w:pPr>
          </w:p>
        </w:tc>
        <w:tc>
          <w:tcPr>
            <w:tcW w:w="92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888B8D"/>
            </w:tcBorders>
          </w:tcPr>
          <w:p>
            <w:pPr>
              <w:spacing w:after="0"/>
              <w:rPr>
                <w:sz w:val="17"/>
                <w:szCs w:val="17"/>
                <w:color w:val="auto"/>
              </w:rPr>
            </w:pPr>
          </w:p>
        </w:tc>
        <w:tc>
          <w:tcPr>
            <w:tcW w:w="130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888B8D"/>
            </w:tcBorders>
          </w:tcPr>
          <w:p>
            <w:pPr>
              <w:spacing w:after="0"/>
              <w:rPr>
                <w:sz w:val="17"/>
                <w:szCs w:val="17"/>
                <w:color w:val="auto"/>
              </w:rPr>
            </w:pPr>
          </w:p>
        </w:tc>
        <w:tc>
          <w:tcPr>
            <w:tcW w:w="98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888B8D"/>
            </w:tcBorders>
          </w:tcPr>
          <w:p>
            <w:pPr>
              <w:spacing w:after="0"/>
              <w:rPr>
                <w:sz w:val="17"/>
                <w:szCs w:val="17"/>
                <w:color w:val="auto"/>
              </w:rPr>
            </w:pPr>
          </w:p>
        </w:tc>
        <w:tc>
          <w:tcPr>
            <w:tcW w:w="92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50"/>
        </w:trPr>
        <w:tc>
          <w:tcPr>
            <w:tcW w:w="3960" w:type="dxa"/>
            <w:vAlign w:val="bottom"/>
            <w:gridSpan w:val="2"/>
          </w:tcPr>
          <w:p>
            <w:pPr>
              <w:ind w:left="20"/>
              <w:spacing w:after="0" w:line="151" w:lineRule="exact"/>
              <w:rPr>
                <w:sz w:val="20"/>
                <w:szCs w:val="20"/>
                <w:color w:val="auto"/>
              </w:rPr>
            </w:pPr>
            <w:r>
              <w:rPr>
                <w:rFonts w:ascii="Arial" w:cs="Arial" w:eastAsia="Arial" w:hAnsi="Arial"/>
                <w:sz w:val="14"/>
                <w:szCs w:val="14"/>
                <w:b w:val="1"/>
                <w:bCs w:val="1"/>
                <w:color w:val="auto"/>
              </w:rPr>
              <w:t>Gain (loss) on derivatives not designated as hedging</w:t>
            </w:r>
          </w:p>
        </w:tc>
        <w:tc>
          <w:tcPr>
            <w:tcW w:w="9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3960" w:type="dxa"/>
            <w:vAlign w:val="bottom"/>
            <w:tcBorders>
              <w:bottom w:val="single" w:sz="8" w:color="888B8D"/>
            </w:tcBorders>
            <w:gridSpan w:val="2"/>
          </w:tcPr>
          <w:p>
            <w:pPr>
              <w:ind w:left="20"/>
              <w:spacing w:after="0"/>
              <w:rPr>
                <w:sz w:val="20"/>
                <w:szCs w:val="20"/>
                <w:color w:val="auto"/>
              </w:rPr>
            </w:pPr>
            <w:r>
              <w:rPr>
                <w:rFonts w:ascii="Arial" w:cs="Arial" w:eastAsia="Arial" w:hAnsi="Arial"/>
                <w:sz w:val="14"/>
                <w:szCs w:val="14"/>
                <w:b w:val="1"/>
                <w:bCs w:val="1"/>
                <w:color w:val="auto"/>
              </w:rPr>
              <w:t>instruments</w:t>
            </w:r>
          </w:p>
        </w:tc>
        <w:tc>
          <w:tcPr>
            <w:tcW w:w="920" w:type="dxa"/>
            <w:vAlign w:val="bottom"/>
            <w:tcBorders>
              <w:bottom w:val="single" w:sz="8" w:color="888B8D"/>
            </w:tcBorders>
          </w:tcPr>
          <w:p>
            <w:pPr>
              <w:spacing w:after="0"/>
              <w:rPr>
                <w:sz w:val="16"/>
                <w:szCs w:val="16"/>
                <w:color w:val="auto"/>
              </w:rPr>
            </w:pPr>
          </w:p>
        </w:tc>
        <w:tc>
          <w:tcPr>
            <w:tcW w:w="280" w:type="dxa"/>
            <w:vAlign w:val="bottom"/>
            <w:tcBorders>
              <w:bottom w:val="single" w:sz="8" w:color="888B8D"/>
            </w:tcBorders>
          </w:tcPr>
          <w:p>
            <w:pPr>
              <w:spacing w:after="0"/>
              <w:rPr>
                <w:sz w:val="16"/>
                <w:szCs w:val="16"/>
                <w:color w:val="auto"/>
              </w:rPr>
            </w:pPr>
          </w:p>
        </w:tc>
        <w:tc>
          <w:tcPr>
            <w:tcW w:w="920" w:type="dxa"/>
            <w:vAlign w:val="bottom"/>
            <w:tcBorders>
              <w:bottom w:val="single" w:sz="8" w:color="888B8D"/>
            </w:tcBorders>
          </w:tcPr>
          <w:p>
            <w:pPr>
              <w:spacing w:after="0"/>
              <w:rPr>
                <w:sz w:val="16"/>
                <w:szCs w:val="16"/>
                <w:color w:val="auto"/>
              </w:rPr>
            </w:pPr>
          </w:p>
        </w:tc>
        <w:tc>
          <w:tcPr>
            <w:tcW w:w="280" w:type="dxa"/>
            <w:vAlign w:val="bottom"/>
            <w:tcBorders>
              <w:bottom w:val="single" w:sz="8" w:color="888B8D"/>
            </w:tcBorders>
          </w:tcPr>
          <w:p>
            <w:pPr>
              <w:spacing w:after="0"/>
              <w:rPr>
                <w:sz w:val="16"/>
                <w:szCs w:val="16"/>
                <w:color w:val="auto"/>
              </w:rPr>
            </w:pPr>
          </w:p>
        </w:tc>
        <w:tc>
          <w:tcPr>
            <w:tcW w:w="920" w:type="dxa"/>
            <w:vAlign w:val="bottom"/>
            <w:tcBorders>
              <w:bottom w:val="single" w:sz="8" w:color="888B8D"/>
            </w:tcBorders>
          </w:tcPr>
          <w:p>
            <w:pPr>
              <w:spacing w:after="0"/>
              <w:rPr>
                <w:sz w:val="16"/>
                <w:szCs w:val="16"/>
                <w:color w:val="auto"/>
              </w:rPr>
            </w:pPr>
          </w:p>
        </w:tc>
        <w:tc>
          <w:tcPr>
            <w:tcW w:w="240" w:type="dxa"/>
            <w:vAlign w:val="bottom"/>
            <w:tcBorders>
              <w:bottom w:val="single" w:sz="8" w:color="888B8D"/>
            </w:tcBorders>
          </w:tcPr>
          <w:p>
            <w:pPr>
              <w:spacing w:after="0"/>
              <w:rPr>
                <w:sz w:val="16"/>
                <w:szCs w:val="16"/>
                <w:color w:val="auto"/>
              </w:rPr>
            </w:pPr>
          </w:p>
        </w:tc>
        <w:tc>
          <w:tcPr>
            <w:tcW w:w="1300" w:type="dxa"/>
            <w:vAlign w:val="bottom"/>
            <w:tcBorders>
              <w:bottom w:val="single" w:sz="8" w:color="888B8D"/>
            </w:tcBorders>
          </w:tcPr>
          <w:p>
            <w:pPr>
              <w:spacing w:after="0"/>
              <w:rPr>
                <w:sz w:val="16"/>
                <w:szCs w:val="16"/>
                <w:color w:val="auto"/>
              </w:rPr>
            </w:pPr>
          </w:p>
        </w:tc>
        <w:tc>
          <w:tcPr>
            <w:tcW w:w="300" w:type="dxa"/>
            <w:vAlign w:val="bottom"/>
            <w:tcBorders>
              <w:bottom w:val="single" w:sz="8" w:color="888B8D"/>
            </w:tcBorders>
          </w:tcPr>
          <w:p>
            <w:pPr>
              <w:spacing w:after="0"/>
              <w:rPr>
                <w:sz w:val="16"/>
                <w:szCs w:val="16"/>
                <w:color w:val="auto"/>
              </w:rPr>
            </w:pPr>
          </w:p>
        </w:tc>
        <w:tc>
          <w:tcPr>
            <w:tcW w:w="980" w:type="dxa"/>
            <w:vAlign w:val="bottom"/>
            <w:tcBorders>
              <w:bottom w:val="single" w:sz="8" w:color="888B8D"/>
            </w:tcBorders>
          </w:tcPr>
          <w:p>
            <w:pPr>
              <w:spacing w:after="0"/>
              <w:rPr>
                <w:sz w:val="16"/>
                <w:szCs w:val="16"/>
                <w:color w:val="auto"/>
              </w:rPr>
            </w:pPr>
          </w:p>
        </w:tc>
        <w:tc>
          <w:tcPr>
            <w:tcW w:w="220" w:type="dxa"/>
            <w:vAlign w:val="bottom"/>
            <w:tcBorders>
              <w:bottom w:val="single" w:sz="8" w:color="888B8D"/>
            </w:tcBorders>
          </w:tcPr>
          <w:p>
            <w:pPr>
              <w:spacing w:after="0"/>
              <w:rPr>
                <w:sz w:val="16"/>
                <w:szCs w:val="16"/>
                <w:color w:val="auto"/>
              </w:rPr>
            </w:pPr>
          </w:p>
        </w:tc>
        <w:tc>
          <w:tcPr>
            <w:tcW w:w="920" w:type="dxa"/>
            <w:vAlign w:val="bottom"/>
            <w:tcBorders>
              <w:bottom w:val="single" w:sz="8" w:color="888B8D"/>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960" w:type="dxa"/>
            <w:vAlign w:val="bottom"/>
            <w:tcBorders>
              <w:bottom w:val="single" w:sz="8" w:color="D7282F"/>
            </w:tcBorders>
            <w:gridSpan w:val="2"/>
          </w:tcPr>
          <w:p>
            <w:pPr>
              <w:ind w:left="140"/>
              <w:spacing w:after="0"/>
              <w:rPr>
                <w:sz w:val="20"/>
                <w:szCs w:val="20"/>
                <w:color w:val="auto"/>
              </w:rPr>
            </w:pPr>
            <w:r>
              <w:rPr>
                <w:rFonts w:ascii="Arial" w:cs="Arial" w:eastAsia="Arial" w:hAnsi="Arial"/>
                <w:sz w:val="14"/>
                <w:szCs w:val="14"/>
                <w:color w:val="auto"/>
              </w:rPr>
              <w:t>Foreign currency exchange contracts</w:t>
            </w:r>
          </w:p>
        </w:tc>
        <w:tc>
          <w:tcPr>
            <w:tcW w:w="92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D7282F"/>
            </w:tcBorders>
          </w:tcPr>
          <w:p>
            <w:pPr>
              <w:spacing w:after="0"/>
              <w:rPr>
                <w:sz w:val="16"/>
                <w:szCs w:val="16"/>
                <w:color w:val="auto"/>
              </w:rPr>
            </w:pPr>
          </w:p>
        </w:tc>
        <w:tc>
          <w:tcPr>
            <w:tcW w:w="92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D7282F"/>
            </w:tcBorders>
          </w:tcPr>
          <w:p>
            <w:pPr>
              <w:spacing w:after="0"/>
              <w:rPr>
                <w:sz w:val="16"/>
                <w:szCs w:val="16"/>
                <w:color w:val="auto"/>
              </w:rPr>
            </w:pPr>
          </w:p>
        </w:tc>
        <w:tc>
          <w:tcPr>
            <w:tcW w:w="92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D7282F"/>
            </w:tcBorders>
          </w:tcPr>
          <w:p>
            <w:pPr>
              <w:spacing w:after="0"/>
              <w:rPr>
                <w:sz w:val="16"/>
                <w:szCs w:val="16"/>
                <w:color w:val="auto"/>
              </w:rPr>
            </w:pPr>
          </w:p>
        </w:tc>
        <w:tc>
          <w:tcPr>
            <w:tcW w:w="13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D7282F"/>
            </w:tcBorders>
          </w:tcPr>
          <w:p>
            <w:pPr>
              <w:spacing w:after="0"/>
              <w:rPr>
                <w:sz w:val="16"/>
                <w:szCs w:val="16"/>
                <w:color w:val="auto"/>
              </w:rPr>
            </w:pPr>
          </w:p>
        </w:tc>
        <w:tc>
          <w:tcPr>
            <w:tcW w:w="9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105</w:t>
            </w:r>
          </w:p>
        </w:tc>
        <w:tc>
          <w:tcPr>
            <w:tcW w:w="220" w:type="dxa"/>
            <w:vAlign w:val="bottom"/>
            <w:tcBorders>
              <w:bottom w:val="single" w:sz="8" w:color="D7282F"/>
            </w:tcBorders>
          </w:tcPr>
          <w:p>
            <w:pPr>
              <w:spacing w:after="0"/>
              <w:rPr>
                <w:sz w:val="16"/>
                <w:szCs w:val="16"/>
                <w:color w:val="auto"/>
              </w:rPr>
            </w:pPr>
          </w:p>
        </w:tc>
        <w:tc>
          <w:tcPr>
            <w:tcW w:w="9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83"/>
        </w:trPr>
        <w:tc>
          <w:tcPr>
            <w:tcW w:w="3820" w:type="dxa"/>
            <w:vAlign w:val="bottom"/>
          </w:tcPr>
          <w:p>
            <w:pPr>
              <w:spacing w:after="0"/>
              <w:rPr>
                <w:sz w:val="24"/>
                <w:szCs w:val="24"/>
                <w:color w:val="auto"/>
              </w:rPr>
            </w:pPr>
          </w:p>
        </w:tc>
        <w:tc>
          <w:tcPr>
            <w:tcW w:w="140" w:type="dxa"/>
            <w:vAlign w:val="bottom"/>
            <w:tcBorders>
              <w:bottom w:val="single" w:sz="8" w:color="D7282F"/>
            </w:tcBorders>
          </w:tcPr>
          <w:p>
            <w:pPr>
              <w:spacing w:after="0"/>
              <w:rPr>
                <w:sz w:val="24"/>
                <w:szCs w:val="24"/>
                <w:color w:val="auto"/>
              </w:rPr>
            </w:pPr>
          </w:p>
        </w:tc>
        <w:tc>
          <w:tcPr>
            <w:tcW w:w="920" w:type="dxa"/>
            <w:vAlign w:val="bottom"/>
            <w:tcBorders>
              <w:bottom w:val="single" w:sz="8" w:color="D7282F"/>
            </w:tcBorders>
          </w:tcPr>
          <w:p>
            <w:pPr>
              <w:spacing w:after="0"/>
              <w:rPr>
                <w:sz w:val="24"/>
                <w:szCs w:val="24"/>
                <w:color w:val="auto"/>
              </w:rPr>
            </w:pPr>
          </w:p>
        </w:tc>
        <w:tc>
          <w:tcPr>
            <w:tcW w:w="280" w:type="dxa"/>
            <w:vAlign w:val="bottom"/>
            <w:tcBorders>
              <w:bottom w:val="single" w:sz="8" w:color="D7282F"/>
            </w:tcBorders>
          </w:tcPr>
          <w:p>
            <w:pPr>
              <w:spacing w:after="0"/>
              <w:rPr>
                <w:sz w:val="24"/>
                <w:szCs w:val="24"/>
                <w:color w:val="auto"/>
              </w:rPr>
            </w:pPr>
          </w:p>
        </w:tc>
        <w:tc>
          <w:tcPr>
            <w:tcW w:w="920" w:type="dxa"/>
            <w:vAlign w:val="bottom"/>
            <w:tcBorders>
              <w:bottom w:val="single" w:sz="8" w:color="D7282F"/>
            </w:tcBorders>
          </w:tcPr>
          <w:p>
            <w:pPr>
              <w:spacing w:after="0"/>
              <w:rPr>
                <w:sz w:val="24"/>
                <w:szCs w:val="24"/>
                <w:color w:val="auto"/>
              </w:rPr>
            </w:pPr>
          </w:p>
        </w:tc>
        <w:tc>
          <w:tcPr>
            <w:tcW w:w="280" w:type="dxa"/>
            <w:vAlign w:val="bottom"/>
            <w:tcBorders>
              <w:bottom w:val="single" w:sz="8" w:color="D7282F"/>
            </w:tcBorders>
          </w:tcPr>
          <w:p>
            <w:pPr>
              <w:spacing w:after="0"/>
              <w:rPr>
                <w:sz w:val="24"/>
                <w:szCs w:val="24"/>
                <w:color w:val="auto"/>
              </w:rPr>
            </w:pPr>
          </w:p>
        </w:tc>
        <w:tc>
          <w:tcPr>
            <w:tcW w:w="2460" w:type="dxa"/>
            <w:vAlign w:val="bottom"/>
            <w:tcBorders>
              <w:bottom w:val="single" w:sz="8" w:color="D7282F"/>
            </w:tcBorders>
            <w:gridSpan w:val="3"/>
          </w:tcPr>
          <w:p>
            <w:pPr>
              <w:jc w:val="right"/>
              <w:ind w:right="148"/>
              <w:spacing w:after="0"/>
              <w:rPr>
                <w:sz w:val="20"/>
                <w:szCs w:val="20"/>
                <w:color w:val="auto"/>
              </w:rPr>
            </w:pPr>
            <w:r>
              <w:rPr>
                <w:rFonts w:ascii="Arial" w:cs="Arial" w:eastAsia="Arial" w:hAnsi="Arial"/>
                <w:sz w:val="14"/>
                <w:szCs w:val="14"/>
                <w:b w:val="1"/>
                <w:bCs w:val="1"/>
                <w:color w:val="auto"/>
              </w:rPr>
              <w:t>Year Ended December 31, 2023</w:t>
            </w:r>
          </w:p>
        </w:tc>
        <w:tc>
          <w:tcPr>
            <w:tcW w:w="300" w:type="dxa"/>
            <w:vAlign w:val="bottom"/>
            <w:tcBorders>
              <w:bottom w:val="single" w:sz="8" w:color="D7282F"/>
            </w:tcBorders>
          </w:tcPr>
          <w:p>
            <w:pPr>
              <w:spacing w:after="0"/>
              <w:rPr>
                <w:sz w:val="24"/>
                <w:szCs w:val="24"/>
                <w:color w:val="auto"/>
              </w:rPr>
            </w:pPr>
          </w:p>
        </w:tc>
        <w:tc>
          <w:tcPr>
            <w:tcW w:w="980" w:type="dxa"/>
            <w:vAlign w:val="bottom"/>
            <w:tcBorders>
              <w:bottom w:val="single" w:sz="8" w:color="D7282F"/>
            </w:tcBorders>
          </w:tcPr>
          <w:p>
            <w:pPr>
              <w:spacing w:after="0"/>
              <w:rPr>
                <w:sz w:val="24"/>
                <w:szCs w:val="24"/>
                <w:color w:val="auto"/>
              </w:rPr>
            </w:pPr>
          </w:p>
        </w:tc>
        <w:tc>
          <w:tcPr>
            <w:tcW w:w="220" w:type="dxa"/>
            <w:vAlign w:val="bottom"/>
            <w:tcBorders>
              <w:bottom w:val="single" w:sz="8" w:color="D7282F"/>
            </w:tcBorders>
          </w:tcPr>
          <w:p>
            <w:pPr>
              <w:spacing w:after="0"/>
              <w:rPr>
                <w:sz w:val="24"/>
                <w:szCs w:val="24"/>
                <w:color w:val="auto"/>
              </w:rPr>
            </w:pPr>
          </w:p>
        </w:tc>
        <w:tc>
          <w:tcPr>
            <w:tcW w:w="920" w:type="dxa"/>
            <w:vAlign w:val="bottom"/>
            <w:tcBorders>
              <w:bottom w:val="single" w:sz="8" w:color="D7282F"/>
            </w:tcBorders>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3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vMerge w:val="restart"/>
          </w:tcPr>
          <w:p>
            <w:pPr>
              <w:jc w:val="center"/>
              <w:ind w:right="148"/>
              <w:spacing w:after="0"/>
              <w:rPr>
                <w:sz w:val="20"/>
                <w:szCs w:val="20"/>
                <w:color w:val="auto"/>
              </w:rPr>
            </w:pPr>
            <w:r>
              <w:rPr>
                <w:rFonts w:ascii="Arial" w:cs="Arial" w:eastAsia="Arial" w:hAnsi="Arial"/>
                <w:sz w:val="14"/>
                <w:szCs w:val="14"/>
                <w:b w:val="1"/>
                <w:bCs w:val="1"/>
                <w:color w:val="auto"/>
              </w:rPr>
              <w:t>Cost of</w:t>
            </w:r>
          </w:p>
        </w:tc>
        <w:tc>
          <w:tcPr>
            <w:tcW w:w="280" w:type="dxa"/>
            <w:vAlign w:val="bottom"/>
          </w:tcPr>
          <w:p>
            <w:pPr>
              <w:spacing w:after="0"/>
              <w:rPr>
                <w:sz w:val="16"/>
                <w:szCs w:val="16"/>
                <w:color w:val="auto"/>
              </w:rPr>
            </w:pPr>
          </w:p>
        </w:tc>
        <w:tc>
          <w:tcPr>
            <w:tcW w:w="920" w:type="dxa"/>
            <w:vAlign w:val="bottom"/>
            <w:vMerge w:val="restart"/>
          </w:tcPr>
          <w:p>
            <w:pPr>
              <w:jc w:val="center"/>
              <w:ind w:right="148"/>
              <w:spacing w:after="0"/>
              <w:rPr>
                <w:sz w:val="20"/>
                <w:szCs w:val="20"/>
                <w:color w:val="auto"/>
              </w:rPr>
            </w:pPr>
            <w:r>
              <w:rPr>
                <w:rFonts w:ascii="Arial" w:cs="Arial" w:eastAsia="Arial" w:hAnsi="Arial"/>
                <w:sz w:val="14"/>
                <w:szCs w:val="14"/>
                <w:b w:val="1"/>
                <w:bCs w:val="1"/>
                <w:color w:val="auto"/>
              </w:rPr>
              <w:t>Cost of</w:t>
            </w:r>
          </w:p>
        </w:tc>
        <w:tc>
          <w:tcPr>
            <w:tcW w:w="240" w:type="dxa"/>
            <w:vAlign w:val="bottom"/>
          </w:tcPr>
          <w:p>
            <w:pPr>
              <w:spacing w:after="0"/>
              <w:rPr>
                <w:sz w:val="16"/>
                <w:szCs w:val="16"/>
                <w:color w:val="auto"/>
              </w:rPr>
            </w:pPr>
          </w:p>
        </w:tc>
        <w:tc>
          <w:tcPr>
            <w:tcW w:w="1300" w:type="dxa"/>
            <w:vAlign w:val="bottom"/>
          </w:tcPr>
          <w:p>
            <w:pPr>
              <w:jc w:val="center"/>
              <w:ind w:right="108"/>
              <w:spacing w:after="0"/>
              <w:rPr>
                <w:sz w:val="20"/>
                <w:szCs w:val="20"/>
                <w:color w:val="auto"/>
              </w:rPr>
            </w:pPr>
            <w:r>
              <w:rPr>
                <w:rFonts w:ascii="Arial" w:cs="Arial" w:eastAsia="Arial" w:hAnsi="Arial"/>
                <w:sz w:val="14"/>
                <w:szCs w:val="14"/>
                <w:b w:val="1"/>
                <w:bCs w:val="1"/>
                <w:color w:val="auto"/>
              </w:rPr>
              <w:t>Selling, General</w:t>
            </w:r>
          </w:p>
        </w:tc>
        <w:tc>
          <w:tcPr>
            <w:tcW w:w="300" w:type="dxa"/>
            <w:vAlign w:val="bottom"/>
          </w:tcPr>
          <w:p>
            <w:pPr>
              <w:spacing w:after="0"/>
              <w:rPr>
                <w:sz w:val="16"/>
                <w:szCs w:val="16"/>
                <w:color w:val="auto"/>
              </w:rPr>
            </w:pPr>
          </w:p>
        </w:tc>
        <w:tc>
          <w:tcPr>
            <w:tcW w:w="980" w:type="dxa"/>
            <w:vAlign w:val="bottom"/>
            <w:vMerge w:val="restart"/>
          </w:tcPr>
          <w:p>
            <w:pPr>
              <w:jc w:val="center"/>
              <w:ind w:right="208"/>
              <w:spacing w:after="0"/>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6"/>
                <w:szCs w:val="16"/>
                <w:color w:val="auto"/>
              </w:rPr>
            </w:pPr>
          </w:p>
        </w:tc>
        <w:tc>
          <w:tcPr>
            <w:tcW w:w="920" w:type="dxa"/>
            <w:vAlign w:val="bottom"/>
          </w:tcPr>
          <w:p>
            <w:pPr>
              <w:jc w:val="center"/>
              <w:ind w:right="28"/>
              <w:spacing w:after="0"/>
              <w:rPr>
                <w:sz w:val="20"/>
                <w:szCs w:val="20"/>
                <w:color w:val="auto"/>
              </w:rPr>
            </w:pPr>
            <w:r>
              <w:rPr>
                <w:rFonts w:ascii="Arial" w:cs="Arial" w:eastAsia="Arial" w:hAnsi="Arial"/>
                <w:sz w:val="14"/>
                <w:szCs w:val="14"/>
                <w:b w:val="1"/>
                <w:bCs w:val="1"/>
                <w:color w:val="auto"/>
              </w:rPr>
              <w:t>Interest and</w:t>
            </w:r>
          </w:p>
        </w:tc>
        <w:tc>
          <w:tcPr>
            <w:tcW w:w="0" w:type="dxa"/>
            <w:vAlign w:val="bottom"/>
          </w:tcPr>
          <w:p>
            <w:pPr>
              <w:spacing w:after="0"/>
              <w:rPr>
                <w:sz w:val="1"/>
                <w:szCs w:val="1"/>
                <w:color w:val="auto"/>
              </w:rPr>
            </w:pPr>
          </w:p>
        </w:tc>
      </w:tr>
      <w:tr>
        <w:trPr>
          <w:trHeight w:val="144"/>
        </w:trPr>
        <w:tc>
          <w:tcPr>
            <w:tcW w:w="3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Pr>
          <w:p>
            <w:pPr>
              <w:jc w:val="center"/>
              <w:ind w:right="128"/>
              <w:spacing w:after="0" w:line="145" w:lineRule="exact"/>
              <w:rPr>
                <w:sz w:val="20"/>
                <w:szCs w:val="20"/>
                <w:color w:val="auto"/>
              </w:rPr>
            </w:pPr>
            <w:r>
              <w:rPr>
                <w:rFonts w:ascii="Arial" w:cs="Arial" w:eastAsia="Arial" w:hAnsi="Arial"/>
                <w:sz w:val="14"/>
                <w:szCs w:val="14"/>
                <w:b w:val="1"/>
                <w:bCs w:val="1"/>
                <w:color w:val="auto"/>
              </w:rPr>
              <w:t>and</w:t>
            </w:r>
          </w:p>
        </w:tc>
        <w:tc>
          <w:tcPr>
            <w:tcW w:w="30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center"/>
              <w:ind w:right="28"/>
              <w:spacing w:after="0" w:line="145"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48"/>
        </w:trPr>
        <w:tc>
          <w:tcPr>
            <w:tcW w:w="3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Net Sales</w:t>
            </w:r>
          </w:p>
        </w:tc>
        <w:tc>
          <w:tcPr>
            <w:tcW w:w="280" w:type="dxa"/>
            <w:vAlign w:val="bottom"/>
          </w:tcPr>
          <w:p>
            <w:pPr>
              <w:spacing w:after="0"/>
              <w:rPr>
                <w:sz w:val="12"/>
                <w:szCs w:val="12"/>
                <w:color w:val="auto"/>
              </w:rPr>
            </w:pPr>
          </w:p>
        </w:tc>
        <w:tc>
          <w:tcPr>
            <w:tcW w:w="920" w:type="dxa"/>
            <w:vAlign w:val="bottom"/>
          </w:tcPr>
          <w:p>
            <w:pPr>
              <w:jc w:val="center"/>
              <w:ind w:right="148"/>
              <w:spacing w:after="0" w:line="149" w:lineRule="exact"/>
              <w:rPr>
                <w:sz w:val="20"/>
                <w:szCs w:val="20"/>
                <w:color w:val="auto"/>
              </w:rPr>
            </w:pPr>
            <w:r>
              <w:rPr>
                <w:rFonts w:ascii="Arial" w:cs="Arial" w:eastAsia="Arial" w:hAnsi="Arial"/>
                <w:sz w:val="14"/>
                <w:szCs w:val="14"/>
                <w:b w:val="1"/>
                <w:bCs w:val="1"/>
                <w:color w:val="auto"/>
              </w:rPr>
              <w:t>Products</w:t>
            </w:r>
          </w:p>
        </w:tc>
        <w:tc>
          <w:tcPr>
            <w:tcW w:w="280" w:type="dxa"/>
            <w:vAlign w:val="bottom"/>
          </w:tcPr>
          <w:p>
            <w:pPr>
              <w:spacing w:after="0"/>
              <w:rPr>
                <w:sz w:val="12"/>
                <w:szCs w:val="12"/>
                <w:color w:val="auto"/>
              </w:rPr>
            </w:pPr>
          </w:p>
        </w:tc>
        <w:tc>
          <w:tcPr>
            <w:tcW w:w="920" w:type="dxa"/>
            <w:vAlign w:val="bottom"/>
          </w:tcPr>
          <w:p>
            <w:pPr>
              <w:jc w:val="center"/>
              <w:ind w:right="168"/>
              <w:spacing w:after="0" w:line="149" w:lineRule="exact"/>
              <w:rPr>
                <w:sz w:val="20"/>
                <w:szCs w:val="20"/>
                <w:color w:val="auto"/>
              </w:rPr>
            </w:pPr>
            <w:r>
              <w:rPr>
                <w:rFonts w:ascii="Arial" w:cs="Arial" w:eastAsia="Arial" w:hAnsi="Arial"/>
                <w:sz w:val="14"/>
                <w:szCs w:val="14"/>
                <w:b w:val="1"/>
                <w:bCs w:val="1"/>
                <w:color w:val="auto"/>
              </w:rPr>
              <w:t>Services</w:t>
            </w:r>
          </w:p>
        </w:tc>
        <w:tc>
          <w:tcPr>
            <w:tcW w:w="240" w:type="dxa"/>
            <w:vAlign w:val="bottom"/>
          </w:tcPr>
          <w:p>
            <w:pPr>
              <w:spacing w:after="0"/>
              <w:rPr>
                <w:sz w:val="12"/>
                <w:szCs w:val="12"/>
                <w:color w:val="auto"/>
              </w:rPr>
            </w:pPr>
          </w:p>
        </w:tc>
        <w:tc>
          <w:tcPr>
            <w:tcW w:w="1300" w:type="dxa"/>
            <w:vAlign w:val="bottom"/>
          </w:tcPr>
          <w:p>
            <w:pPr>
              <w:jc w:val="center"/>
              <w:ind w:right="108"/>
              <w:spacing w:after="0" w:line="149" w:lineRule="exact"/>
              <w:rPr>
                <w:sz w:val="20"/>
                <w:szCs w:val="20"/>
                <w:color w:val="auto"/>
              </w:rPr>
            </w:pPr>
            <w:r>
              <w:rPr>
                <w:rFonts w:ascii="Arial" w:cs="Arial" w:eastAsia="Arial" w:hAnsi="Arial"/>
                <w:sz w:val="14"/>
                <w:szCs w:val="14"/>
                <w:b w:val="1"/>
                <w:bCs w:val="1"/>
                <w:color w:val="auto"/>
              </w:rPr>
              <w:t>Administrative</w:t>
            </w:r>
          </w:p>
        </w:tc>
        <w:tc>
          <w:tcPr>
            <w:tcW w:w="300" w:type="dxa"/>
            <w:vAlign w:val="bottom"/>
          </w:tcPr>
          <w:p>
            <w:pPr>
              <w:spacing w:after="0"/>
              <w:rPr>
                <w:sz w:val="12"/>
                <w:szCs w:val="12"/>
                <w:color w:val="auto"/>
              </w:rPr>
            </w:pPr>
          </w:p>
        </w:tc>
        <w:tc>
          <w:tcPr>
            <w:tcW w:w="980" w:type="dxa"/>
            <w:vAlign w:val="bottom"/>
          </w:tcPr>
          <w:p>
            <w:pPr>
              <w:jc w:val="center"/>
              <w:ind w:right="188"/>
              <w:spacing w:after="0" w:line="149" w:lineRule="exact"/>
              <w:rPr>
                <w:sz w:val="20"/>
                <w:szCs w:val="20"/>
                <w:color w:val="auto"/>
              </w:rPr>
            </w:pPr>
            <w:r>
              <w:rPr>
                <w:rFonts w:ascii="Arial" w:cs="Arial" w:eastAsia="Arial" w:hAnsi="Arial"/>
                <w:sz w:val="14"/>
                <w:szCs w:val="14"/>
                <w:b w:val="1"/>
                <w:bCs w:val="1"/>
                <w:color w:val="auto"/>
              </w:rPr>
              <w:t>(Income)</w:t>
            </w:r>
          </w:p>
        </w:tc>
        <w:tc>
          <w:tcPr>
            <w:tcW w:w="220" w:type="dxa"/>
            <w:vAlign w:val="bottom"/>
          </w:tcPr>
          <w:p>
            <w:pPr>
              <w:spacing w:after="0"/>
              <w:rPr>
                <w:sz w:val="12"/>
                <w:szCs w:val="12"/>
                <w:color w:val="auto"/>
              </w:rPr>
            </w:pPr>
          </w:p>
        </w:tc>
        <w:tc>
          <w:tcPr>
            <w:tcW w:w="92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rPr>
              <w:t>Financial</w:t>
            </w:r>
          </w:p>
        </w:tc>
        <w:tc>
          <w:tcPr>
            <w:tcW w:w="0" w:type="dxa"/>
            <w:vAlign w:val="bottom"/>
          </w:tcPr>
          <w:p>
            <w:pPr>
              <w:spacing w:after="0"/>
              <w:rPr>
                <w:sz w:val="1"/>
                <w:szCs w:val="1"/>
                <w:color w:val="auto"/>
              </w:rPr>
            </w:pPr>
          </w:p>
        </w:tc>
      </w:tr>
      <w:tr>
        <w:trPr>
          <w:trHeight w:val="189"/>
        </w:trPr>
        <w:tc>
          <w:tcPr>
            <w:tcW w:w="3820" w:type="dxa"/>
            <w:vAlign w:val="bottom"/>
            <w:tcBorders>
              <w:bottom w:val="single" w:sz="8" w:color="D7282F"/>
            </w:tcBorders>
          </w:tcPr>
          <w:p>
            <w:pPr>
              <w:spacing w:after="0"/>
              <w:rPr>
                <w:sz w:val="16"/>
                <w:szCs w:val="16"/>
                <w:color w:val="auto"/>
              </w:rPr>
            </w:pPr>
          </w:p>
        </w:tc>
        <w:tc>
          <w:tcPr>
            <w:tcW w:w="140" w:type="dxa"/>
            <w:vAlign w:val="bottom"/>
            <w:tcBorders>
              <w:bottom w:val="single" w:sz="8" w:color="D7282F"/>
            </w:tcBorders>
          </w:tcPr>
          <w:p>
            <w:pPr>
              <w:spacing w:after="0"/>
              <w:rPr>
                <w:sz w:val="16"/>
                <w:szCs w:val="16"/>
                <w:color w:val="auto"/>
              </w:rPr>
            </w:pPr>
          </w:p>
        </w:tc>
        <w:tc>
          <w:tcPr>
            <w:tcW w:w="920" w:type="dxa"/>
            <w:vAlign w:val="bottom"/>
            <w:tcBorders>
              <w:bottom w:val="single" w:sz="8" w:color="D7282F"/>
            </w:tcBorders>
            <w:vMerge w:val="continue"/>
          </w:tcPr>
          <w:p>
            <w:pPr>
              <w:spacing w:after="0"/>
              <w:rPr>
                <w:sz w:val="16"/>
                <w:szCs w:val="16"/>
                <w:color w:val="auto"/>
              </w:rPr>
            </w:pPr>
          </w:p>
        </w:tc>
        <w:tc>
          <w:tcPr>
            <w:tcW w:w="280" w:type="dxa"/>
            <w:vAlign w:val="bottom"/>
            <w:tcBorders>
              <w:bottom w:val="single" w:sz="8" w:color="D7282F"/>
            </w:tcBorders>
          </w:tcPr>
          <w:p>
            <w:pPr>
              <w:spacing w:after="0"/>
              <w:rPr>
                <w:sz w:val="16"/>
                <w:szCs w:val="16"/>
                <w:color w:val="auto"/>
              </w:rPr>
            </w:pPr>
          </w:p>
        </w:tc>
        <w:tc>
          <w:tcPr>
            <w:tcW w:w="920" w:type="dxa"/>
            <w:vAlign w:val="bottom"/>
            <w:tcBorders>
              <w:bottom w:val="single" w:sz="8" w:color="D7282F"/>
            </w:tcBorders>
          </w:tcPr>
          <w:p>
            <w:pPr>
              <w:jc w:val="center"/>
              <w:ind w:right="168"/>
              <w:spacing w:after="0"/>
              <w:rPr>
                <w:sz w:val="20"/>
                <w:szCs w:val="20"/>
                <w:color w:val="auto"/>
              </w:rPr>
            </w:pPr>
            <w:r>
              <w:rPr>
                <w:rFonts w:ascii="Arial" w:cs="Arial" w:eastAsia="Arial" w:hAnsi="Arial"/>
                <w:sz w:val="14"/>
                <w:szCs w:val="14"/>
                <w:b w:val="1"/>
                <w:bCs w:val="1"/>
                <w:color w:val="auto"/>
              </w:rPr>
              <w:t>Sold</w:t>
            </w:r>
          </w:p>
        </w:tc>
        <w:tc>
          <w:tcPr>
            <w:tcW w:w="280" w:type="dxa"/>
            <w:vAlign w:val="bottom"/>
            <w:tcBorders>
              <w:bottom w:val="single" w:sz="8" w:color="D7282F"/>
            </w:tcBorders>
          </w:tcPr>
          <w:p>
            <w:pPr>
              <w:spacing w:after="0"/>
              <w:rPr>
                <w:sz w:val="16"/>
                <w:szCs w:val="16"/>
                <w:color w:val="auto"/>
              </w:rPr>
            </w:pPr>
          </w:p>
        </w:tc>
        <w:tc>
          <w:tcPr>
            <w:tcW w:w="920" w:type="dxa"/>
            <w:vAlign w:val="bottom"/>
            <w:tcBorders>
              <w:bottom w:val="single" w:sz="8" w:color="D7282F"/>
            </w:tcBorders>
          </w:tcPr>
          <w:p>
            <w:pPr>
              <w:jc w:val="center"/>
              <w:ind w:right="168"/>
              <w:spacing w:after="0"/>
              <w:rPr>
                <w:sz w:val="20"/>
                <w:szCs w:val="20"/>
                <w:color w:val="auto"/>
              </w:rPr>
            </w:pPr>
            <w:r>
              <w:rPr>
                <w:rFonts w:ascii="Arial" w:cs="Arial" w:eastAsia="Arial" w:hAnsi="Arial"/>
                <w:sz w:val="14"/>
                <w:szCs w:val="14"/>
                <w:b w:val="1"/>
                <w:bCs w:val="1"/>
                <w:color w:val="auto"/>
              </w:rPr>
              <w:t>Sold</w:t>
            </w:r>
          </w:p>
        </w:tc>
        <w:tc>
          <w:tcPr>
            <w:tcW w:w="240" w:type="dxa"/>
            <w:vAlign w:val="bottom"/>
            <w:tcBorders>
              <w:bottom w:val="single" w:sz="8" w:color="D7282F"/>
            </w:tcBorders>
          </w:tcPr>
          <w:p>
            <w:pPr>
              <w:spacing w:after="0"/>
              <w:rPr>
                <w:sz w:val="16"/>
                <w:szCs w:val="16"/>
                <w:color w:val="auto"/>
              </w:rPr>
            </w:pPr>
          </w:p>
        </w:tc>
        <w:tc>
          <w:tcPr>
            <w:tcW w:w="1300" w:type="dxa"/>
            <w:vAlign w:val="bottom"/>
            <w:tcBorders>
              <w:bottom w:val="single" w:sz="8" w:color="D7282F"/>
            </w:tcBorders>
          </w:tcPr>
          <w:p>
            <w:pPr>
              <w:jc w:val="center"/>
              <w:ind w:right="108"/>
              <w:spacing w:after="0"/>
              <w:rPr>
                <w:sz w:val="20"/>
                <w:szCs w:val="20"/>
                <w:color w:val="auto"/>
              </w:rPr>
            </w:pPr>
            <w:r>
              <w:rPr>
                <w:rFonts w:ascii="Arial" w:cs="Arial" w:eastAsia="Arial" w:hAnsi="Arial"/>
                <w:sz w:val="14"/>
                <w:szCs w:val="14"/>
                <w:b w:val="1"/>
                <w:bCs w:val="1"/>
                <w:color w:val="auto"/>
              </w:rPr>
              <w:t>Expenses</w:t>
            </w:r>
          </w:p>
        </w:tc>
        <w:tc>
          <w:tcPr>
            <w:tcW w:w="300" w:type="dxa"/>
            <w:vAlign w:val="bottom"/>
            <w:tcBorders>
              <w:bottom w:val="single" w:sz="8" w:color="D7282F"/>
            </w:tcBorders>
          </w:tcPr>
          <w:p>
            <w:pPr>
              <w:spacing w:after="0"/>
              <w:rPr>
                <w:sz w:val="16"/>
                <w:szCs w:val="16"/>
                <w:color w:val="auto"/>
              </w:rPr>
            </w:pPr>
          </w:p>
        </w:tc>
        <w:tc>
          <w:tcPr>
            <w:tcW w:w="980" w:type="dxa"/>
            <w:vAlign w:val="bottom"/>
            <w:tcBorders>
              <w:bottom w:val="single" w:sz="8" w:color="D7282F"/>
            </w:tcBorders>
          </w:tcPr>
          <w:p>
            <w:pPr>
              <w:jc w:val="center"/>
              <w:ind w:right="208"/>
              <w:spacing w:after="0"/>
              <w:rPr>
                <w:sz w:val="20"/>
                <w:szCs w:val="20"/>
                <w:color w:val="auto"/>
              </w:rPr>
            </w:pPr>
            <w:r>
              <w:rPr>
                <w:rFonts w:ascii="Arial" w:cs="Arial" w:eastAsia="Arial" w:hAnsi="Arial"/>
                <w:sz w:val="14"/>
                <w:szCs w:val="14"/>
                <w:b w:val="1"/>
                <w:bCs w:val="1"/>
                <w:color w:val="auto"/>
              </w:rPr>
              <w:t>Expense</w:t>
            </w:r>
          </w:p>
        </w:tc>
        <w:tc>
          <w:tcPr>
            <w:tcW w:w="220" w:type="dxa"/>
            <w:vAlign w:val="bottom"/>
            <w:tcBorders>
              <w:bottom w:val="single" w:sz="8" w:color="D7282F"/>
            </w:tcBorders>
          </w:tcPr>
          <w:p>
            <w:pPr>
              <w:spacing w:after="0"/>
              <w:rPr>
                <w:sz w:val="16"/>
                <w:szCs w:val="16"/>
                <w:color w:val="auto"/>
              </w:rPr>
            </w:pPr>
          </w:p>
        </w:tc>
        <w:tc>
          <w:tcPr>
            <w:tcW w:w="920" w:type="dxa"/>
            <w:vAlign w:val="bottom"/>
            <w:tcBorders>
              <w:bottom w:val="single" w:sz="8" w:color="D7282F"/>
            </w:tcBorders>
          </w:tcPr>
          <w:p>
            <w:pPr>
              <w:jc w:val="center"/>
              <w:ind w:right="28"/>
              <w:spacing w:after="0"/>
              <w:rPr>
                <w:sz w:val="20"/>
                <w:szCs w:val="20"/>
                <w:color w:val="auto"/>
              </w:rPr>
            </w:pPr>
            <w:r>
              <w:rPr>
                <w:rFonts w:ascii="Arial" w:cs="Arial" w:eastAsia="Arial" w:hAnsi="Arial"/>
                <w:sz w:val="14"/>
                <w:szCs w:val="14"/>
                <w:b w:val="1"/>
                <w:bCs w:val="1"/>
                <w:color w:val="auto"/>
              </w:rPr>
              <w:t>Charges</w:t>
            </w:r>
          </w:p>
        </w:tc>
        <w:tc>
          <w:tcPr>
            <w:tcW w:w="0" w:type="dxa"/>
            <w:vAlign w:val="bottom"/>
          </w:tcPr>
          <w:p>
            <w:pPr>
              <w:spacing w:after="0"/>
              <w:rPr>
                <w:sz w:val="1"/>
                <w:szCs w:val="1"/>
                <w:color w:val="auto"/>
              </w:rPr>
            </w:pPr>
          </w:p>
        </w:tc>
      </w:tr>
      <w:tr>
        <w:trPr>
          <w:trHeight w:val="192"/>
        </w:trPr>
        <w:tc>
          <w:tcPr>
            <w:tcW w:w="3960" w:type="dxa"/>
            <w:vAlign w:val="bottom"/>
            <w:tcBorders>
              <w:bottom w:val="single" w:sz="8" w:color="888B8D"/>
            </w:tcBorders>
            <w:gridSpan w:val="2"/>
          </w:tcPr>
          <w:p>
            <w:pPr>
              <w:ind w:left="384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36,662</w:t>
            </w:r>
          </w:p>
        </w:tc>
        <w:tc>
          <w:tcPr>
            <w:tcW w:w="28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16,977</w:t>
            </w:r>
          </w:p>
        </w:tc>
        <w:tc>
          <w:tcPr>
            <w:tcW w:w="28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6,018</w:t>
            </w:r>
          </w:p>
        </w:tc>
        <w:tc>
          <w:tcPr>
            <w:tcW w:w="2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5,127</w:t>
            </w:r>
          </w:p>
        </w:tc>
        <w:tc>
          <w:tcPr>
            <w:tcW w:w="3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(840)</w:t>
            </w:r>
          </w:p>
        </w:tc>
        <w:tc>
          <w:tcPr>
            <w:tcW w:w="22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765</w:t>
            </w:r>
          </w:p>
        </w:tc>
        <w:tc>
          <w:tcPr>
            <w:tcW w:w="0" w:type="dxa"/>
            <w:vAlign w:val="bottom"/>
          </w:tcPr>
          <w:p>
            <w:pPr>
              <w:spacing w:after="0"/>
              <w:rPr>
                <w:sz w:val="1"/>
                <w:szCs w:val="1"/>
                <w:color w:val="auto"/>
              </w:rPr>
            </w:pPr>
          </w:p>
        </w:tc>
      </w:tr>
      <w:tr>
        <w:trPr>
          <w:trHeight w:val="199"/>
        </w:trPr>
        <w:tc>
          <w:tcPr>
            <w:tcW w:w="3960" w:type="dxa"/>
            <w:vAlign w:val="bottom"/>
            <w:tcBorders>
              <w:bottom w:val="single" w:sz="8" w:color="888B8D"/>
            </w:tcBorders>
            <w:gridSpan w:val="2"/>
          </w:tcPr>
          <w:p>
            <w:pPr>
              <w:ind w:left="20"/>
              <w:spacing w:after="0"/>
              <w:rPr>
                <w:sz w:val="20"/>
                <w:szCs w:val="20"/>
                <w:color w:val="auto"/>
              </w:rPr>
            </w:pPr>
            <w:r>
              <w:rPr>
                <w:rFonts w:ascii="Arial" w:cs="Arial" w:eastAsia="Arial" w:hAnsi="Arial"/>
                <w:sz w:val="14"/>
                <w:szCs w:val="14"/>
                <w:b w:val="1"/>
                <w:bCs w:val="1"/>
                <w:color w:val="auto"/>
              </w:rPr>
              <w:t>Gain (loss) on cash flow hedges</w:t>
            </w:r>
          </w:p>
        </w:tc>
        <w:tc>
          <w:tcPr>
            <w:tcW w:w="920" w:type="dxa"/>
            <w:vAlign w:val="bottom"/>
            <w:tcBorders>
              <w:bottom w:val="single" w:sz="8" w:color="888B8D"/>
            </w:tcBorders>
          </w:tcPr>
          <w:p>
            <w:pPr>
              <w:spacing w:after="0"/>
              <w:rPr>
                <w:sz w:val="17"/>
                <w:szCs w:val="17"/>
                <w:color w:val="auto"/>
              </w:rPr>
            </w:pPr>
          </w:p>
        </w:tc>
        <w:tc>
          <w:tcPr>
            <w:tcW w:w="280" w:type="dxa"/>
            <w:vAlign w:val="bottom"/>
            <w:tcBorders>
              <w:bottom w:val="single" w:sz="8" w:color="888B8D"/>
            </w:tcBorders>
          </w:tcPr>
          <w:p>
            <w:pPr>
              <w:spacing w:after="0"/>
              <w:rPr>
                <w:sz w:val="17"/>
                <w:szCs w:val="17"/>
                <w:color w:val="auto"/>
              </w:rPr>
            </w:pPr>
          </w:p>
        </w:tc>
        <w:tc>
          <w:tcPr>
            <w:tcW w:w="920" w:type="dxa"/>
            <w:vAlign w:val="bottom"/>
            <w:tcBorders>
              <w:bottom w:val="single" w:sz="8" w:color="888B8D"/>
            </w:tcBorders>
          </w:tcPr>
          <w:p>
            <w:pPr>
              <w:spacing w:after="0"/>
              <w:rPr>
                <w:sz w:val="17"/>
                <w:szCs w:val="17"/>
                <w:color w:val="auto"/>
              </w:rPr>
            </w:pPr>
          </w:p>
        </w:tc>
        <w:tc>
          <w:tcPr>
            <w:tcW w:w="280" w:type="dxa"/>
            <w:vAlign w:val="bottom"/>
            <w:tcBorders>
              <w:bottom w:val="single" w:sz="8" w:color="888B8D"/>
            </w:tcBorders>
          </w:tcPr>
          <w:p>
            <w:pPr>
              <w:spacing w:after="0"/>
              <w:rPr>
                <w:sz w:val="17"/>
                <w:szCs w:val="17"/>
                <w:color w:val="auto"/>
              </w:rPr>
            </w:pPr>
          </w:p>
        </w:tc>
        <w:tc>
          <w:tcPr>
            <w:tcW w:w="920" w:type="dxa"/>
            <w:vAlign w:val="bottom"/>
            <w:tcBorders>
              <w:bottom w:val="single" w:sz="8" w:color="888B8D"/>
            </w:tcBorders>
          </w:tcPr>
          <w:p>
            <w:pPr>
              <w:spacing w:after="0"/>
              <w:rPr>
                <w:sz w:val="17"/>
                <w:szCs w:val="17"/>
                <w:color w:val="auto"/>
              </w:rPr>
            </w:pPr>
          </w:p>
        </w:tc>
        <w:tc>
          <w:tcPr>
            <w:tcW w:w="240" w:type="dxa"/>
            <w:vAlign w:val="bottom"/>
            <w:tcBorders>
              <w:bottom w:val="single" w:sz="8" w:color="888B8D"/>
            </w:tcBorders>
          </w:tcPr>
          <w:p>
            <w:pPr>
              <w:spacing w:after="0"/>
              <w:rPr>
                <w:sz w:val="17"/>
                <w:szCs w:val="17"/>
                <w:color w:val="auto"/>
              </w:rPr>
            </w:pPr>
          </w:p>
        </w:tc>
        <w:tc>
          <w:tcPr>
            <w:tcW w:w="1300" w:type="dxa"/>
            <w:vAlign w:val="bottom"/>
            <w:tcBorders>
              <w:bottom w:val="single" w:sz="8" w:color="888B8D"/>
            </w:tcBorders>
          </w:tcPr>
          <w:p>
            <w:pPr>
              <w:spacing w:after="0"/>
              <w:rPr>
                <w:sz w:val="17"/>
                <w:szCs w:val="17"/>
                <w:color w:val="auto"/>
              </w:rPr>
            </w:pPr>
          </w:p>
        </w:tc>
        <w:tc>
          <w:tcPr>
            <w:tcW w:w="300" w:type="dxa"/>
            <w:vAlign w:val="bottom"/>
            <w:tcBorders>
              <w:bottom w:val="single" w:sz="8" w:color="888B8D"/>
            </w:tcBorders>
          </w:tcPr>
          <w:p>
            <w:pPr>
              <w:spacing w:after="0"/>
              <w:rPr>
                <w:sz w:val="17"/>
                <w:szCs w:val="17"/>
                <w:color w:val="auto"/>
              </w:rPr>
            </w:pPr>
          </w:p>
        </w:tc>
        <w:tc>
          <w:tcPr>
            <w:tcW w:w="980" w:type="dxa"/>
            <w:vAlign w:val="bottom"/>
            <w:tcBorders>
              <w:bottom w:val="single" w:sz="8" w:color="888B8D"/>
            </w:tcBorders>
          </w:tcPr>
          <w:p>
            <w:pPr>
              <w:spacing w:after="0"/>
              <w:rPr>
                <w:sz w:val="17"/>
                <w:szCs w:val="17"/>
                <w:color w:val="auto"/>
              </w:rPr>
            </w:pPr>
          </w:p>
        </w:tc>
        <w:tc>
          <w:tcPr>
            <w:tcW w:w="220" w:type="dxa"/>
            <w:vAlign w:val="bottom"/>
            <w:tcBorders>
              <w:bottom w:val="single" w:sz="8" w:color="888B8D"/>
            </w:tcBorders>
          </w:tcPr>
          <w:p>
            <w:pPr>
              <w:spacing w:after="0"/>
              <w:rPr>
                <w:sz w:val="17"/>
                <w:szCs w:val="17"/>
                <w:color w:val="auto"/>
              </w:rPr>
            </w:pPr>
          </w:p>
        </w:tc>
        <w:tc>
          <w:tcPr>
            <w:tcW w:w="920" w:type="dxa"/>
            <w:vAlign w:val="bottom"/>
            <w:tcBorders>
              <w:bottom w:val="single" w:sz="8" w:color="888B8D"/>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960" w:type="dxa"/>
            <w:vAlign w:val="bottom"/>
            <w:tcBorders>
              <w:bottom w:val="single" w:sz="8" w:color="888B8D"/>
            </w:tcBorders>
            <w:gridSpan w:val="2"/>
          </w:tcPr>
          <w:p>
            <w:pPr>
              <w:ind w:left="140"/>
              <w:spacing w:after="0"/>
              <w:rPr>
                <w:sz w:val="20"/>
                <w:szCs w:val="20"/>
                <w:color w:val="auto"/>
              </w:rPr>
            </w:pPr>
            <w:r>
              <w:rPr>
                <w:rFonts w:ascii="Arial" w:cs="Arial" w:eastAsia="Arial" w:hAnsi="Arial"/>
                <w:sz w:val="14"/>
                <w:szCs w:val="14"/>
                <w:color w:val="auto"/>
              </w:rPr>
              <w:t>Foreign currency exchange contracts</w:t>
            </w:r>
          </w:p>
        </w:tc>
        <w:tc>
          <w:tcPr>
            <w:tcW w:w="920" w:type="dxa"/>
            <w:vAlign w:val="bottom"/>
            <w:tcBorders>
              <w:bottom w:val="single" w:sz="8" w:color="888B8D"/>
            </w:tcBorders>
          </w:tcPr>
          <w:p>
            <w:pPr>
              <w:spacing w:after="0"/>
              <w:rPr>
                <w:sz w:val="16"/>
                <w:szCs w:val="16"/>
                <w:color w:val="auto"/>
              </w:rPr>
            </w:pPr>
          </w:p>
        </w:tc>
        <w:tc>
          <w:tcPr>
            <w:tcW w:w="280" w:type="dxa"/>
            <w:vAlign w:val="bottom"/>
            <w:tcBorders>
              <w:bottom w:val="single" w:sz="8" w:color="888B8D"/>
            </w:tcBorders>
          </w:tcPr>
          <w:p>
            <w:pPr>
              <w:spacing w:after="0"/>
              <w:rPr>
                <w:sz w:val="16"/>
                <w:szCs w:val="16"/>
                <w:color w:val="auto"/>
              </w:rPr>
            </w:pPr>
          </w:p>
        </w:tc>
        <w:tc>
          <w:tcPr>
            <w:tcW w:w="920" w:type="dxa"/>
            <w:vAlign w:val="bottom"/>
            <w:tcBorders>
              <w:bottom w:val="single" w:sz="8" w:color="888B8D"/>
            </w:tcBorders>
          </w:tcPr>
          <w:p>
            <w:pPr>
              <w:spacing w:after="0"/>
              <w:rPr>
                <w:sz w:val="16"/>
                <w:szCs w:val="16"/>
                <w:color w:val="auto"/>
              </w:rPr>
            </w:pPr>
          </w:p>
        </w:tc>
        <w:tc>
          <w:tcPr>
            <w:tcW w:w="280" w:type="dxa"/>
            <w:vAlign w:val="bottom"/>
            <w:tcBorders>
              <w:bottom w:val="single" w:sz="8" w:color="888B8D"/>
            </w:tcBorders>
          </w:tcPr>
          <w:p>
            <w:pPr>
              <w:spacing w:after="0"/>
              <w:rPr>
                <w:sz w:val="16"/>
                <w:szCs w:val="16"/>
                <w:color w:val="auto"/>
              </w:rPr>
            </w:pPr>
          </w:p>
        </w:tc>
        <w:tc>
          <w:tcPr>
            <w:tcW w:w="920" w:type="dxa"/>
            <w:vAlign w:val="bottom"/>
            <w:tcBorders>
              <w:bottom w:val="single" w:sz="8" w:color="888B8D"/>
            </w:tcBorders>
          </w:tcPr>
          <w:p>
            <w:pPr>
              <w:spacing w:after="0"/>
              <w:rPr>
                <w:sz w:val="16"/>
                <w:szCs w:val="16"/>
                <w:color w:val="auto"/>
              </w:rPr>
            </w:pPr>
          </w:p>
        </w:tc>
        <w:tc>
          <w:tcPr>
            <w:tcW w:w="240" w:type="dxa"/>
            <w:vAlign w:val="bottom"/>
            <w:tcBorders>
              <w:bottom w:val="single" w:sz="8" w:color="888B8D"/>
            </w:tcBorders>
          </w:tcPr>
          <w:p>
            <w:pPr>
              <w:spacing w:after="0"/>
              <w:rPr>
                <w:sz w:val="16"/>
                <w:szCs w:val="16"/>
                <w:color w:val="auto"/>
              </w:rPr>
            </w:pPr>
          </w:p>
        </w:tc>
        <w:tc>
          <w:tcPr>
            <w:tcW w:w="1300" w:type="dxa"/>
            <w:vAlign w:val="bottom"/>
            <w:tcBorders>
              <w:bottom w:val="single" w:sz="8" w:color="888B8D"/>
            </w:tcBorders>
          </w:tcPr>
          <w:p>
            <w:pPr>
              <w:spacing w:after="0"/>
              <w:rPr>
                <w:sz w:val="16"/>
                <w:szCs w:val="16"/>
                <w:color w:val="auto"/>
              </w:rPr>
            </w:pPr>
          </w:p>
        </w:tc>
        <w:tc>
          <w:tcPr>
            <w:tcW w:w="300" w:type="dxa"/>
            <w:vAlign w:val="bottom"/>
            <w:tcBorders>
              <w:bottom w:val="single" w:sz="8" w:color="888B8D"/>
            </w:tcBorders>
          </w:tcPr>
          <w:p>
            <w:pPr>
              <w:spacing w:after="0"/>
              <w:rPr>
                <w:sz w:val="16"/>
                <w:szCs w:val="16"/>
                <w:color w:val="auto"/>
              </w:rPr>
            </w:pPr>
          </w:p>
        </w:tc>
        <w:tc>
          <w:tcPr>
            <w:tcW w:w="980" w:type="dxa"/>
            <w:vAlign w:val="bottom"/>
            <w:tcBorders>
              <w:bottom w:val="single" w:sz="8" w:color="888B8D"/>
            </w:tcBorders>
          </w:tcPr>
          <w:p>
            <w:pPr>
              <w:spacing w:after="0"/>
              <w:rPr>
                <w:sz w:val="16"/>
                <w:szCs w:val="16"/>
                <w:color w:val="auto"/>
              </w:rPr>
            </w:pPr>
          </w:p>
        </w:tc>
        <w:tc>
          <w:tcPr>
            <w:tcW w:w="220" w:type="dxa"/>
            <w:vAlign w:val="bottom"/>
            <w:tcBorders>
              <w:bottom w:val="single" w:sz="8" w:color="888B8D"/>
            </w:tcBorders>
          </w:tcPr>
          <w:p>
            <w:pPr>
              <w:spacing w:after="0"/>
              <w:rPr>
                <w:sz w:val="16"/>
                <w:szCs w:val="16"/>
                <w:color w:val="auto"/>
              </w:rPr>
            </w:pPr>
          </w:p>
        </w:tc>
        <w:tc>
          <w:tcPr>
            <w:tcW w:w="920" w:type="dxa"/>
            <w:vAlign w:val="bottom"/>
            <w:tcBorders>
              <w:bottom w:val="single" w:sz="8" w:color="888B8D"/>
            </w:tcBorders>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3960" w:type="dxa"/>
            <w:vAlign w:val="bottom"/>
            <w:gridSpan w:val="2"/>
          </w:tcPr>
          <w:p>
            <w:pPr>
              <w:ind w:left="240"/>
              <w:spacing w:after="0" w:line="151" w:lineRule="exact"/>
              <w:rPr>
                <w:sz w:val="20"/>
                <w:szCs w:val="20"/>
                <w:color w:val="auto"/>
              </w:rPr>
            </w:pPr>
            <w:r>
              <w:rPr>
                <w:rFonts w:ascii="Arial" w:cs="Arial" w:eastAsia="Arial" w:hAnsi="Arial"/>
                <w:sz w:val="14"/>
                <w:szCs w:val="14"/>
                <w:color w:val="auto"/>
              </w:rPr>
              <w:t>Amount reclassified from accumulated other</w:t>
            </w:r>
          </w:p>
        </w:tc>
        <w:tc>
          <w:tcPr>
            <w:tcW w:w="920" w:type="dxa"/>
            <w:vAlign w:val="bottom"/>
            <w:vMerge w:val="restart"/>
          </w:tcPr>
          <w:p>
            <w:pPr>
              <w:jc w:val="right"/>
              <w:ind w:right="88"/>
              <w:spacing w:after="0"/>
              <w:rPr>
                <w:sz w:val="20"/>
                <w:szCs w:val="20"/>
                <w:color w:val="auto"/>
              </w:rPr>
            </w:pPr>
            <w:r>
              <w:rPr>
                <w:rFonts w:ascii="Arial" w:cs="Arial" w:eastAsia="Arial" w:hAnsi="Arial"/>
                <w:sz w:val="14"/>
                <w:szCs w:val="14"/>
                <w:color w:val="auto"/>
              </w:rPr>
              <w:t>15</w:t>
            </w:r>
          </w:p>
        </w:tc>
        <w:tc>
          <w:tcPr>
            <w:tcW w:w="280" w:type="dxa"/>
            <w:vAlign w:val="bottom"/>
          </w:tcPr>
          <w:p>
            <w:pPr>
              <w:spacing w:after="0"/>
              <w:rPr>
                <w:sz w:val="13"/>
                <w:szCs w:val="13"/>
                <w:color w:val="auto"/>
              </w:rPr>
            </w:pPr>
          </w:p>
        </w:tc>
        <w:tc>
          <w:tcPr>
            <w:tcW w:w="920" w:type="dxa"/>
            <w:vAlign w:val="bottom"/>
            <w:vMerge w:val="restart"/>
          </w:tcPr>
          <w:p>
            <w:pPr>
              <w:jc w:val="right"/>
              <w:ind w:right="88"/>
              <w:spacing w:after="0"/>
              <w:rPr>
                <w:sz w:val="20"/>
                <w:szCs w:val="20"/>
                <w:color w:val="auto"/>
              </w:rPr>
            </w:pPr>
            <w:r>
              <w:rPr>
                <w:rFonts w:ascii="Arial" w:cs="Arial" w:eastAsia="Arial" w:hAnsi="Arial"/>
                <w:sz w:val="14"/>
                <w:szCs w:val="14"/>
                <w:color w:val="auto"/>
              </w:rPr>
              <w:t>28</w:t>
            </w:r>
          </w:p>
        </w:tc>
        <w:tc>
          <w:tcPr>
            <w:tcW w:w="280" w:type="dxa"/>
            <w:vAlign w:val="bottom"/>
          </w:tcPr>
          <w:p>
            <w:pPr>
              <w:spacing w:after="0"/>
              <w:rPr>
                <w:sz w:val="13"/>
                <w:szCs w:val="13"/>
                <w:color w:val="auto"/>
              </w:rPr>
            </w:pPr>
          </w:p>
        </w:tc>
        <w:tc>
          <w:tcPr>
            <w:tcW w:w="920" w:type="dxa"/>
            <w:vAlign w:val="bottom"/>
            <w:vMerge w:val="restart"/>
          </w:tcPr>
          <w:p>
            <w:pPr>
              <w:jc w:val="right"/>
              <w:ind w:right="88"/>
              <w:spacing w:after="0"/>
              <w:rPr>
                <w:sz w:val="20"/>
                <w:szCs w:val="20"/>
                <w:color w:val="auto"/>
              </w:rPr>
            </w:pPr>
            <w:r>
              <w:rPr>
                <w:rFonts w:ascii="Arial" w:cs="Arial" w:eastAsia="Arial" w:hAnsi="Arial"/>
                <w:sz w:val="14"/>
                <w:szCs w:val="14"/>
                <w:color w:val="auto"/>
              </w:rPr>
              <w:t>10</w:t>
            </w:r>
          </w:p>
        </w:tc>
        <w:tc>
          <w:tcPr>
            <w:tcW w:w="240" w:type="dxa"/>
            <w:vAlign w:val="bottom"/>
          </w:tcPr>
          <w:p>
            <w:pPr>
              <w:spacing w:after="0"/>
              <w:rPr>
                <w:sz w:val="13"/>
                <w:szCs w:val="13"/>
                <w:color w:val="auto"/>
              </w:rPr>
            </w:pPr>
          </w:p>
        </w:tc>
        <w:tc>
          <w:tcPr>
            <w:tcW w:w="1300" w:type="dxa"/>
            <w:vAlign w:val="bottom"/>
            <w:vMerge w:val="restart"/>
          </w:tcPr>
          <w:p>
            <w:pPr>
              <w:jc w:val="right"/>
              <w:ind w:right="88"/>
              <w:spacing w:after="0"/>
              <w:rPr>
                <w:sz w:val="20"/>
                <w:szCs w:val="20"/>
                <w:color w:val="auto"/>
              </w:rPr>
            </w:pPr>
            <w:r>
              <w:rPr>
                <w:rFonts w:ascii="Arial" w:cs="Arial" w:eastAsia="Arial" w:hAnsi="Arial"/>
                <w:sz w:val="14"/>
                <w:szCs w:val="14"/>
                <w:color w:val="auto"/>
              </w:rPr>
              <w:t>10</w:t>
            </w:r>
          </w:p>
        </w:tc>
        <w:tc>
          <w:tcPr>
            <w:tcW w:w="300" w:type="dxa"/>
            <w:vAlign w:val="bottom"/>
          </w:tcPr>
          <w:p>
            <w:pPr>
              <w:spacing w:after="0"/>
              <w:rPr>
                <w:sz w:val="13"/>
                <w:szCs w:val="13"/>
                <w:color w:val="auto"/>
              </w:rPr>
            </w:pPr>
          </w:p>
        </w:tc>
        <w:tc>
          <w:tcPr>
            <w:tcW w:w="9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3960" w:type="dxa"/>
            <w:vAlign w:val="bottom"/>
            <w:tcBorders>
              <w:bottom w:val="single" w:sz="8" w:color="888B8D"/>
            </w:tcBorders>
            <w:gridSpan w:val="2"/>
          </w:tcPr>
          <w:p>
            <w:pPr>
              <w:ind w:left="240"/>
              <w:spacing w:after="0"/>
              <w:rPr>
                <w:sz w:val="20"/>
                <w:szCs w:val="20"/>
                <w:color w:val="auto"/>
              </w:rPr>
            </w:pPr>
            <w:r>
              <w:rPr>
                <w:rFonts w:ascii="Arial" w:cs="Arial" w:eastAsia="Arial" w:hAnsi="Arial"/>
                <w:sz w:val="14"/>
                <w:szCs w:val="14"/>
                <w:color w:val="auto"/>
              </w:rPr>
              <w:t>comprehensive loss into income</w:t>
            </w:r>
          </w:p>
        </w:tc>
        <w:tc>
          <w:tcPr>
            <w:tcW w:w="920" w:type="dxa"/>
            <w:vAlign w:val="bottom"/>
            <w:tcBorders>
              <w:bottom w:val="single" w:sz="8" w:color="888B8D"/>
            </w:tcBorders>
            <w:vMerge w:val="continue"/>
          </w:tcPr>
          <w:p>
            <w:pPr>
              <w:spacing w:after="0"/>
              <w:rPr>
                <w:sz w:val="16"/>
                <w:szCs w:val="16"/>
                <w:color w:val="auto"/>
              </w:rPr>
            </w:pPr>
          </w:p>
        </w:tc>
        <w:tc>
          <w:tcPr>
            <w:tcW w:w="280" w:type="dxa"/>
            <w:vAlign w:val="bottom"/>
            <w:tcBorders>
              <w:bottom w:val="single" w:sz="8" w:color="888B8D"/>
            </w:tcBorders>
          </w:tcPr>
          <w:p>
            <w:pPr>
              <w:spacing w:after="0"/>
              <w:rPr>
                <w:sz w:val="16"/>
                <w:szCs w:val="16"/>
                <w:color w:val="auto"/>
              </w:rPr>
            </w:pPr>
          </w:p>
        </w:tc>
        <w:tc>
          <w:tcPr>
            <w:tcW w:w="920" w:type="dxa"/>
            <w:vAlign w:val="bottom"/>
            <w:tcBorders>
              <w:bottom w:val="single" w:sz="8" w:color="888B8D"/>
            </w:tcBorders>
            <w:vMerge w:val="continue"/>
          </w:tcPr>
          <w:p>
            <w:pPr>
              <w:spacing w:after="0"/>
              <w:rPr>
                <w:sz w:val="16"/>
                <w:szCs w:val="16"/>
                <w:color w:val="auto"/>
              </w:rPr>
            </w:pPr>
          </w:p>
        </w:tc>
        <w:tc>
          <w:tcPr>
            <w:tcW w:w="280" w:type="dxa"/>
            <w:vAlign w:val="bottom"/>
            <w:tcBorders>
              <w:bottom w:val="single" w:sz="8" w:color="888B8D"/>
            </w:tcBorders>
          </w:tcPr>
          <w:p>
            <w:pPr>
              <w:spacing w:after="0"/>
              <w:rPr>
                <w:sz w:val="16"/>
                <w:szCs w:val="16"/>
                <w:color w:val="auto"/>
              </w:rPr>
            </w:pPr>
          </w:p>
        </w:tc>
        <w:tc>
          <w:tcPr>
            <w:tcW w:w="920" w:type="dxa"/>
            <w:vAlign w:val="bottom"/>
            <w:tcBorders>
              <w:bottom w:val="single" w:sz="8" w:color="888B8D"/>
            </w:tcBorders>
            <w:vMerge w:val="continue"/>
          </w:tcPr>
          <w:p>
            <w:pPr>
              <w:spacing w:after="0"/>
              <w:rPr>
                <w:sz w:val="16"/>
                <w:szCs w:val="16"/>
                <w:color w:val="auto"/>
              </w:rPr>
            </w:pPr>
          </w:p>
        </w:tc>
        <w:tc>
          <w:tcPr>
            <w:tcW w:w="240" w:type="dxa"/>
            <w:vAlign w:val="bottom"/>
            <w:tcBorders>
              <w:bottom w:val="single" w:sz="8" w:color="888B8D"/>
            </w:tcBorders>
          </w:tcPr>
          <w:p>
            <w:pPr>
              <w:spacing w:after="0"/>
              <w:rPr>
                <w:sz w:val="16"/>
                <w:szCs w:val="16"/>
                <w:color w:val="auto"/>
              </w:rPr>
            </w:pPr>
          </w:p>
        </w:tc>
        <w:tc>
          <w:tcPr>
            <w:tcW w:w="1300" w:type="dxa"/>
            <w:vAlign w:val="bottom"/>
            <w:tcBorders>
              <w:bottom w:val="single" w:sz="8" w:color="888B8D"/>
            </w:tcBorders>
            <w:vMerge w:val="continue"/>
          </w:tcPr>
          <w:p>
            <w:pPr>
              <w:spacing w:after="0"/>
              <w:rPr>
                <w:sz w:val="16"/>
                <w:szCs w:val="16"/>
                <w:color w:val="auto"/>
              </w:rPr>
            </w:pPr>
          </w:p>
        </w:tc>
        <w:tc>
          <w:tcPr>
            <w:tcW w:w="300" w:type="dxa"/>
            <w:vAlign w:val="bottom"/>
            <w:tcBorders>
              <w:bottom w:val="single" w:sz="8" w:color="888B8D"/>
            </w:tcBorders>
          </w:tcPr>
          <w:p>
            <w:pPr>
              <w:spacing w:after="0"/>
              <w:rPr>
                <w:sz w:val="16"/>
                <w:szCs w:val="16"/>
                <w:color w:val="auto"/>
              </w:rPr>
            </w:pPr>
          </w:p>
        </w:tc>
        <w:tc>
          <w:tcPr>
            <w:tcW w:w="980" w:type="dxa"/>
            <w:vAlign w:val="bottom"/>
            <w:tcBorders>
              <w:bottom w:val="single" w:sz="8" w:color="888B8D"/>
            </w:tcBorders>
            <w:vMerge w:val="continue"/>
          </w:tcPr>
          <w:p>
            <w:pPr>
              <w:spacing w:after="0"/>
              <w:rPr>
                <w:sz w:val="16"/>
                <w:szCs w:val="16"/>
                <w:color w:val="auto"/>
              </w:rPr>
            </w:pPr>
          </w:p>
        </w:tc>
        <w:tc>
          <w:tcPr>
            <w:tcW w:w="220" w:type="dxa"/>
            <w:vAlign w:val="bottom"/>
            <w:tcBorders>
              <w:bottom w:val="single" w:sz="8" w:color="888B8D"/>
            </w:tcBorders>
          </w:tcPr>
          <w:p>
            <w:pPr>
              <w:spacing w:after="0"/>
              <w:rPr>
                <w:sz w:val="16"/>
                <w:szCs w:val="16"/>
                <w:color w:val="auto"/>
              </w:rPr>
            </w:pPr>
          </w:p>
        </w:tc>
        <w:tc>
          <w:tcPr>
            <w:tcW w:w="920" w:type="dxa"/>
            <w:vAlign w:val="bottom"/>
            <w:tcBorders>
              <w:bottom w:val="single" w:sz="8" w:color="888B8D"/>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960" w:type="dxa"/>
            <w:vAlign w:val="bottom"/>
            <w:tcBorders>
              <w:bottom w:val="single" w:sz="8" w:color="888B8D"/>
            </w:tcBorders>
            <w:gridSpan w:val="2"/>
          </w:tcPr>
          <w:p>
            <w:pPr>
              <w:ind w:left="20"/>
              <w:spacing w:after="0"/>
              <w:rPr>
                <w:sz w:val="20"/>
                <w:szCs w:val="20"/>
                <w:color w:val="auto"/>
              </w:rPr>
            </w:pPr>
            <w:r>
              <w:rPr>
                <w:rFonts w:ascii="Arial" w:cs="Arial" w:eastAsia="Arial" w:hAnsi="Arial"/>
                <w:sz w:val="14"/>
                <w:szCs w:val="14"/>
                <w:b w:val="1"/>
                <w:bCs w:val="1"/>
                <w:color w:val="auto"/>
              </w:rPr>
              <w:t>Gain (loss) on fair value hedges</w:t>
            </w:r>
          </w:p>
        </w:tc>
        <w:tc>
          <w:tcPr>
            <w:tcW w:w="920" w:type="dxa"/>
            <w:vAlign w:val="bottom"/>
            <w:tcBorders>
              <w:bottom w:val="single" w:sz="8" w:color="888B8D"/>
            </w:tcBorders>
          </w:tcPr>
          <w:p>
            <w:pPr>
              <w:spacing w:after="0"/>
              <w:rPr>
                <w:sz w:val="16"/>
                <w:szCs w:val="16"/>
                <w:color w:val="auto"/>
              </w:rPr>
            </w:pPr>
          </w:p>
        </w:tc>
        <w:tc>
          <w:tcPr>
            <w:tcW w:w="280" w:type="dxa"/>
            <w:vAlign w:val="bottom"/>
            <w:tcBorders>
              <w:bottom w:val="single" w:sz="8" w:color="888B8D"/>
            </w:tcBorders>
          </w:tcPr>
          <w:p>
            <w:pPr>
              <w:spacing w:after="0"/>
              <w:rPr>
                <w:sz w:val="16"/>
                <w:szCs w:val="16"/>
                <w:color w:val="auto"/>
              </w:rPr>
            </w:pPr>
          </w:p>
        </w:tc>
        <w:tc>
          <w:tcPr>
            <w:tcW w:w="920" w:type="dxa"/>
            <w:vAlign w:val="bottom"/>
            <w:tcBorders>
              <w:bottom w:val="single" w:sz="8" w:color="888B8D"/>
            </w:tcBorders>
          </w:tcPr>
          <w:p>
            <w:pPr>
              <w:spacing w:after="0"/>
              <w:rPr>
                <w:sz w:val="16"/>
                <w:szCs w:val="16"/>
                <w:color w:val="auto"/>
              </w:rPr>
            </w:pPr>
          </w:p>
        </w:tc>
        <w:tc>
          <w:tcPr>
            <w:tcW w:w="280" w:type="dxa"/>
            <w:vAlign w:val="bottom"/>
            <w:tcBorders>
              <w:bottom w:val="single" w:sz="8" w:color="888B8D"/>
            </w:tcBorders>
          </w:tcPr>
          <w:p>
            <w:pPr>
              <w:spacing w:after="0"/>
              <w:rPr>
                <w:sz w:val="16"/>
                <w:szCs w:val="16"/>
                <w:color w:val="auto"/>
              </w:rPr>
            </w:pPr>
          </w:p>
        </w:tc>
        <w:tc>
          <w:tcPr>
            <w:tcW w:w="920" w:type="dxa"/>
            <w:vAlign w:val="bottom"/>
            <w:tcBorders>
              <w:bottom w:val="single" w:sz="8" w:color="888B8D"/>
            </w:tcBorders>
          </w:tcPr>
          <w:p>
            <w:pPr>
              <w:spacing w:after="0"/>
              <w:rPr>
                <w:sz w:val="16"/>
                <w:szCs w:val="16"/>
                <w:color w:val="auto"/>
              </w:rPr>
            </w:pPr>
          </w:p>
        </w:tc>
        <w:tc>
          <w:tcPr>
            <w:tcW w:w="240" w:type="dxa"/>
            <w:vAlign w:val="bottom"/>
            <w:tcBorders>
              <w:bottom w:val="single" w:sz="8" w:color="888B8D"/>
            </w:tcBorders>
          </w:tcPr>
          <w:p>
            <w:pPr>
              <w:spacing w:after="0"/>
              <w:rPr>
                <w:sz w:val="16"/>
                <w:szCs w:val="16"/>
                <w:color w:val="auto"/>
              </w:rPr>
            </w:pPr>
          </w:p>
        </w:tc>
        <w:tc>
          <w:tcPr>
            <w:tcW w:w="1300" w:type="dxa"/>
            <w:vAlign w:val="bottom"/>
            <w:tcBorders>
              <w:bottom w:val="single" w:sz="8" w:color="888B8D"/>
            </w:tcBorders>
          </w:tcPr>
          <w:p>
            <w:pPr>
              <w:spacing w:after="0"/>
              <w:rPr>
                <w:sz w:val="16"/>
                <w:szCs w:val="16"/>
                <w:color w:val="auto"/>
              </w:rPr>
            </w:pPr>
          </w:p>
        </w:tc>
        <w:tc>
          <w:tcPr>
            <w:tcW w:w="300" w:type="dxa"/>
            <w:vAlign w:val="bottom"/>
            <w:tcBorders>
              <w:bottom w:val="single" w:sz="8" w:color="888B8D"/>
            </w:tcBorders>
          </w:tcPr>
          <w:p>
            <w:pPr>
              <w:spacing w:after="0"/>
              <w:rPr>
                <w:sz w:val="16"/>
                <w:szCs w:val="16"/>
                <w:color w:val="auto"/>
              </w:rPr>
            </w:pPr>
          </w:p>
        </w:tc>
        <w:tc>
          <w:tcPr>
            <w:tcW w:w="980" w:type="dxa"/>
            <w:vAlign w:val="bottom"/>
            <w:tcBorders>
              <w:bottom w:val="single" w:sz="8" w:color="888B8D"/>
            </w:tcBorders>
          </w:tcPr>
          <w:p>
            <w:pPr>
              <w:spacing w:after="0"/>
              <w:rPr>
                <w:sz w:val="16"/>
                <w:szCs w:val="16"/>
                <w:color w:val="auto"/>
              </w:rPr>
            </w:pPr>
          </w:p>
        </w:tc>
        <w:tc>
          <w:tcPr>
            <w:tcW w:w="220" w:type="dxa"/>
            <w:vAlign w:val="bottom"/>
            <w:tcBorders>
              <w:bottom w:val="single" w:sz="8" w:color="888B8D"/>
            </w:tcBorders>
          </w:tcPr>
          <w:p>
            <w:pPr>
              <w:spacing w:after="0"/>
              <w:rPr>
                <w:sz w:val="16"/>
                <w:szCs w:val="16"/>
                <w:color w:val="auto"/>
              </w:rPr>
            </w:pPr>
          </w:p>
        </w:tc>
        <w:tc>
          <w:tcPr>
            <w:tcW w:w="920" w:type="dxa"/>
            <w:vAlign w:val="bottom"/>
            <w:tcBorders>
              <w:bottom w:val="single" w:sz="8" w:color="888B8D"/>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960" w:type="dxa"/>
            <w:vAlign w:val="bottom"/>
            <w:tcBorders>
              <w:bottom w:val="single" w:sz="8" w:color="888B8D"/>
            </w:tcBorders>
            <w:gridSpan w:val="2"/>
          </w:tcPr>
          <w:p>
            <w:pPr>
              <w:ind w:left="140"/>
              <w:spacing w:after="0"/>
              <w:rPr>
                <w:sz w:val="20"/>
                <w:szCs w:val="20"/>
                <w:color w:val="auto"/>
              </w:rPr>
            </w:pPr>
            <w:r>
              <w:rPr>
                <w:rFonts w:ascii="Arial" w:cs="Arial" w:eastAsia="Arial" w:hAnsi="Arial"/>
                <w:sz w:val="14"/>
                <w:szCs w:val="14"/>
                <w:color w:val="auto"/>
              </w:rPr>
              <w:t>Interest rate swap agreements</w:t>
            </w:r>
          </w:p>
        </w:tc>
        <w:tc>
          <w:tcPr>
            <w:tcW w:w="920" w:type="dxa"/>
            <w:vAlign w:val="bottom"/>
            <w:tcBorders>
              <w:bottom w:val="single" w:sz="8" w:color="888B8D"/>
            </w:tcBorders>
          </w:tcPr>
          <w:p>
            <w:pPr>
              <w:spacing w:after="0"/>
              <w:rPr>
                <w:sz w:val="16"/>
                <w:szCs w:val="16"/>
                <w:color w:val="auto"/>
              </w:rPr>
            </w:pPr>
          </w:p>
        </w:tc>
        <w:tc>
          <w:tcPr>
            <w:tcW w:w="280" w:type="dxa"/>
            <w:vAlign w:val="bottom"/>
            <w:tcBorders>
              <w:bottom w:val="single" w:sz="8" w:color="888B8D"/>
            </w:tcBorders>
          </w:tcPr>
          <w:p>
            <w:pPr>
              <w:spacing w:after="0"/>
              <w:rPr>
                <w:sz w:val="16"/>
                <w:szCs w:val="16"/>
                <w:color w:val="auto"/>
              </w:rPr>
            </w:pPr>
          </w:p>
        </w:tc>
        <w:tc>
          <w:tcPr>
            <w:tcW w:w="920" w:type="dxa"/>
            <w:vAlign w:val="bottom"/>
            <w:tcBorders>
              <w:bottom w:val="single" w:sz="8" w:color="888B8D"/>
            </w:tcBorders>
          </w:tcPr>
          <w:p>
            <w:pPr>
              <w:spacing w:after="0"/>
              <w:rPr>
                <w:sz w:val="16"/>
                <w:szCs w:val="16"/>
                <w:color w:val="auto"/>
              </w:rPr>
            </w:pPr>
          </w:p>
        </w:tc>
        <w:tc>
          <w:tcPr>
            <w:tcW w:w="280" w:type="dxa"/>
            <w:vAlign w:val="bottom"/>
            <w:tcBorders>
              <w:bottom w:val="single" w:sz="8" w:color="888B8D"/>
            </w:tcBorders>
          </w:tcPr>
          <w:p>
            <w:pPr>
              <w:spacing w:after="0"/>
              <w:rPr>
                <w:sz w:val="16"/>
                <w:szCs w:val="16"/>
                <w:color w:val="auto"/>
              </w:rPr>
            </w:pPr>
          </w:p>
        </w:tc>
        <w:tc>
          <w:tcPr>
            <w:tcW w:w="920" w:type="dxa"/>
            <w:vAlign w:val="bottom"/>
            <w:tcBorders>
              <w:bottom w:val="single" w:sz="8" w:color="888B8D"/>
            </w:tcBorders>
          </w:tcPr>
          <w:p>
            <w:pPr>
              <w:spacing w:after="0"/>
              <w:rPr>
                <w:sz w:val="16"/>
                <w:szCs w:val="16"/>
                <w:color w:val="auto"/>
              </w:rPr>
            </w:pPr>
          </w:p>
        </w:tc>
        <w:tc>
          <w:tcPr>
            <w:tcW w:w="240" w:type="dxa"/>
            <w:vAlign w:val="bottom"/>
            <w:tcBorders>
              <w:bottom w:val="single" w:sz="8" w:color="888B8D"/>
            </w:tcBorders>
          </w:tcPr>
          <w:p>
            <w:pPr>
              <w:spacing w:after="0"/>
              <w:rPr>
                <w:sz w:val="16"/>
                <w:szCs w:val="16"/>
                <w:color w:val="auto"/>
              </w:rPr>
            </w:pPr>
          </w:p>
        </w:tc>
        <w:tc>
          <w:tcPr>
            <w:tcW w:w="1300" w:type="dxa"/>
            <w:vAlign w:val="bottom"/>
            <w:tcBorders>
              <w:bottom w:val="single" w:sz="8" w:color="888B8D"/>
            </w:tcBorders>
          </w:tcPr>
          <w:p>
            <w:pPr>
              <w:spacing w:after="0"/>
              <w:rPr>
                <w:sz w:val="16"/>
                <w:szCs w:val="16"/>
                <w:color w:val="auto"/>
              </w:rPr>
            </w:pPr>
          </w:p>
        </w:tc>
        <w:tc>
          <w:tcPr>
            <w:tcW w:w="300" w:type="dxa"/>
            <w:vAlign w:val="bottom"/>
            <w:tcBorders>
              <w:bottom w:val="single" w:sz="8" w:color="888B8D"/>
            </w:tcBorders>
          </w:tcPr>
          <w:p>
            <w:pPr>
              <w:spacing w:after="0"/>
              <w:rPr>
                <w:sz w:val="16"/>
                <w:szCs w:val="16"/>
                <w:color w:val="auto"/>
              </w:rPr>
            </w:pPr>
          </w:p>
        </w:tc>
        <w:tc>
          <w:tcPr>
            <w:tcW w:w="980" w:type="dxa"/>
            <w:vAlign w:val="bottom"/>
            <w:tcBorders>
              <w:bottom w:val="single" w:sz="8" w:color="888B8D"/>
            </w:tcBorders>
          </w:tcPr>
          <w:p>
            <w:pPr>
              <w:spacing w:after="0"/>
              <w:rPr>
                <w:sz w:val="16"/>
                <w:szCs w:val="16"/>
                <w:color w:val="auto"/>
              </w:rPr>
            </w:pPr>
          </w:p>
        </w:tc>
        <w:tc>
          <w:tcPr>
            <w:tcW w:w="220" w:type="dxa"/>
            <w:vAlign w:val="bottom"/>
            <w:tcBorders>
              <w:bottom w:val="single" w:sz="8" w:color="888B8D"/>
            </w:tcBorders>
          </w:tcPr>
          <w:p>
            <w:pPr>
              <w:spacing w:after="0"/>
              <w:rPr>
                <w:sz w:val="16"/>
                <w:szCs w:val="16"/>
                <w:color w:val="auto"/>
              </w:rPr>
            </w:pPr>
          </w:p>
        </w:tc>
        <w:tc>
          <w:tcPr>
            <w:tcW w:w="920" w:type="dxa"/>
            <w:vAlign w:val="bottom"/>
            <w:tcBorders>
              <w:bottom w:val="single" w:sz="8" w:color="888B8D"/>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960" w:type="dxa"/>
            <w:vAlign w:val="bottom"/>
            <w:tcBorders>
              <w:bottom w:val="single" w:sz="8" w:color="888B8D"/>
            </w:tcBorders>
            <w:gridSpan w:val="2"/>
          </w:tcPr>
          <w:p>
            <w:pPr>
              <w:ind w:left="240"/>
              <w:spacing w:after="0"/>
              <w:rPr>
                <w:sz w:val="20"/>
                <w:szCs w:val="20"/>
                <w:color w:val="auto"/>
              </w:rPr>
            </w:pPr>
            <w:r>
              <w:rPr>
                <w:rFonts w:ascii="Arial" w:cs="Arial" w:eastAsia="Arial" w:hAnsi="Arial"/>
                <w:sz w:val="14"/>
                <w:szCs w:val="14"/>
                <w:color w:val="auto"/>
              </w:rPr>
              <w:t>Hedged items</w:t>
            </w:r>
          </w:p>
        </w:tc>
        <w:tc>
          <w:tcPr>
            <w:tcW w:w="92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888B8D"/>
            </w:tcBorders>
          </w:tcPr>
          <w:p>
            <w:pPr>
              <w:spacing w:after="0"/>
              <w:rPr>
                <w:sz w:val="17"/>
                <w:szCs w:val="17"/>
                <w:color w:val="auto"/>
              </w:rPr>
            </w:pPr>
          </w:p>
        </w:tc>
        <w:tc>
          <w:tcPr>
            <w:tcW w:w="92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888B8D"/>
            </w:tcBorders>
          </w:tcPr>
          <w:p>
            <w:pPr>
              <w:spacing w:after="0"/>
              <w:rPr>
                <w:sz w:val="17"/>
                <w:szCs w:val="17"/>
                <w:color w:val="auto"/>
              </w:rPr>
            </w:pPr>
          </w:p>
        </w:tc>
        <w:tc>
          <w:tcPr>
            <w:tcW w:w="92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888B8D"/>
            </w:tcBorders>
          </w:tcPr>
          <w:p>
            <w:pPr>
              <w:spacing w:after="0"/>
              <w:rPr>
                <w:sz w:val="17"/>
                <w:szCs w:val="17"/>
                <w:color w:val="auto"/>
              </w:rPr>
            </w:pPr>
          </w:p>
        </w:tc>
        <w:tc>
          <w:tcPr>
            <w:tcW w:w="130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888B8D"/>
            </w:tcBorders>
          </w:tcPr>
          <w:p>
            <w:pPr>
              <w:spacing w:after="0"/>
              <w:rPr>
                <w:sz w:val="17"/>
                <w:szCs w:val="17"/>
                <w:color w:val="auto"/>
              </w:rPr>
            </w:pPr>
          </w:p>
        </w:tc>
        <w:tc>
          <w:tcPr>
            <w:tcW w:w="98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888B8D"/>
            </w:tcBorders>
          </w:tcPr>
          <w:p>
            <w:pPr>
              <w:spacing w:after="0"/>
              <w:rPr>
                <w:sz w:val="17"/>
                <w:szCs w:val="17"/>
                <w:color w:val="auto"/>
              </w:rPr>
            </w:pPr>
          </w:p>
        </w:tc>
        <w:tc>
          <w:tcPr>
            <w:tcW w:w="92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(121)</w:t>
            </w:r>
          </w:p>
        </w:tc>
        <w:tc>
          <w:tcPr>
            <w:tcW w:w="0" w:type="dxa"/>
            <w:vAlign w:val="bottom"/>
          </w:tcPr>
          <w:p>
            <w:pPr>
              <w:spacing w:after="0"/>
              <w:rPr>
                <w:sz w:val="1"/>
                <w:szCs w:val="1"/>
                <w:color w:val="auto"/>
              </w:rPr>
            </w:pPr>
          </w:p>
        </w:tc>
      </w:tr>
      <w:tr>
        <w:trPr>
          <w:trHeight w:val="196"/>
        </w:trPr>
        <w:tc>
          <w:tcPr>
            <w:tcW w:w="3960" w:type="dxa"/>
            <w:vAlign w:val="bottom"/>
            <w:tcBorders>
              <w:bottom w:val="single" w:sz="8" w:color="888B8D"/>
            </w:tcBorders>
            <w:gridSpan w:val="2"/>
          </w:tcPr>
          <w:p>
            <w:pPr>
              <w:ind w:left="240"/>
              <w:spacing w:after="0"/>
              <w:rPr>
                <w:sz w:val="20"/>
                <w:szCs w:val="20"/>
                <w:color w:val="auto"/>
              </w:rPr>
            </w:pPr>
            <w:r>
              <w:rPr>
                <w:rFonts w:ascii="Arial" w:cs="Arial" w:eastAsia="Arial" w:hAnsi="Arial"/>
                <w:sz w:val="14"/>
                <w:szCs w:val="14"/>
                <w:color w:val="auto"/>
              </w:rPr>
              <w:t>Derivatives designated as hedges</w:t>
            </w:r>
          </w:p>
        </w:tc>
        <w:tc>
          <w:tcPr>
            <w:tcW w:w="92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888B8D"/>
            </w:tcBorders>
          </w:tcPr>
          <w:p>
            <w:pPr>
              <w:spacing w:after="0"/>
              <w:rPr>
                <w:sz w:val="17"/>
                <w:szCs w:val="17"/>
                <w:color w:val="auto"/>
              </w:rPr>
            </w:pPr>
          </w:p>
        </w:tc>
        <w:tc>
          <w:tcPr>
            <w:tcW w:w="92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888B8D"/>
            </w:tcBorders>
          </w:tcPr>
          <w:p>
            <w:pPr>
              <w:spacing w:after="0"/>
              <w:rPr>
                <w:sz w:val="17"/>
                <w:szCs w:val="17"/>
                <w:color w:val="auto"/>
              </w:rPr>
            </w:pPr>
          </w:p>
        </w:tc>
        <w:tc>
          <w:tcPr>
            <w:tcW w:w="92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888B8D"/>
            </w:tcBorders>
          </w:tcPr>
          <w:p>
            <w:pPr>
              <w:spacing w:after="0"/>
              <w:rPr>
                <w:sz w:val="17"/>
                <w:szCs w:val="17"/>
                <w:color w:val="auto"/>
              </w:rPr>
            </w:pPr>
          </w:p>
        </w:tc>
        <w:tc>
          <w:tcPr>
            <w:tcW w:w="130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888B8D"/>
            </w:tcBorders>
          </w:tcPr>
          <w:p>
            <w:pPr>
              <w:spacing w:after="0"/>
              <w:rPr>
                <w:sz w:val="17"/>
                <w:szCs w:val="17"/>
                <w:color w:val="auto"/>
              </w:rPr>
            </w:pPr>
          </w:p>
        </w:tc>
        <w:tc>
          <w:tcPr>
            <w:tcW w:w="98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888B8D"/>
            </w:tcBorders>
          </w:tcPr>
          <w:p>
            <w:pPr>
              <w:spacing w:after="0"/>
              <w:rPr>
                <w:sz w:val="17"/>
                <w:szCs w:val="17"/>
                <w:color w:val="auto"/>
              </w:rPr>
            </w:pPr>
          </w:p>
        </w:tc>
        <w:tc>
          <w:tcPr>
            <w:tcW w:w="92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121</w:t>
            </w:r>
          </w:p>
        </w:tc>
        <w:tc>
          <w:tcPr>
            <w:tcW w:w="0" w:type="dxa"/>
            <w:vAlign w:val="bottom"/>
          </w:tcPr>
          <w:p>
            <w:pPr>
              <w:spacing w:after="0"/>
              <w:rPr>
                <w:sz w:val="1"/>
                <w:szCs w:val="1"/>
                <w:color w:val="auto"/>
              </w:rPr>
            </w:pPr>
          </w:p>
        </w:tc>
      </w:tr>
      <w:tr>
        <w:trPr>
          <w:trHeight w:val="150"/>
        </w:trPr>
        <w:tc>
          <w:tcPr>
            <w:tcW w:w="3960" w:type="dxa"/>
            <w:vAlign w:val="bottom"/>
            <w:gridSpan w:val="2"/>
          </w:tcPr>
          <w:p>
            <w:pPr>
              <w:ind w:left="20"/>
              <w:spacing w:after="0" w:line="151" w:lineRule="exact"/>
              <w:rPr>
                <w:sz w:val="20"/>
                <w:szCs w:val="20"/>
                <w:color w:val="auto"/>
              </w:rPr>
            </w:pPr>
            <w:r>
              <w:rPr>
                <w:rFonts w:ascii="Arial" w:cs="Arial" w:eastAsia="Arial" w:hAnsi="Arial"/>
                <w:sz w:val="14"/>
                <w:szCs w:val="14"/>
                <w:b w:val="1"/>
                <w:bCs w:val="1"/>
                <w:color w:val="auto"/>
              </w:rPr>
              <w:t>Gain (loss) on derivatives not designated as hedging</w:t>
            </w:r>
          </w:p>
        </w:tc>
        <w:tc>
          <w:tcPr>
            <w:tcW w:w="9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3960" w:type="dxa"/>
            <w:vAlign w:val="bottom"/>
            <w:tcBorders>
              <w:bottom w:val="single" w:sz="8" w:color="888B8D"/>
            </w:tcBorders>
            <w:gridSpan w:val="2"/>
          </w:tcPr>
          <w:p>
            <w:pPr>
              <w:ind w:left="20"/>
              <w:spacing w:after="0"/>
              <w:rPr>
                <w:sz w:val="20"/>
                <w:szCs w:val="20"/>
                <w:color w:val="auto"/>
              </w:rPr>
            </w:pPr>
            <w:r>
              <w:rPr>
                <w:rFonts w:ascii="Arial" w:cs="Arial" w:eastAsia="Arial" w:hAnsi="Arial"/>
                <w:sz w:val="14"/>
                <w:szCs w:val="14"/>
                <w:b w:val="1"/>
                <w:bCs w:val="1"/>
                <w:color w:val="auto"/>
              </w:rPr>
              <w:t>instruments</w:t>
            </w:r>
          </w:p>
        </w:tc>
        <w:tc>
          <w:tcPr>
            <w:tcW w:w="920" w:type="dxa"/>
            <w:vAlign w:val="bottom"/>
            <w:tcBorders>
              <w:bottom w:val="single" w:sz="8" w:color="888B8D"/>
            </w:tcBorders>
          </w:tcPr>
          <w:p>
            <w:pPr>
              <w:spacing w:after="0"/>
              <w:rPr>
                <w:sz w:val="16"/>
                <w:szCs w:val="16"/>
                <w:color w:val="auto"/>
              </w:rPr>
            </w:pPr>
          </w:p>
        </w:tc>
        <w:tc>
          <w:tcPr>
            <w:tcW w:w="280" w:type="dxa"/>
            <w:vAlign w:val="bottom"/>
            <w:tcBorders>
              <w:bottom w:val="single" w:sz="8" w:color="888B8D"/>
            </w:tcBorders>
          </w:tcPr>
          <w:p>
            <w:pPr>
              <w:spacing w:after="0"/>
              <w:rPr>
                <w:sz w:val="16"/>
                <w:szCs w:val="16"/>
                <w:color w:val="auto"/>
              </w:rPr>
            </w:pPr>
          </w:p>
        </w:tc>
        <w:tc>
          <w:tcPr>
            <w:tcW w:w="920" w:type="dxa"/>
            <w:vAlign w:val="bottom"/>
            <w:tcBorders>
              <w:bottom w:val="single" w:sz="8" w:color="888B8D"/>
            </w:tcBorders>
          </w:tcPr>
          <w:p>
            <w:pPr>
              <w:spacing w:after="0"/>
              <w:rPr>
                <w:sz w:val="16"/>
                <w:szCs w:val="16"/>
                <w:color w:val="auto"/>
              </w:rPr>
            </w:pPr>
          </w:p>
        </w:tc>
        <w:tc>
          <w:tcPr>
            <w:tcW w:w="280" w:type="dxa"/>
            <w:vAlign w:val="bottom"/>
            <w:tcBorders>
              <w:bottom w:val="single" w:sz="8" w:color="888B8D"/>
            </w:tcBorders>
          </w:tcPr>
          <w:p>
            <w:pPr>
              <w:spacing w:after="0"/>
              <w:rPr>
                <w:sz w:val="16"/>
                <w:szCs w:val="16"/>
                <w:color w:val="auto"/>
              </w:rPr>
            </w:pPr>
          </w:p>
        </w:tc>
        <w:tc>
          <w:tcPr>
            <w:tcW w:w="920" w:type="dxa"/>
            <w:vAlign w:val="bottom"/>
            <w:tcBorders>
              <w:bottom w:val="single" w:sz="8" w:color="888B8D"/>
            </w:tcBorders>
          </w:tcPr>
          <w:p>
            <w:pPr>
              <w:spacing w:after="0"/>
              <w:rPr>
                <w:sz w:val="16"/>
                <w:szCs w:val="16"/>
                <w:color w:val="auto"/>
              </w:rPr>
            </w:pPr>
          </w:p>
        </w:tc>
        <w:tc>
          <w:tcPr>
            <w:tcW w:w="240" w:type="dxa"/>
            <w:vAlign w:val="bottom"/>
            <w:tcBorders>
              <w:bottom w:val="single" w:sz="8" w:color="888B8D"/>
            </w:tcBorders>
          </w:tcPr>
          <w:p>
            <w:pPr>
              <w:spacing w:after="0"/>
              <w:rPr>
                <w:sz w:val="16"/>
                <w:szCs w:val="16"/>
                <w:color w:val="auto"/>
              </w:rPr>
            </w:pPr>
          </w:p>
        </w:tc>
        <w:tc>
          <w:tcPr>
            <w:tcW w:w="1300" w:type="dxa"/>
            <w:vAlign w:val="bottom"/>
            <w:tcBorders>
              <w:bottom w:val="single" w:sz="8" w:color="888B8D"/>
            </w:tcBorders>
          </w:tcPr>
          <w:p>
            <w:pPr>
              <w:spacing w:after="0"/>
              <w:rPr>
                <w:sz w:val="16"/>
                <w:szCs w:val="16"/>
                <w:color w:val="auto"/>
              </w:rPr>
            </w:pPr>
          </w:p>
        </w:tc>
        <w:tc>
          <w:tcPr>
            <w:tcW w:w="300" w:type="dxa"/>
            <w:vAlign w:val="bottom"/>
            <w:tcBorders>
              <w:bottom w:val="single" w:sz="8" w:color="888B8D"/>
            </w:tcBorders>
          </w:tcPr>
          <w:p>
            <w:pPr>
              <w:spacing w:after="0"/>
              <w:rPr>
                <w:sz w:val="16"/>
                <w:szCs w:val="16"/>
                <w:color w:val="auto"/>
              </w:rPr>
            </w:pPr>
          </w:p>
        </w:tc>
        <w:tc>
          <w:tcPr>
            <w:tcW w:w="980" w:type="dxa"/>
            <w:vAlign w:val="bottom"/>
            <w:tcBorders>
              <w:bottom w:val="single" w:sz="8" w:color="888B8D"/>
            </w:tcBorders>
          </w:tcPr>
          <w:p>
            <w:pPr>
              <w:spacing w:after="0"/>
              <w:rPr>
                <w:sz w:val="16"/>
                <w:szCs w:val="16"/>
                <w:color w:val="auto"/>
              </w:rPr>
            </w:pPr>
          </w:p>
        </w:tc>
        <w:tc>
          <w:tcPr>
            <w:tcW w:w="220" w:type="dxa"/>
            <w:vAlign w:val="bottom"/>
            <w:tcBorders>
              <w:bottom w:val="single" w:sz="8" w:color="888B8D"/>
            </w:tcBorders>
          </w:tcPr>
          <w:p>
            <w:pPr>
              <w:spacing w:after="0"/>
              <w:rPr>
                <w:sz w:val="16"/>
                <w:szCs w:val="16"/>
                <w:color w:val="auto"/>
              </w:rPr>
            </w:pPr>
          </w:p>
        </w:tc>
        <w:tc>
          <w:tcPr>
            <w:tcW w:w="920" w:type="dxa"/>
            <w:vAlign w:val="bottom"/>
            <w:tcBorders>
              <w:bottom w:val="single" w:sz="8" w:color="888B8D"/>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960" w:type="dxa"/>
            <w:vAlign w:val="bottom"/>
            <w:tcBorders>
              <w:bottom w:val="single" w:sz="8" w:color="D7282F"/>
            </w:tcBorders>
            <w:gridSpan w:val="2"/>
          </w:tcPr>
          <w:p>
            <w:pPr>
              <w:ind w:left="140"/>
              <w:spacing w:after="0"/>
              <w:rPr>
                <w:sz w:val="20"/>
                <w:szCs w:val="20"/>
                <w:color w:val="auto"/>
              </w:rPr>
            </w:pPr>
            <w:r>
              <w:rPr>
                <w:rFonts w:ascii="Arial" w:cs="Arial" w:eastAsia="Arial" w:hAnsi="Arial"/>
                <w:sz w:val="14"/>
                <w:szCs w:val="14"/>
                <w:color w:val="auto"/>
              </w:rPr>
              <w:t>Foreign currency exchange contracts</w:t>
            </w:r>
          </w:p>
        </w:tc>
        <w:tc>
          <w:tcPr>
            <w:tcW w:w="92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D7282F"/>
            </w:tcBorders>
          </w:tcPr>
          <w:p>
            <w:pPr>
              <w:spacing w:after="0"/>
              <w:rPr>
                <w:sz w:val="16"/>
                <w:szCs w:val="16"/>
                <w:color w:val="auto"/>
              </w:rPr>
            </w:pPr>
          </w:p>
        </w:tc>
        <w:tc>
          <w:tcPr>
            <w:tcW w:w="92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D7282F"/>
            </w:tcBorders>
          </w:tcPr>
          <w:p>
            <w:pPr>
              <w:spacing w:after="0"/>
              <w:rPr>
                <w:sz w:val="16"/>
                <w:szCs w:val="16"/>
                <w:color w:val="auto"/>
              </w:rPr>
            </w:pPr>
          </w:p>
        </w:tc>
        <w:tc>
          <w:tcPr>
            <w:tcW w:w="92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D7282F"/>
            </w:tcBorders>
          </w:tcPr>
          <w:p>
            <w:pPr>
              <w:spacing w:after="0"/>
              <w:rPr>
                <w:sz w:val="16"/>
                <w:szCs w:val="16"/>
                <w:color w:val="auto"/>
              </w:rPr>
            </w:pPr>
          </w:p>
        </w:tc>
        <w:tc>
          <w:tcPr>
            <w:tcW w:w="13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D7282F"/>
            </w:tcBorders>
          </w:tcPr>
          <w:p>
            <w:pPr>
              <w:spacing w:after="0"/>
              <w:rPr>
                <w:sz w:val="16"/>
                <w:szCs w:val="16"/>
                <w:color w:val="auto"/>
              </w:rPr>
            </w:pPr>
          </w:p>
        </w:tc>
        <w:tc>
          <w:tcPr>
            <w:tcW w:w="9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(116)</w:t>
            </w:r>
          </w:p>
        </w:tc>
        <w:tc>
          <w:tcPr>
            <w:tcW w:w="220" w:type="dxa"/>
            <w:vAlign w:val="bottom"/>
            <w:tcBorders>
              <w:bottom w:val="single" w:sz="8" w:color="D7282F"/>
            </w:tcBorders>
          </w:tcPr>
          <w:p>
            <w:pPr>
              <w:spacing w:after="0"/>
              <w:rPr>
                <w:sz w:val="16"/>
                <w:szCs w:val="16"/>
                <w:color w:val="auto"/>
              </w:rPr>
            </w:pPr>
          </w:p>
        </w:tc>
        <w:tc>
          <w:tcPr>
            <w:tcW w:w="9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D7282F"/>
        </w:rPr>
        <w:t>84</w:t>
      </w:r>
      <w:r>
        <w:rPr>
          <w:sz w:val="20"/>
          <w:szCs w:val="20"/>
          <w:color w:val="auto"/>
        </w:rPr>
        <w:tab/>
      </w: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86" w:name="page87"/>
    <w:bookmarkEnd w:id="86"/>
    <w:p>
      <w:pPr>
        <w:ind w:left="20"/>
        <w:spacing w:after="0"/>
        <w:tabs>
          <w:tab w:leader="none" w:pos="784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FINANCIAL STATEMENTS AND SUPPLEMENTARY DATA</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820" w:type="dxa"/>
            <w:vAlign w:val="bottom"/>
          </w:tcPr>
          <w:p>
            <w:pPr>
              <w:spacing w:after="0"/>
              <w:rPr>
                <w:sz w:val="17"/>
                <w:szCs w:val="17"/>
                <w:color w:val="auto"/>
              </w:rPr>
            </w:pPr>
          </w:p>
        </w:tc>
        <w:tc>
          <w:tcPr>
            <w:tcW w:w="140" w:type="dxa"/>
            <w:vAlign w:val="bottom"/>
            <w:tcBorders>
              <w:bottom w:val="single" w:sz="8" w:color="D7282F"/>
            </w:tcBorders>
          </w:tcPr>
          <w:p>
            <w:pPr>
              <w:spacing w:after="0"/>
              <w:rPr>
                <w:sz w:val="17"/>
                <w:szCs w:val="17"/>
                <w:color w:val="auto"/>
              </w:rPr>
            </w:pPr>
          </w:p>
        </w:tc>
        <w:tc>
          <w:tcPr>
            <w:tcW w:w="920" w:type="dxa"/>
            <w:vAlign w:val="bottom"/>
            <w:tcBorders>
              <w:bottom w:val="single" w:sz="8" w:color="D7282F"/>
            </w:tcBorders>
          </w:tcPr>
          <w:p>
            <w:pPr>
              <w:spacing w:after="0"/>
              <w:rPr>
                <w:sz w:val="17"/>
                <w:szCs w:val="17"/>
                <w:color w:val="auto"/>
              </w:rPr>
            </w:pPr>
          </w:p>
        </w:tc>
        <w:tc>
          <w:tcPr>
            <w:tcW w:w="28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tcPr>
          <w:p>
            <w:pPr>
              <w:spacing w:after="0"/>
              <w:rPr>
                <w:sz w:val="17"/>
                <w:szCs w:val="17"/>
                <w:color w:val="auto"/>
              </w:rPr>
            </w:pPr>
          </w:p>
        </w:tc>
        <w:tc>
          <w:tcPr>
            <w:tcW w:w="260" w:type="dxa"/>
            <w:vAlign w:val="bottom"/>
            <w:tcBorders>
              <w:bottom w:val="single" w:sz="8" w:color="D7282F"/>
            </w:tcBorders>
          </w:tcPr>
          <w:p>
            <w:pPr>
              <w:spacing w:after="0"/>
              <w:rPr>
                <w:sz w:val="17"/>
                <w:szCs w:val="17"/>
                <w:color w:val="auto"/>
              </w:rPr>
            </w:pPr>
          </w:p>
        </w:tc>
        <w:tc>
          <w:tcPr>
            <w:tcW w:w="2480" w:type="dxa"/>
            <w:vAlign w:val="bottom"/>
            <w:tcBorders>
              <w:bottom w:val="single" w:sz="8" w:color="D7282F"/>
            </w:tcBorders>
            <w:gridSpan w:val="3"/>
          </w:tcPr>
          <w:p>
            <w:pPr>
              <w:jc w:val="right"/>
              <w:ind w:right="168"/>
              <w:spacing w:after="0"/>
              <w:rPr>
                <w:sz w:val="20"/>
                <w:szCs w:val="20"/>
                <w:color w:val="auto"/>
              </w:rPr>
            </w:pPr>
            <w:r>
              <w:rPr>
                <w:rFonts w:ascii="Arial" w:cs="Arial" w:eastAsia="Arial" w:hAnsi="Arial"/>
                <w:sz w:val="14"/>
                <w:szCs w:val="14"/>
                <w:b w:val="1"/>
                <w:bCs w:val="1"/>
                <w:color w:val="auto"/>
              </w:rPr>
              <w:t>Year Ended December 31, 2022</w:t>
            </w:r>
          </w:p>
        </w:tc>
        <w:tc>
          <w:tcPr>
            <w:tcW w:w="280" w:type="dxa"/>
            <w:vAlign w:val="bottom"/>
            <w:tcBorders>
              <w:bottom w:val="single" w:sz="8" w:color="D7282F"/>
            </w:tcBorders>
          </w:tcPr>
          <w:p>
            <w:pPr>
              <w:spacing w:after="0"/>
              <w:rPr>
                <w:sz w:val="17"/>
                <w:szCs w:val="17"/>
                <w:color w:val="auto"/>
              </w:rPr>
            </w:pPr>
          </w:p>
        </w:tc>
        <w:tc>
          <w:tcPr>
            <w:tcW w:w="980" w:type="dxa"/>
            <w:vAlign w:val="bottom"/>
            <w:tcBorders>
              <w:bottom w:val="single" w:sz="8" w:color="D7282F"/>
            </w:tcBorders>
          </w:tcPr>
          <w:p>
            <w:pPr>
              <w:spacing w:after="0"/>
              <w:rPr>
                <w:sz w:val="17"/>
                <w:szCs w:val="17"/>
                <w:color w:val="auto"/>
              </w:rPr>
            </w:pPr>
          </w:p>
        </w:tc>
        <w:tc>
          <w:tcPr>
            <w:tcW w:w="220" w:type="dxa"/>
            <w:vAlign w:val="bottom"/>
            <w:tcBorders>
              <w:bottom w:val="single" w:sz="8" w:color="D7282F"/>
            </w:tcBorders>
          </w:tcPr>
          <w:p>
            <w:pPr>
              <w:spacing w:after="0"/>
              <w:rPr>
                <w:sz w:val="17"/>
                <w:szCs w:val="17"/>
                <w:color w:val="auto"/>
              </w:rPr>
            </w:pPr>
          </w:p>
        </w:tc>
        <w:tc>
          <w:tcPr>
            <w:tcW w:w="920" w:type="dxa"/>
            <w:vAlign w:val="bottom"/>
            <w:tcBorders>
              <w:bottom w:val="single" w:sz="8" w:color="D7282F"/>
            </w:tcBorders>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3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vMerge w:val="restart"/>
          </w:tcPr>
          <w:p>
            <w:pPr>
              <w:jc w:val="center"/>
              <w:ind w:right="168"/>
              <w:spacing w:after="0"/>
              <w:rPr>
                <w:sz w:val="20"/>
                <w:szCs w:val="20"/>
                <w:color w:val="auto"/>
              </w:rPr>
            </w:pPr>
            <w:r>
              <w:rPr>
                <w:rFonts w:ascii="Arial" w:cs="Arial" w:eastAsia="Arial" w:hAnsi="Arial"/>
                <w:sz w:val="14"/>
                <w:szCs w:val="14"/>
                <w:b w:val="1"/>
                <w:bCs w:val="1"/>
                <w:color w:val="auto"/>
              </w:rPr>
              <w:t>Cost of</w:t>
            </w:r>
          </w:p>
        </w:tc>
        <w:tc>
          <w:tcPr>
            <w:tcW w:w="260" w:type="dxa"/>
            <w:vAlign w:val="bottom"/>
          </w:tcPr>
          <w:p>
            <w:pPr>
              <w:spacing w:after="0"/>
              <w:rPr>
                <w:sz w:val="16"/>
                <w:szCs w:val="16"/>
                <w:color w:val="auto"/>
              </w:rPr>
            </w:pPr>
          </w:p>
        </w:tc>
        <w:tc>
          <w:tcPr>
            <w:tcW w:w="920" w:type="dxa"/>
            <w:vAlign w:val="bottom"/>
            <w:vMerge w:val="restart"/>
          </w:tcPr>
          <w:p>
            <w:pPr>
              <w:jc w:val="center"/>
              <w:ind w:right="148"/>
              <w:spacing w:after="0"/>
              <w:rPr>
                <w:sz w:val="20"/>
                <w:szCs w:val="20"/>
                <w:color w:val="auto"/>
              </w:rPr>
            </w:pPr>
            <w:r>
              <w:rPr>
                <w:rFonts w:ascii="Arial" w:cs="Arial" w:eastAsia="Arial" w:hAnsi="Arial"/>
                <w:sz w:val="14"/>
                <w:szCs w:val="14"/>
                <w:b w:val="1"/>
                <w:bCs w:val="1"/>
                <w:color w:val="auto"/>
              </w:rPr>
              <w:t>Cost of</w:t>
            </w:r>
          </w:p>
        </w:tc>
        <w:tc>
          <w:tcPr>
            <w:tcW w:w="240" w:type="dxa"/>
            <w:vAlign w:val="bottom"/>
          </w:tcPr>
          <w:p>
            <w:pPr>
              <w:spacing w:after="0"/>
              <w:rPr>
                <w:sz w:val="16"/>
                <w:szCs w:val="16"/>
                <w:color w:val="auto"/>
              </w:rPr>
            </w:pPr>
          </w:p>
        </w:tc>
        <w:tc>
          <w:tcPr>
            <w:tcW w:w="1320" w:type="dxa"/>
            <w:vAlign w:val="bottom"/>
          </w:tcPr>
          <w:p>
            <w:pPr>
              <w:jc w:val="center"/>
              <w:ind w:right="128"/>
              <w:spacing w:after="0"/>
              <w:rPr>
                <w:sz w:val="20"/>
                <w:szCs w:val="20"/>
                <w:color w:val="auto"/>
              </w:rPr>
            </w:pPr>
            <w:r>
              <w:rPr>
                <w:rFonts w:ascii="Arial" w:cs="Arial" w:eastAsia="Arial" w:hAnsi="Arial"/>
                <w:sz w:val="14"/>
                <w:szCs w:val="14"/>
                <w:b w:val="1"/>
                <w:bCs w:val="1"/>
                <w:color w:val="auto"/>
              </w:rPr>
              <w:t>Selling, General</w:t>
            </w:r>
          </w:p>
        </w:tc>
        <w:tc>
          <w:tcPr>
            <w:tcW w:w="280" w:type="dxa"/>
            <w:vAlign w:val="bottom"/>
          </w:tcPr>
          <w:p>
            <w:pPr>
              <w:spacing w:after="0"/>
              <w:rPr>
                <w:sz w:val="16"/>
                <w:szCs w:val="16"/>
                <w:color w:val="auto"/>
              </w:rPr>
            </w:pPr>
          </w:p>
        </w:tc>
        <w:tc>
          <w:tcPr>
            <w:tcW w:w="980" w:type="dxa"/>
            <w:vAlign w:val="bottom"/>
            <w:vMerge w:val="restart"/>
          </w:tcPr>
          <w:p>
            <w:pPr>
              <w:jc w:val="right"/>
              <w:ind w:right="368"/>
              <w:spacing w:after="0"/>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6"/>
                <w:szCs w:val="16"/>
                <w:color w:val="auto"/>
              </w:rPr>
            </w:pPr>
          </w:p>
        </w:tc>
        <w:tc>
          <w:tcPr>
            <w:tcW w:w="920" w:type="dxa"/>
            <w:vAlign w:val="bottom"/>
          </w:tcPr>
          <w:p>
            <w:pPr>
              <w:jc w:val="center"/>
              <w:ind w:right="28"/>
              <w:spacing w:after="0"/>
              <w:rPr>
                <w:sz w:val="20"/>
                <w:szCs w:val="20"/>
                <w:color w:val="auto"/>
              </w:rPr>
            </w:pPr>
            <w:r>
              <w:rPr>
                <w:rFonts w:ascii="Arial" w:cs="Arial" w:eastAsia="Arial" w:hAnsi="Arial"/>
                <w:sz w:val="14"/>
                <w:szCs w:val="14"/>
                <w:b w:val="1"/>
                <w:bCs w:val="1"/>
                <w:color w:val="auto"/>
              </w:rPr>
              <w:t>Interest and</w:t>
            </w:r>
          </w:p>
        </w:tc>
        <w:tc>
          <w:tcPr>
            <w:tcW w:w="0" w:type="dxa"/>
            <w:vAlign w:val="bottom"/>
          </w:tcPr>
          <w:p>
            <w:pPr>
              <w:spacing w:after="0"/>
              <w:rPr>
                <w:sz w:val="1"/>
                <w:szCs w:val="1"/>
                <w:color w:val="auto"/>
              </w:rPr>
            </w:pPr>
          </w:p>
        </w:tc>
      </w:tr>
      <w:tr>
        <w:trPr>
          <w:trHeight w:val="144"/>
        </w:trPr>
        <w:tc>
          <w:tcPr>
            <w:tcW w:w="3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tcPr>
          <w:p>
            <w:pPr>
              <w:jc w:val="center"/>
              <w:ind w:right="148"/>
              <w:spacing w:after="0" w:line="145" w:lineRule="exact"/>
              <w:rPr>
                <w:sz w:val="20"/>
                <w:szCs w:val="20"/>
                <w:color w:val="auto"/>
              </w:rPr>
            </w:pPr>
            <w:r>
              <w:rPr>
                <w:rFonts w:ascii="Arial" w:cs="Arial" w:eastAsia="Arial" w:hAnsi="Arial"/>
                <w:sz w:val="14"/>
                <w:szCs w:val="14"/>
                <w:b w:val="1"/>
                <w:bCs w:val="1"/>
                <w:color w:val="auto"/>
              </w:rPr>
              <w:t>and</w:t>
            </w:r>
          </w:p>
        </w:tc>
        <w:tc>
          <w:tcPr>
            <w:tcW w:w="28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center"/>
              <w:ind w:right="28"/>
              <w:spacing w:after="0" w:line="145"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48"/>
        </w:trPr>
        <w:tc>
          <w:tcPr>
            <w:tcW w:w="3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Net Sales</w:t>
            </w:r>
          </w:p>
        </w:tc>
        <w:tc>
          <w:tcPr>
            <w:tcW w:w="280" w:type="dxa"/>
            <w:vAlign w:val="bottom"/>
          </w:tcPr>
          <w:p>
            <w:pPr>
              <w:spacing w:after="0"/>
              <w:rPr>
                <w:sz w:val="12"/>
                <w:szCs w:val="12"/>
                <w:color w:val="auto"/>
              </w:rPr>
            </w:pPr>
          </w:p>
        </w:tc>
        <w:tc>
          <w:tcPr>
            <w:tcW w:w="940" w:type="dxa"/>
            <w:vAlign w:val="bottom"/>
          </w:tcPr>
          <w:p>
            <w:pPr>
              <w:jc w:val="center"/>
              <w:ind w:right="168"/>
              <w:spacing w:after="0" w:line="149" w:lineRule="exact"/>
              <w:rPr>
                <w:sz w:val="20"/>
                <w:szCs w:val="20"/>
                <w:color w:val="auto"/>
              </w:rPr>
            </w:pPr>
            <w:r>
              <w:rPr>
                <w:rFonts w:ascii="Arial" w:cs="Arial" w:eastAsia="Arial" w:hAnsi="Arial"/>
                <w:sz w:val="14"/>
                <w:szCs w:val="14"/>
                <w:b w:val="1"/>
                <w:bCs w:val="1"/>
                <w:color w:val="auto"/>
              </w:rPr>
              <w:t>Products</w:t>
            </w:r>
          </w:p>
        </w:tc>
        <w:tc>
          <w:tcPr>
            <w:tcW w:w="260" w:type="dxa"/>
            <w:vAlign w:val="bottom"/>
          </w:tcPr>
          <w:p>
            <w:pPr>
              <w:spacing w:after="0"/>
              <w:rPr>
                <w:sz w:val="12"/>
                <w:szCs w:val="12"/>
                <w:color w:val="auto"/>
              </w:rPr>
            </w:pPr>
          </w:p>
        </w:tc>
        <w:tc>
          <w:tcPr>
            <w:tcW w:w="920" w:type="dxa"/>
            <w:vAlign w:val="bottom"/>
          </w:tcPr>
          <w:p>
            <w:pPr>
              <w:jc w:val="center"/>
              <w:ind w:right="168"/>
              <w:spacing w:after="0" w:line="149" w:lineRule="exact"/>
              <w:rPr>
                <w:sz w:val="20"/>
                <w:szCs w:val="20"/>
                <w:color w:val="auto"/>
              </w:rPr>
            </w:pPr>
            <w:r>
              <w:rPr>
                <w:rFonts w:ascii="Arial" w:cs="Arial" w:eastAsia="Arial" w:hAnsi="Arial"/>
                <w:sz w:val="14"/>
                <w:szCs w:val="14"/>
                <w:b w:val="1"/>
                <w:bCs w:val="1"/>
                <w:color w:val="auto"/>
              </w:rPr>
              <w:t>Services</w:t>
            </w:r>
          </w:p>
        </w:tc>
        <w:tc>
          <w:tcPr>
            <w:tcW w:w="240" w:type="dxa"/>
            <w:vAlign w:val="bottom"/>
          </w:tcPr>
          <w:p>
            <w:pPr>
              <w:spacing w:after="0"/>
              <w:rPr>
                <w:sz w:val="12"/>
                <w:szCs w:val="12"/>
                <w:color w:val="auto"/>
              </w:rPr>
            </w:pPr>
          </w:p>
        </w:tc>
        <w:tc>
          <w:tcPr>
            <w:tcW w:w="1320" w:type="dxa"/>
            <w:vAlign w:val="bottom"/>
          </w:tcPr>
          <w:p>
            <w:pPr>
              <w:jc w:val="center"/>
              <w:ind w:right="128"/>
              <w:spacing w:after="0" w:line="149" w:lineRule="exact"/>
              <w:rPr>
                <w:sz w:val="20"/>
                <w:szCs w:val="20"/>
                <w:color w:val="auto"/>
              </w:rPr>
            </w:pPr>
            <w:r>
              <w:rPr>
                <w:rFonts w:ascii="Arial" w:cs="Arial" w:eastAsia="Arial" w:hAnsi="Arial"/>
                <w:sz w:val="14"/>
                <w:szCs w:val="14"/>
                <w:b w:val="1"/>
                <w:bCs w:val="1"/>
                <w:color w:val="auto"/>
              </w:rPr>
              <w:t>Administrative</w:t>
            </w:r>
          </w:p>
        </w:tc>
        <w:tc>
          <w:tcPr>
            <w:tcW w:w="280" w:type="dxa"/>
            <w:vAlign w:val="bottom"/>
          </w:tcPr>
          <w:p>
            <w:pPr>
              <w:spacing w:after="0"/>
              <w:rPr>
                <w:sz w:val="12"/>
                <w:szCs w:val="12"/>
                <w:color w:val="auto"/>
              </w:rPr>
            </w:pPr>
          </w:p>
        </w:tc>
        <w:tc>
          <w:tcPr>
            <w:tcW w:w="980" w:type="dxa"/>
            <w:vAlign w:val="bottom"/>
          </w:tcPr>
          <w:p>
            <w:pPr>
              <w:jc w:val="right"/>
              <w:ind w:right="248"/>
              <w:spacing w:after="0" w:line="149" w:lineRule="exact"/>
              <w:rPr>
                <w:sz w:val="20"/>
                <w:szCs w:val="20"/>
                <w:color w:val="auto"/>
              </w:rPr>
            </w:pPr>
            <w:r>
              <w:rPr>
                <w:rFonts w:ascii="Arial" w:cs="Arial" w:eastAsia="Arial" w:hAnsi="Arial"/>
                <w:sz w:val="14"/>
                <w:szCs w:val="14"/>
                <w:b w:val="1"/>
                <w:bCs w:val="1"/>
                <w:color w:val="auto"/>
              </w:rPr>
              <w:t>(Income)</w:t>
            </w:r>
          </w:p>
        </w:tc>
        <w:tc>
          <w:tcPr>
            <w:tcW w:w="220" w:type="dxa"/>
            <w:vAlign w:val="bottom"/>
          </w:tcPr>
          <w:p>
            <w:pPr>
              <w:spacing w:after="0"/>
              <w:rPr>
                <w:sz w:val="12"/>
                <w:szCs w:val="12"/>
                <w:color w:val="auto"/>
              </w:rPr>
            </w:pPr>
          </w:p>
        </w:tc>
        <w:tc>
          <w:tcPr>
            <w:tcW w:w="92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rPr>
              <w:t>Financial</w:t>
            </w:r>
          </w:p>
        </w:tc>
        <w:tc>
          <w:tcPr>
            <w:tcW w:w="0" w:type="dxa"/>
            <w:vAlign w:val="bottom"/>
          </w:tcPr>
          <w:p>
            <w:pPr>
              <w:spacing w:after="0"/>
              <w:rPr>
                <w:sz w:val="1"/>
                <w:szCs w:val="1"/>
                <w:color w:val="auto"/>
              </w:rPr>
            </w:pPr>
          </w:p>
        </w:tc>
      </w:tr>
      <w:tr>
        <w:trPr>
          <w:trHeight w:val="189"/>
        </w:trPr>
        <w:tc>
          <w:tcPr>
            <w:tcW w:w="3820" w:type="dxa"/>
            <w:vAlign w:val="bottom"/>
            <w:tcBorders>
              <w:bottom w:val="single" w:sz="8" w:color="D7282F"/>
            </w:tcBorders>
          </w:tcPr>
          <w:p>
            <w:pPr>
              <w:spacing w:after="0"/>
              <w:rPr>
                <w:sz w:val="16"/>
                <w:szCs w:val="16"/>
                <w:color w:val="auto"/>
              </w:rPr>
            </w:pPr>
          </w:p>
        </w:tc>
        <w:tc>
          <w:tcPr>
            <w:tcW w:w="140" w:type="dxa"/>
            <w:vAlign w:val="bottom"/>
            <w:tcBorders>
              <w:bottom w:val="single" w:sz="8" w:color="D7282F"/>
            </w:tcBorders>
          </w:tcPr>
          <w:p>
            <w:pPr>
              <w:spacing w:after="0"/>
              <w:rPr>
                <w:sz w:val="16"/>
                <w:szCs w:val="16"/>
                <w:color w:val="auto"/>
              </w:rPr>
            </w:pPr>
          </w:p>
        </w:tc>
        <w:tc>
          <w:tcPr>
            <w:tcW w:w="920" w:type="dxa"/>
            <w:vAlign w:val="bottom"/>
            <w:tcBorders>
              <w:bottom w:val="single" w:sz="8" w:color="D7282F"/>
            </w:tcBorders>
            <w:vMerge w:val="continue"/>
          </w:tcPr>
          <w:p>
            <w:pPr>
              <w:spacing w:after="0"/>
              <w:rPr>
                <w:sz w:val="16"/>
                <w:szCs w:val="16"/>
                <w:color w:val="auto"/>
              </w:rPr>
            </w:pPr>
          </w:p>
        </w:tc>
        <w:tc>
          <w:tcPr>
            <w:tcW w:w="280" w:type="dxa"/>
            <w:vAlign w:val="bottom"/>
            <w:tcBorders>
              <w:bottom w:val="single" w:sz="8" w:color="D7282F"/>
            </w:tcBorders>
          </w:tcPr>
          <w:p>
            <w:pPr>
              <w:spacing w:after="0"/>
              <w:rPr>
                <w:sz w:val="16"/>
                <w:szCs w:val="16"/>
                <w:color w:val="auto"/>
              </w:rPr>
            </w:pPr>
          </w:p>
        </w:tc>
        <w:tc>
          <w:tcPr>
            <w:tcW w:w="940" w:type="dxa"/>
            <w:vAlign w:val="bottom"/>
            <w:tcBorders>
              <w:bottom w:val="single" w:sz="8" w:color="D7282F"/>
            </w:tcBorders>
          </w:tcPr>
          <w:p>
            <w:pPr>
              <w:jc w:val="center"/>
              <w:ind w:right="188"/>
              <w:spacing w:after="0"/>
              <w:rPr>
                <w:sz w:val="20"/>
                <w:szCs w:val="20"/>
                <w:color w:val="auto"/>
              </w:rPr>
            </w:pPr>
            <w:r>
              <w:rPr>
                <w:rFonts w:ascii="Arial" w:cs="Arial" w:eastAsia="Arial" w:hAnsi="Arial"/>
                <w:sz w:val="14"/>
                <w:szCs w:val="14"/>
                <w:b w:val="1"/>
                <w:bCs w:val="1"/>
                <w:color w:val="auto"/>
              </w:rPr>
              <w:t>Sold</w:t>
            </w:r>
          </w:p>
        </w:tc>
        <w:tc>
          <w:tcPr>
            <w:tcW w:w="260" w:type="dxa"/>
            <w:vAlign w:val="bottom"/>
            <w:tcBorders>
              <w:bottom w:val="single" w:sz="8" w:color="D7282F"/>
            </w:tcBorders>
          </w:tcPr>
          <w:p>
            <w:pPr>
              <w:spacing w:after="0"/>
              <w:rPr>
                <w:sz w:val="16"/>
                <w:szCs w:val="16"/>
                <w:color w:val="auto"/>
              </w:rPr>
            </w:pPr>
          </w:p>
        </w:tc>
        <w:tc>
          <w:tcPr>
            <w:tcW w:w="920" w:type="dxa"/>
            <w:vAlign w:val="bottom"/>
            <w:tcBorders>
              <w:bottom w:val="single" w:sz="8" w:color="D7282F"/>
            </w:tcBorders>
          </w:tcPr>
          <w:p>
            <w:pPr>
              <w:jc w:val="center"/>
              <w:ind w:right="168"/>
              <w:spacing w:after="0"/>
              <w:rPr>
                <w:sz w:val="20"/>
                <w:szCs w:val="20"/>
                <w:color w:val="auto"/>
              </w:rPr>
            </w:pPr>
            <w:r>
              <w:rPr>
                <w:rFonts w:ascii="Arial" w:cs="Arial" w:eastAsia="Arial" w:hAnsi="Arial"/>
                <w:sz w:val="14"/>
                <w:szCs w:val="14"/>
                <w:b w:val="1"/>
                <w:bCs w:val="1"/>
                <w:color w:val="auto"/>
              </w:rPr>
              <w:t>Sold</w:t>
            </w:r>
          </w:p>
        </w:tc>
        <w:tc>
          <w:tcPr>
            <w:tcW w:w="240" w:type="dxa"/>
            <w:vAlign w:val="bottom"/>
            <w:tcBorders>
              <w:bottom w:val="single" w:sz="8" w:color="D7282F"/>
            </w:tcBorders>
          </w:tcPr>
          <w:p>
            <w:pPr>
              <w:spacing w:after="0"/>
              <w:rPr>
                <w:sz w:val="16"/>
                <w:szCs w:val="16"/>
                <w:color w:val="auto"/>
              </w:rPr>
            </w:pPr>
          </w:p>
        </w:tc>
        <w:tc>
          <w:tcPr>
            <w:tcW w:w="1320" w:type="dxa"/>
            <w:vAlign w:val="bottom"/>
            <w:tcBorders>
              <w:bottom w:val="single" w:sz="8" w:color="D7282F"/>
            </w:tcBorders>
          </w:tcPr>
          <w:p>
            <w:pPr>
              <w:jc w:val="center"/>
              <w:ind w:right="128"/>
              <w:spacing w:after="0"/>
              <w:rPr>
                <w:sz w:val="20"/>
                <w:szCs w:val="20"/>
                <w:color w:val="auto"/>
              </w:rPr>
            </w:pPr>
            <w:r>
              <w:rPr>
                <w:rFonts w:ascii="Arial" w:cs="Arial" w:eastAsia="Arial" w:hAnsi="Arial"/>
                <w:sz w:val="14"/>
                <w:szCs w:val="14"/>
                <w:b w:val="1"/>
                <w:bCs w:val="1"/>
                <w:color w:val="auto"/>
              </w:rPr>
              <w:t>Expenses</w:t>
            </w:r>
          </w:p>
        </w:tc>
        <w:tc>
          <w:tcPr>
            <w:tcW w:w="280" w:type="dxa"/>
            <w:vAlign w:val="bottom"/>
            <w:tcBorders>
              <w:bottom w:val="single" w:sz="8" w:color="D7282F"/>
            </w:tcBorders>
          </w:tcPr>
          <w:p>
            <w:pPr>
              <w:spacing w:after="0"/>
              <w:rPr>
                <w:sz w:val="16"/>
                <w:szCs w:val="16"/>
                <w:color w:val="auto"/>
              </w:rPr>
            </w:pPr>
          </w:p>
        </w:tc>
        <w:tc>
          <w:tcPr>
            <w:tcW w:w="98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Expense</w:t>
            </w:r>
          </w:p>
        </w:tc>
        <w:tc>
          <w:tcPr>
            <w:tcW w:w="220" w:type="dxa"/>
            <w:vAlign w:val="bottom"/>
            <w:tcBorders>
              <w:bottom w:val="single" w:sz="8" w:color="D7282F"/>
            </w:tcBorders>
          </w:tcPr>
          <w:p>
            <w:pPr>
              <w:spacing w:after="0"/>
              <w:rPr>
                <w:sz w:val="16"/>
                <w:szCs w:val="16"/>
                <w:color w:val="auto"/>
              </w:rPr>
            </w:pPr>
          </w:p>
        </w:tc>
        <w:tc>
          <w:tcPr>
            <w:tcW w:w="920" w:type="dxa"/>
            <w:vAlign w:val="bottom"/>
            <w:tcBorders>
              <w:bottom w:val="single" w:sz="8" w:color="D7282F"/>
            </w:tcBorders>
          </w:tcPr>
          <w:p>
            <w:pPr>
              <w:jc w:val="center"/>
              <w:ind w:right="28"/>
              <w:spacing w:after="0"/>
              <w:rPr>
                <w:sz w:val="20"/>
                <w:szCs w:val="20"/>
                <w:color w:val="auto"/>
              </w:rPr>
            </w:pPr>
            <w:r>
              <w:rPr>
                <w:rFonts w:ascii="Arial" w:cs="Arial" w:eastAsia="Arial" w:hAnsi="Arial"/>
                <w:sz w:val="14"/>
                <w:szCs w:val="14"/>
                <w:b w:val="1"/>
                <w:bCs w:val="1"/>
                <w:color w:val="auto"/>
              </w:rPr>
              <w:t>Charges</w:t>
            </w:r>
          </w:p>
        </w:tc>
        <w:tc>
          <w:tcPr>
            <w:tcW w:w="0" w:type="dxa"/>
            <w:vAlign w:val="bottom"/>
          </w:tcPr>
          <w:p>
            <w:pPr>
              <w:spacing w:after="0"/>
              <w:rPr>
                <w:sz w:val="1"/>
                <w:szCs w:val="1"/>
                <w:color w:val="auto"/>
              </w:rPr>
            </w:pPr>
          </w:p>
        </w:tc>
      </w:tr>
      <w:tr>
        <w:trPr>
          <w:trHeight w:val="192"/>
        </w:trPr>
        <w:tc>
          <w:tcPr>
            <w:tcW w:w="3960" w:type="dxa"/>
            <w:vAlign w:val="bottom"/>
            <w:tcBorders>
              <w:bottom w:val="single" w:sz="8" w:color="888B8D"/>
            </w:tcBorders>
            <w:gridSpan w:val="2"/>
          </w:tcPr>
          <w:p>
            <w:pPr>
              <w:ind w:left="384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35,466</w:t>
            </w:r>
          </w:p>
        </w:tc>
        <w:tc>
          <w:tcPr>
            <w:tcW w:w="28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16,955</w:t>
            </w:r>
          </w:p>
        </w:tc>
        <w:tc>
          <w:tcPr>
            <w:tcW w:w="2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5,392</w:t>
            </w:r>
          </w:p>
        </w:tc>
        <w:tc>
          <w:tcPr>
            <w:tcW w:w="2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5,214</w:t>
            </w:r>
          </w:p>
        </w:tc>
        <w:tc>
          <w:tcPr>
            <w:tcW w:w="28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(366)</w:t>
            </w:r>
          </w:p>
        </w:tc>
        <w:tc>
          <w:tcPr>
            <w:tcW w:w="22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414</w:t>
            </w:r>
          </w:p>
        </w:tc>
        <w:tc>
          <w:tcPr>
            <w:tcW w:w="0" w:type="dxa"/>
            <w:vAlign w:val="bottom"/>
          </w:tcPr>
          <w:p>
            <w:pPr>
              <w:spacing w:after="0"/>
              <w:rPr>
                <w:sz w:val="1"/>
                <w:szCs w:val="1"/>
                <w:color w:val="auto"/>
              </w:rPr>
            </w:pPr>
          </w:p>
        </w:tc>
      </w:tr>
      <w:tr>
        <w:trPr>
          <w:trHeight w:val="199"/>
        </w:trPr>
        <w:tc>
          <w:tcPr>
            <w:tcW w:w="3960" w:type="dxa"/>
            <w:vAlign w:val="bottom"/>
            <w:tcBorders>
              <w:bottom w:val="single" w:sz="8" w:color="888B8D"/>
            </w:tcBorders>
            <w:gridSpan w:val="2"/>
          </w:tcPr>
          <w:p>
            <w:pPr>
              <w:ind w:left="20"/>
              <w:spacing w:after="0"/>
              <w:rPr>
                <w:sz w:val="20"/>
                <w:szCs w:val="20"/>
                <w:color w:val="auto"/>
              </w:rPr>
            </w:pPr>
            <w:r>
              <w:rPr>
                <w:rFonts w:ascii="Arial" w:cs="Arial" w:eastAsia="Arial" w:hAnsi="Arial"/>
                <w:sz w:val="14"/>
                <w:szCs w:val="14"/>
                <w:b w:val="1"/>
                <w:bCs w:val="1"/>
                <w:color w:val="auto"/>
              </w:rPr>
              <w:t>Gain (loss) on cash flow hedges</w:t>
            </w:r>
          </w:p>
        </w:tc>
        <w:tc>
          <w:tcPr>
            <w:tcW w:w="920" w:type="dxa"/>
            <w:vAlign w:val="bottom"/>
            <w:tcBorders>
              <w:bottom w:val="single" w:sz="8" w:color="888B8D"/>
            </w:tcBorders>
          </w:tcPr>
          <w:p>
            <w:pPr>
              <w:spacing w:after="0"/>
              <w:rPr>
                <w:sz w:val="17"/>
                <w:szCs w:val="17"/>
                <w:color w:val="auto"/>
              </w:rPr>
            </w:pPr>
          </w:p>
        </w:tc>
        <w:tc>
          <w:tcPr>
            <w:tcW w:w="280" w:type="dxa"/>
            <w:vAlign w:val="bottom"/>
            <w:tcBorders>
              <w:bottom w:val="single" w:sz="8" w:color="888B8D"/>
            </w:tcBorders>
          </w:tcPr>
          <w:p>
            <w:pPr>
              <w:spacing w:after="0"/>
              <w:rPr>
                <w:sz w:val="17"/>
                <w:szCs w:val="17"/>
                <w:color w:val="auto"/>
              </w:rPr>
            </w:pPr>
          </w:p>
        </w:tc>
        <w:tc>
          <w:tcPr>
            <w:tcW w:w="940" w:type="dxa"/>
            <w:vAlign w:val="bottom"/>
            <w:tcBorders>
              <w:bottom w:val="single" w:sz="8" w:color="888B8D"/>
            </w:tcBorders>
          </w:tcPr>
          <w:p>
            <w:pPr>
              <w:spacing w:after="0"/>
              <w:rPr>
                <w:sz w:val="17"/>
                <w:szCs w:val="17"/>
                <w:color w:val="auto"/>
              </w:rPr>
            </w:pPr>
          </w:p>
        </w:tc>
        <w:tc>
          <w:tcPr>
            <w:tcW w:w="260" w:type="dxa"/>
            <w:vAlign w:val="bottom"/>
            <w:tcBorders>
              <w:bottom w:val="single" w:sz="8" w:color="888B8D"/>
            </w:tcBorders>
          </w:tcPr>
          <w:p>
            <w:pPr>
              <w:spacing w:after="0"/>
              <w:rPr>
                <w:sz w:val="17"/>
                <w:szCs w:val="17"/>
                <w:color w:val="auto"/>
              </w:rPr>
            </w:pPr>
          </w:p>
        </w:tc>
        <w:tc>
          <w:tcPr>
            <w:tcW w:w="920" w:type="dxa"/>
            <w:vAlign w:val="bottom"/>
            <w:tcBorders>
              <w:bottom w:val="single" w:sz="8" w:color="888B8D"/>
            </w:tcBorders>
          </w:tcPr>
          <w:p>
            <w:pPr>
              <w:spacing w:after="0"/>
              <w:rPr>
                <w:sz w:val="17"/>
                <w:szCs w:val="17"/>
                <w:color w:val="auto"/>
              </w:rPr>
            </w:pPr>
          </w:p>
        </w:tc>
        <w:tc>
          <w:tcPr>
            <w:tcW w:w="240" w:type="dxa"/>
            <w:vAlign w:val="bottom"/>
            <w:tcBorders>
              <w:bottom w:val="single" w:sz="8" w:color="888B8D"/>
            </w:tcBorders>
          </w:tcPr>
          <w:p>
            <w:pPr>
              <w:spacing w:after="0"/>
              <w:rPr>
                <w:sz w:val="17"/>
                <w:szCs w:val="17"/>
                <w:color w:val="auto"/>
              </w:rPr>
            </w:pPr>
          </w:p>
        </w:tc>
        <w:tc>
          <w:tcPr>
            <w:tcW w:w="1320" w:type="dxa"/>
            <w:vAlign w:val="bottom"/>
            <w:tcBorders>
              <w:bottom w:val="single" w:sz="8" w:color="888B8D"/>
            </w:tcBorders>
          </w:tcPr>
          <w:p>
            <w:pPr>
              <w:spacing w:after="0"/>
              <w:rPr>
                <w:sz w:val="17"/>
                <w:szCs w:val="17"/>
                <w:color w:val="auto"/>
              </w:rPr>
            </w:pPr>
          </w:p>
        </w:tc>
        <w:tc>
          <w:tcPr>
            <w:tcW w:w="280" w:type="dxa"/>
            <w:vAlign w:val="bottom"/>
            <w:tcBorders>
              <w:bottom w:val="single" w:sz="8" w:color="888B8D"/>
            </w:tcBorders>
          </w:tcPr>
          <w:p>
            <w:pPr>
              <w:spacing w:after="0"/>
              <w:rPr>
                <w:sz w:val="17"/>
                <w:szCs w:val="17"/>
                <w:color w:val="auto"/>
              </w:rPr>
            </w:pPr>
          </w:p>
        </w:tc>
        <w:tc>
          <w:tcPr>
            <w:tcW w:w="980" w:type="dxa"/>
            <w:vAlign w:val="bottom"/>
            <w:tcBorders>
              <w:bottom w:val="single" w:sz="8" w:color="888B8D"/>
            </w:tcBorders>
          </w:tcPr>
          <w:p>
            <w:pPr>
              <w:spacing w:after="0"/>
              <w:rPr>
                <w:sz w:val="17"/>
                <w:szCs w:val="17"/>
                <w:color w:val="auto"/>
              </w:rPr>
            </w:pPr>
          </w:p>
        </w:tc>
        <w:tc>
          <w:tcPr>
            <w:tcW w:w="220" w:type="dxa"/>
            <w:vAlign w:val="bottom"/>
            <w:tcBorders>
              <w:bottom w:val="single" w:sz="8" w:color="888B8D"/>
            </w:tcBorders>
          </w:tcPr>
          <w:p>
            <w:pPr>
              <w:spacing w:after="0"/>
              <w:rPr>
                <w:sz w:val="17"/>
                <w:szCs w:val="17"/>
                <w:color w:val="auto"/>
              </w:rPr>
            </w:pPr>
          </w:p>
        </w:tc>
        <w:tc>
          <w:tcPr>
            <w:tcW w:w="920" w:type="dxa"/>
            <w:vAlign w:val="bottom"/>
            <w:tcBorders>
              <w:bottom w:val="single" w:sz="8" w:color="888B8D"/>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960" w:type="dxa"/>
            <w:vAlign w:val="bottom"/>
            <w:tcBorders>
              <w:bottom w:val="single" w:sz="8" w:color="888B8D"/>
            </w:tcBorders>
            <w:gridSpan w:val="2"/>
          </w:tcPr>
          <w:p>
            <w:pPr>
              <w:ind w:left="140"/>
              <w:spacing w:after="0"/>
              <w:rPr>
                <w:sz w:val="20"/>
                <w:szCs w:val="20"/>
                <w:color w:val="auto"/>
              </w:rPr>
            </w:pPr>
            <w:r>
              <w:rPr>
                <w:rFonts w:ascii="Arial" w:cs="Arial" w:eastAsia="Arial" w:hAnsi="Arial"/>
                <w:sz w:val="14"/>
                <w:szCs w:val="14"/>
                <w:color w:val="auto"/>
              </w:rPr>
              <w:t>Foreign currency exchange contracts</w:t>
            </w:r>
          </w:p>
        </w:tc>
        <w:tc>
          <w:tcPr>
            <w:tcW w:w="920" w:type="dxa"/>
            <w:vAlign w:val="bottom"/>
            <w:tcBorders>
              <w:bottom w:val="single" w:sz="8" w:color="888B8D"/>
            </w:tcBorders>
          </w:tcPr>
          <w:p>
            <w:pPr>
              <w:spacing w:after="0"/>
              <w:rPr>
                <w:sz w:val="16"/>
                <w:szCs w:val="16"/>
                <w:color w:val="auto"/>
              </w:rPr>
            </w:pPr>
          </w:p>
        </w:tc>
        <w:tc>
          <w:tcPr>
            <w:tcW w:w="280" w:type="dxa"/>
            <w:vAlign w:val="bottom"/>
            <w:tcBorders>
              <w:bottom w:val="single" w:sz="8" w:color="888B8D"/>
            </w:tcBorders>
          </w:tcPr>
          <w:p>
            <w:pPr>
              <w:spacing w:after="0"/>
              <w:rPr>
                <w:sz w:val="16"/>
                <w:szCs w:val="16"/>
                <w:color w:val="auto"/>
              </w:rPr>
            </w:pPr>
          </w:p>
        </w:tc>
        <w:tc>
          <w:tcPr>
            <w:tcW w:w="940" w:type="dxa"/>
            <w:vAlign w:val="bottom"/>
            <w:tcBorders>
              <w:bottom w:val="single" w:sz="8" w:color="888B8D"/>
            </w:tcBorders>
          </w:tcPr>
          <w:p>
            <w:pPr>
              <w:spacing w:after="0"/>
              <w:rPr>
                <w:sz w:val="16"/>
                <w:szCs w:val="16"/>
                <w:color w:val="auto"/>
              </w:rPr>
            </w:pPr>
          </w:p>
        </w:tc>
        <w:tc>
          <w:tcPr>
            <w:tcW w:w="260" w:type="dxa"/>
            <w:vAlign w:val="bottom"/>
            <w:tcBorders>
              <w:bottom w:val="single" w:sz="8" w:color="888B8D"/>
            </w:tcBorders>
          </w:tcPr>
          <w:p>
            <w:pPr>
              <w:spacing w:after="0"/>
              <w:rPr>
                <w:sz w:val="16"/>
                <w:szCs w:val="16"/>
                <w:color w:val="auto"/>
              </w:rPr>
            </w:pPr>
          </w:p>
        </w:tc>
        <w:tc>
          <w:tcPr>
            <w:tcW w:w="920" w:type="dxa"/>
            <w:vAlign w:val="bottom"/>
            <w:tcBorders>
              <w:bottom w:val="single" w:sz="8" w:color="888B8D"/>
            </w:tcBorders>
          </w:tcPr>
          <w:p>
            <w:pPr>
              <w:spacing w:after="0"/>
              <w:rPr>
                <w:sz w:val="16"/>
                <w:szCs w:val="16"/>
                <w:color w:val="auto"/>
              </w:rPr>
            </w:pPr>
          </w:p>
        </w:tc>
        <w:tc>
          <w:tcPr>
            <w:tcW w:w="240" w:type="dxa"/>
            <w:vAlign w:val="bottom"/>
            <w:tcBorders>
              <w:bottom w:val="single" w:sz="8" w:color="888B8D"/>
            </w:tcBorders>
          </w:tcPr>
          <w:p>
            <w:pPr>
              <w:spacing w:after="0"/>
              <w:rPr>
                <w:sz w:val="16"/>
                <w:szCs w:val="16"/>
                <w:color w:val="auto"/>
              </w:rPr>
            </w:pPr>
          </w:p>
        </w:tc>
        <w:tc>
          <w:tcPr>
            <w:tcW w:w="1320" w:type="dxa"/>
            <w:vAlign w:val="bottom"/>
            <w:tcBorders>
              <w:bottom w:val="single" w:sz="8" w:color="888B8D"/>
            </w:tcBorders>
          </w:tcPr>
          <w:p>
            <w:pPr>
              <w:spacing w:after="0"/>
              <w:rPr>
                <w:sz w:val="16"/>
                <w:szCs w:val="16"/>
                <w:color w:val="auto"/>
              </w:rPr>
            </w:pPr>
          </w:p>
        </w:tc>
        <w:tc>
          <w:tcPr>
            <w:tcW w:w="280" w:type="dxa"/>
            <w:vAlign w:val="bottom"/>
            <w:tcBorders>
              <w:bottom w:val="single" w:sz="8" w:color="888B8D"/>
            </w:tcBorders>
          </w:tcPr>
          <w:p>
            <w:pPr>
              <w:spacing w:after="0"/>
              <w:rPr>
                <w:sz w:val="16"/>
                <w:szCs w:val="16"/>
                <w:color w:val="auto"/>
              </w:rPr>
            </w:pPr>
          </w:p>
        </w:tc>
        <w:tc>
          <w:tcPr>
            <w:tcW w:w="980" w:type="dxa"/>
            <w:vAlign w:val="bottom"/>
            <w:tcBorders>
              <w:bottom w:val="single" w:sz="8" w:color="888B8D"/>
            </w:tcBorders>
          </w:tcPr>
          <w:p>
            <w:pPr>
              <w:spacing w:after="0"/>
              <w:rPr>
                <w:sz w:val="16"/>
                <w:szCs w:val="16"/>
                <w:color w:val="auto"/>
              </w:rPr>
            </w:pPr>
          </w:p>
        </w:tc>
        <w:tc>
          <w:tcPr>
            <w:tcW w:w="220" w:type="dxa"/>
            <w:vAlign w:val="bottom"/>
            <w:tcBorders>
              <w:bottom w:val="single" w:sz="8" w:color="888B8D"/>
            </w:tcBorders>
          </w:tcPr>
          <w:p>
            <w:pPr>
              <w:spacing w:after="0"/>
              <w:rPr>
                <w:sz w:val="16"/>
                <w:szCs w:val="16"/>
                <w:color w:val="auto"/>
              </w:rPr>
            </w:pPr>
          </w:p>
        </w:tc>
        <w:tc>
          <w:tcPr>
            <w:tcW w:w="920" w:type="dxa"/>
            <w:vAlign w:val="bottom"/>
            <w:tcBorders>
              <w:bottom w:val="single" w:sz="8" w:color="888B8D"/>
            </w:tcBorders>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3960" w:type="dxa"/>
            <w:vAlign w:val="bottom"/>
            <w:gridSpan w:val="2"/>
          </w:tcPr>
          <w:p>
            <w:pPr>
              <w:ind w:left="240"/>
              <w:spacing w:after="0" w:line="151" w:lineRule="exact"/>
              <w:rPr>
                <w:sz w:val="20"/>
                <w:szCs w:val="20"/>
                <w:color w:val="auto"/>
              </w:rPr>
            </w:pPr>
            <w:r>
              <w:rPr>
                <w:rFonts w:ascii="Arial" w:cs="Arial" w:eastAsia="Arial" w:hAnsi="Arial"/>
                <w:sz w:val="14"/>
                <w:szCs w:val="14"/>
                <w:color w:val="auto"/>
              </w:rPr>
              <w:t>Amount reclassified from accumulated other</w:t>
            </w:r>
          </w:p>
        </w:tc>
        <w:tc>
          <w:tcPr>
            <w:tcW w:w="920" w:type="dxa"/>
            <w:vAlign w:val="bottom"/>
            <w:vMerge w:val="restart"/>
          </w:tcPr>
          <w:p>
            <w:pPr>
              <w:jc w:val="right"/>
              <w:ind w:right="88"/>
              <w:spacing w:after="0"/>
              <w:rPr>
                <w:sz w:val="20"/>
                <w:szCs w:val="20"/>
                <w:color w:val="auto"/>
              </w:rPr>
            </w:pPr>
            <w:r>
              <w:rPr>
                <w:rFonts w:ascii="Arial" w:cs="Arial" w:eastAsia="Arial" w:hAnsi="Arial"/>
                <w:sz w:val="14"/>
                <w:szCs w:val="14"/>
                <w:color w:val="auto"/>
              </w:rPr>
              <w:t>13</w:t>
            </w:r>
          </w:p>
        </w:tc>
        <w:tc>
          <w:tcPr>
            <w:tcW w:w="280" w:type="dxa"/>
            <w:vAlign w:val="bottom"/>
          </w:tcPr>
          <w:p>
            <w:pPr>
              <w:spacing w:after="0"/>
              <w:rPr>
                <w:sz w:val="13"/>
                <w:szCs w:val="13"/>
                <w:color w:val="auto"/>
              </w:rPr>
            </w:pPr>
          </w:p>
        </w:tc>
        <w:tc>
          <w:tcPr>
            <w:tcW w:w="940" w:type="dxa"/>
            <w:vAlign w:val="bottom"/>
            <w:vMerge w:val="restart"/>
          </w:tcPr>
          <w:p>
            <w:pPr>
              <w:jc w:val="right"/>
              <w:ind w:right="108"/>
              <w:spacing w:after="0"/>
              <w:rPr>
                <w:sz w:val="20"/>
                <w:szCs w:val="20"/>
                <w:color w:val="auto"/>
              </w:rPr>
            </w:pPr>
            <w:r>
              <w:rPr>
                <w:rFonts w:ascii="Arial" w:cs="Arial" w:eastAsia="Arial" w:hAnsi="Arial"/>
                <w:sz w:val="14"/>
                <w:szCs w:val="14"/>
                <w:color w:val="auto"/>
              </w:rPr>
              <w:t>50</w:t>
            </w:r>
          </w:p>
        </w:tc>
        <w:tc>
          <w:tcPr>
            <w:tcW w:w="260" w:type="dxa"/>
            <w:vAlign w:val="bottom"/>
          </w:tcPr>
          <w:p>
            <w:pPr>
              <w:spacing w:after="0"/>
              <w:rPr>
                <w:sz w:val="13"/>
                <w:szCs w:val="13"/>
                <w:color w:val="auto"/>
              </w:rPr>
            </w:pPr>
          </w:p>
        </w:tc>
        <w:tc>
          <w:tcPr>
            <w:tcW w:w="920" w:type="dxa"/>
            <w:vAlign w:val="bottom"/>
            <w:vMerge w:val="restart"/>
          </w:tcPr>
          <w:p>
            <w:pPr>
              <w:jc w:val="right"/>
              <w:ind w:right="88"/>
              <w:spacing w:after="0"/>
              <w:rPr>
                <w:sz w:val="20"/>
                <w:szCs w:val="20"/>
                <w:color w:val="auto"/>
              </w:rPr>
            </w:pPr>
            <w:r>
              <w:rPr>
                <w:rFonts w:ascii="Arial" w:cs="Arial" w:eastAsia="Arial" w:hAnsi="Arial"/>
                <w:sz w:val="14"/>
                <w:szCs w:val="14"/>
                <w:color w:val="auto"/>
              </w:rPr>
              <w:t>14</w:t>
            </w:r>
          </w:p>
        </w:tc>
        <w:tc>
          <w:tcPr>
            <w:tcW w:w="240" w:type="dxa"/>
            <w:vAlign w:val="bottom"/>
          </w:tcPr>
          <w:p>
            <w:pPr>
              <w:spacing w:after="0"/>
              <w:rPr>
                <w:sz w:val="13"/>
                <w:szCs w:val="13"/>
                <w:color w:val="auto"/>
              </w:rPr>
            </w:pPr>
          </w:p>
        </w:tc>
        <w:tc>
          <w:tcPr>
            <w:tcW w:w="1320" w:type="dxa"/>
            <w:vAlign w:val="bottom"/>
            <w:vMerge w:val="restart"/>
          </w:tcPr>
          <w:p>
            <w:pPr>
              <w:jc w:val="right"/>
              <w:ind w:right="68"/>
              <w:spacing w:after="0"/>
              <w:rPr>
                <w:sz w:val="20"/>
                <w:szCs w:val="20"/>
                <w:color w:val="auto"/>
              </w:rPr>
            </w:pPr>
            <w:r>
              <w:rPr>
                <w:rFonts w:ascii="Arial" w:cs="Arial" w:eastAsia="Arial" w:hAnsi="Arial"/>
                <w:sz w:val="14"/>
                <w:szCs w:val="14"/>
                <w:color w:val="auto"/>
              </w:rPr>
              <w:t>(3)</w:t>
            </w:r>
          </w:p>
        </w:tc>
        <w:tc>
          <w:tcPr>
            <w:tcW w:w="280" w:type="dxa"/>
            <w:vAlign w:val="bottom"/>
          </w:tcPr>
          <w:p>
            <w:pPr>
              <w:spacing w:after="0"/>
              <w:rPr>
                <w:sz w:val="13"/>
                <w:szCs w:val="13"/>
                <w:color w:val="auto"/>
              </w:rPr>
            </w:pPr>
          </w:p>
        </w:tc>
        <w:tc>
          <w:tcPr>
            <w:tcW w:w="9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3960" w:type="dxa"/>
            <w:vAlign w:val="bottom"/>
            <w:tcBorders>
              <w:bottom w:val="single" w:sz="8" w:color="61656A"/>
            </w:tcBorders>
            <w:gridSpan w:val="2"/>
          </w:tcPr>
          <w:p>
            <w:pPr>
              <w:ind w:left="240"/>
              <w:spacing w:after="0"/>
              <w:rPr>
                <w:sz w:val="20"/>
                <w:szCs w:val="20"/>
                <w:color w:val="auto"/>
              </w:rPr>
            </w:pPr>
            <w:r>
              <w:rPr>
                <w:rFonts w:ascii="Arial" w:cs="Arial" w:eastAsia="Arial" w:hAnsi="Arial"/>
                <w:sz w:val="14"/>
                <w:szCs w:val="14"/>
                <w:color w:val="auto"/>
              </w:rPr>
              <w:t>comprehensive loss into income</w:t>
            </w:r>
          </w:p>
        </w:tc>
        <w:tc>
          <w:tcPr>
            <w:tcW w:w="920" w:type="dxa"/>
            <w:vAlign w:val="bottom"/>
            <w:tcBorders>
              <w:bottom w:val="single" w:sz="8" w:color="61656A"/>
            </w:tcBorders>
            <w:vMerge w:val="continue"/>
          </w:tcPr>
          <w:p>
            <w:pPr>
              <w:spacing w:after="0"/>
              <w:rPr>
                <w:sz w:val="16"/>
                <w:szCs w:val="16"/>
                <w:color w:val="auto"/>
              </w:rPr>
            </w:pPr>
          </w:p>
        </w:tc>
        <w:tc>
          <w:tcPr>
            <w:tcW w:w="28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vMerge w:val="continue"/>
          </w:tcPr>
          <w:p>
            <w:pPr>
              <w:spacing w:after="0"/>
              <w:rPr>
                <w:sz w:val="16"/>
                <w:szCs w:val="16"/>
                <w:color w:val="auto"/>
              </w:rPr>
            </w:pPr>
          </w:p>
        </w:tc>
        <w:tc>
          <w:tcPr>
            <w:tcW w:w="260" w:type="dxa"/>
            <w:vAlign w:val="bottom"/>
            <w:tcBorders>
              <w:bottom w:val="single" w:sz="8" w:color="61656A"/>
            </w:tcBorders>
          </w:tcPr>
          <w:p>
            <w:pPr>
              <w:spacing w:after="0"/>
              <w:rPr>
                <w:sz w:val="16"/>
                <w:szCs w:val="16"/>
                <w:color w:val="auto"/>
              </w:rPr>
            </w:pPr>
          </w:p>
        </w:tc>
        <w:tc>
          <w:tcPr>
            <w:tcW w:w="920" w:type="dxa"/>
            <w:vAlign w:val="bottom"/>
            <w:tcBorders>
              <w:bottom w:val="single" w:sz="8" w:color="61656A"/>
            </w:tcBorders>
            <w:vMerge w:val="continue"/>
          </w:tcPr>
          <w:p>
            <w:pPr>
              <w:spacing w:after="0"/>
              <w:rPr>
                <w:sz w:val="16"/>
                <w:szCs w:val="16"/>
                <w:color w:val="auto"/>
              </w:rPr>
            </w:pPr>
          </w:p>
        </w:tc>
        <w:tc>
          <w:tcPr>
            <w:tcW w:w="240" w:type="dxa"/>
            <w:vAlign w:val="bottom"/>
            <w:tcBorders>
              <w:bottom w:val="single" w:sz="8" w:color="61656A"/>
            </w:tcBorders>
          </w:tcPr>
          <w:p>
            <w:pPr>
              <w:spacing w:after="0"/>
              <w:rPr>
                <w:sz w:val="16"/>
                <w:szCs w:val="16"/>
                <w:color w:val="auto"/>
              </w:rPr>
            </w:pPr>
          </w:p>
        </w:tc>
        <w:tc>
          <w:tcPr>
            <w:tcW w:w="1320" w:type="dxa"/>
            <w:vAlign w:val="bottom"/>
            <w:tcBorders>
              <w:bottom w:val="single" w:sz="8" w:color="61656A"/>
            </w:tcBorders>
            <w:vMerge w:val="continue"/>
          </w:tcPr>
          <w:p>
            <w:pPr>
              <w:spacing w:after="0"/>
              <w:rPr>
                <w:sz w:val="16"/>
                <w:szCs w:val="16"/>
                <w:color w:val="auto"/>
              </w:rPr>
            </w:pPr>
          </w:p>
        </w:tc>
        <w:tc>
          <w:tcPr>
            <w:tcW w:w="280" w:type="dxa"/>
            <w:vAlign w:val="bottom"/>
            <w:tcBorders>
              <w:bottom w:val="single" w:sz="8" w:color="61656A"/>
            </w:tcBorders>
          </w:tcPr>
          <w:p>
            <w:pPr>
              <w:spacing w:after="0"/>
              <w:rPr>
                <w:sz w:val="16"/>
                <w:szCs w:val="16"/>
                <w:color w:val="auto"/>
              </w:rPr>
            </w:pPr>
          </w:p>
        </w:tc>
        <w:tc>
          <w:tcPr>
            <w:tcW w:w="980" w:type="dxa"/>
            <w:vAlign w:val="bottom"/>
            <w:tcBorders>
              <w:bottom w:val="single" w:sz="8" w:color="61656A"/>
            </w:tcBorders>
            <w:vMerge w:val="continue"/>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920" w:type="dxa"/>
            <w:vAlign w:val="bottom"/>
            <w:tcBorders>
              <w:bottom w:val="single" w:sz="8" w:color="61656A"/>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960" w:type="dxa"/>
            <w:vAlign w:val="bottom"/>
            <w:tcBorders>
              <w:bottom w:val="single" w:sz="8" w:color="61656A"/>
            </w:tcBorders>
            <w:gridSpan w:val="2"/>
          </w:tcPr>
          <w:p>
            <w:pPr>
              <w:ind w:left="140"/>
              <w:spacing w:after="0"/>
              <w:rPr>
                <w:sz w:val="20"/>
                <w:szCs w:val="20"/>
                <w:color w:val="auto"/>
              </w:rPr>
            </w:pPr>
            <w:r>
              <w:rPr>
                <w:rFonts w:ascii="Arial" w:cs="Arial" w:eastAsia="Arial" w:hAnsi="Arial"/>
                <w:sz w:val="14"/>
                <w:szCs w:val="14"/>
                <w:color w:val="auto"/>
              </w:rPr>
              <w:t>Commodity contracts</w:t>
            </w:r>
          </w:p>
        </w:tc>
        <w:tc>
          <w:tcPr>
            <w:tcW w:w="920" w:type="dxa"/>
            <w:vAlign w:val="bottom"/>
            <w:tcBorders>
              <w:bottom w:val="single" w:sz="8" w:color="61656A"/>
            </w:tcBorders>
          </w:tcPr>
          <w:p>
            <w:pPr>
              <w:spacing w:after="0"/>
              <w:rPr>
                <w:sz w:val="16"/>
                <w:szCs w:val="16"/>
                <w:color w:val="auto"/>
              </w:rPr>
            </w:pPr>
          </w:p>
        </w:tc>
        <w:tc>
          <w:tcPr>
            <w:tcW w:w="28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tcPr>
          <w:p>
            <w:pPr>
              <w:spacing w:after="0"/>
              <w:rPr>
                <w:sz w:val="16"/>
                <w:szCs w:val="16"/>
                <w:color w:val="auto"/>
              </w:rPr>
            </w:pPr>
          </w:p>
        </w:tc>
        <w:tc>
          <w:tcPr>
            <w:tcW w:w="260" w:type="dxa"/>
            <w:vAlign w:val="bottom"/>
            <w:tcBorders>
              <w:bottom w:val="single" w:sz="8" w:color="61656A"/>
            </w:tcBorders>
          </w:tcPr>
          <w:p>
            <w:pPr>
              <w:spacing w:after="0"/>
              <w:rPr>
                <w:sz w:val="16"/>
                <w:szCs w:val="16"/>
                <w:color w:val="auto"/>
              </w:rPr>
            </w:pPr>
          </w:p>
        </w:tc>
        <w:tc>
          <w:tcPr>
            <w:tcW w:w="920" w:type="dxa"/>
            <w:vAlign w:val="bottom"/>
            <w:tcBorders>
              <w:bottom w:val="single" w:sz="8" w:color="61656A"/>
            </w:tcBorders>
          </w:tcPr>
          <w:p>
            <w:pPr>
              <w:spacing w:after="0"/>
              <w:rPr>
                <w:sz w:val="16"/>
                <w:szCs w:val="16"/>
                <w:color w:val="auto"/>
              </w:rPr>
            </w:pPr>
          </w:p>
        </w:tc>
        <w:tc>
          <w:tcPr>
            <w:tcW w:w="240" w:type="dxa"/>
            <w:vAlign w:val="bottom"/>
            <w:tcBorders>
              <w:bottom w:val="single" w:sz="8" w:color="61656A"/>
            </w:tcBorders>
          </w:tcPr>
          <w:p>
            <w:pPr>
              <w:spacing w:after="0"/>
              <w:rPr>
                <w:sz w:val="16"/>
                <w:szCs w:val="16"/>
                <w:color w:val="auto"/>
              </w:rPr>
            </w:pPr>
          </w:p>
        </w:tc>
        <w:tc>
          <w:tcPr>
            <w:tcW w:w="1320" w:type="dxa"/>
            <w:vAlign w:val="bottom"/>
            <w:tcBorders>
              <w:bottom w:val="single" w:sz="8" w:color="61656A"/>
            </w:tcBorders>
          </w:tcPr>
          <w:p>
            <w:pPr>
              <w:spacing w:after="0"/>
              <w:rPr>
                <w:sz w:val="16"/>
                <w:szCs w:val="16"/>
                <w:color w:val="auto"/>
              </w:rPr>
            </w:pPr>
          </w:p>
        </w:tc>
        <w:tc>
          <w:tcPr>
            <w:tcW w:w="280" w:type="dxa"/>
            <w:vAlign w:val="bottom"/>
            <w:tcBorders>
              <w:bottom w:val="single" w:sz="8" w:color="61656A"/>
            </w:tcBorders>
          </w:tcPr>
          <w:p>
            <w:pPr>
              <w:spacing w:after="0"/>
              <w:rPr>
                <w:sz w:val="16"/>
                <w:szCs w:val="16"/>
                <w:color w:val="auto"/>
              </w:rPr>
            </w:pPr>
          </w:p>
        </w:tc>
        <w:tc>
          <w:tcPr>
            <w:tcW w:w="98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920" w:type="dxa"/>
            <w:vAlign w:val="bottom"/>
            <w:tcBorders>
              <w:bottom w:val="single" w:sz="8" w:color="61656A"/>
            </w:tcBorders>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3960" w:type="dxa"/>
            <w:vAlign w:val="bottom"/>
            <w:gridSpan w:val="2"/>
          </w:tcPr>
          <w:p>
            <w:pPr>
              <w:ind w:left="240"/>
              <w:spacing w:after="0" w:line="151" w:lineRule="exact"/>
              <w:rPr>
                <w:sz w:val="20"/>
                <w:szCs w:val="20"/>
                <w:color w:val="auto"/>
              </w:rPr>
            </w:pPr>
            <w:r>
              <w:rPr>
                <w:rFonts w:ascii="Arial" w:cs="Arial" w:eastAsia="Arial" w:hAnsi="Arial"/>
                <w:sz w:val="14"/>
                <w:szCs w:val="14"/>
                <w:color w:val="auto"/>
              </w:rPr>
              <w:t>Amount reclassified from accumulated other</w:t>
            </w:r>
          </w:p>
        </w:tc>
        <w:tc>
          <w:tcPr>
            <w:tcW w:w="92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940" w:type="dxa"/>
            <w:vAlign w:val="bottom"/>
            <w:vMerge w:val="restart"/>
          </w:tcPr>
          <w:p>
            <w:pPr>
              <w:jc w:val="right"/>
              <w:ind w:right="68"/>
              <w:spacing w:after="0"/>
              <w:rPr>
                <w:sz w:val="20"/>
                <w:szCs w:val="20"/>
                <w:color w:val="auto"/>
              </w:rPr>
            </w:pPr>
            <w:r>
              <w:rPr>
                <w:rFonts w:ascii="Arial" w:cs="Arial" w:eastAsia="Arial" w:hAnsi="Arial"/>
                <w:sz w:val="14"/>
                <w:szCs w:val="14"/>
                <w:color w:val="auto"/>
              </w:rPr>
              <w:t>(2)</w:t>
            </w:r>
          </w:p>
        </w:tc>
        <w:tc>
          <w:tcPr>
            <w:tcW w:w="260" w:type="dxa"/>
            <w:vAlign w:val="bottom"/>
          </w:tcPr>
          <w:p>
            <w:pPr>
              <w:spacing w:after="0"/>
              <w:rPr>
                <w:sz w:val="13"/>
                <w:szCs w:val="13"/>
                <w:color w:val="auto"/>
              </w:rPr>
            </w:pPr>
          </w:p>
        </w:tc>
        <w:tc>
          <w:tcPr>
            <w:tcW w:w="92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132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9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3960" w:type="dxa"/>
            <w:vAlign w:val="bottom"/>
            <w:tcBorders>
              <w:bottom w:val="single" w:sz="8" w:color="61656A"/>
            </w:tcBorders>
            <w:gridSpan w:val="2"/>
          </w:tcPr>
          <w:p>
            <w:pPr>
              <w:ind w:left="240"/>
              <w:spacing w:after="0"/>
              <w:rPr>
                <w:sz w:val="20"/>
                <w:szCs w:val="20"/>
                <w:color w:val="auto"/>
              </w:rPr>
            </w:pPr>
            <w:r>
              <w:rPr>
                <w:rFonts w:ascii="Arial" w:cs="Arial" w:eastAsia="Arial" w:hAnsi="Arial"/>
                <w:sz w:val="14"/>
                <w:szCs w:val="14"/>
                <w:color w:val="auto"/>
              </w:rPr>
              <w:t>comprehensive loss into income</w:t>
            </w:r>
          </w:p>
        </w:tc>
        <w:tc>
          <w:tcPr>
            <w:tcW w:w="920" w:type="dxa"/>
            <w:vAlign w:val="bottom"/>
            <w:tcBorders>
              <w:bottom w:val="single" w:sz="8" w:color="61656A"/>
            </w:tcBorders>
            <w:vMerge w:val="continue"/>
          </w:tcPr>
          <w:p>
            <w:pPr>
              <w:spacing w:after="0"/>
              <w:rPr>
                <w:sz w:val="16"/>
                <w:szCs w:val="16"/>
                <w:color w:val="auto"/>
              </w:rPr>
            </w:pPr>
          </w:p>
        </w:tc>
        <w:tc>
          <w:tcPr>
            <w:tcW w:w="28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vMerge w:val="continue"/>
          </w:tcPr>
          <w:p>
            <w:pPr>
              <w:spacing w:after="0"/>
              <w:rPr>
                <w:sz w:val="16"/>
                <w:szCs w:val="16"/>
                <w:color w:val="auto"/>
              </w:rPr>
            </w:pPr>
          </w:p>
        </w:tc>
        <w:tc>
          <w:tcPr>
            <w:tcW w:w="260" w:type="dxa"/>
            <w:vAlign w:val="bottom"/>
            <w:tcBorders>
              <w:bottom w:val="single" w:sz="8" w:color="61656A"/>
            </w:tcBorders>
          </w:tcPr>
          <w:p>
            <w:pPr>
              <w:spacing w:after="0"/>
              <w:rPr>
                <w:sz w:val="16"/>
                <w:szCs w:val="16"/>
                <w:color w:val="auto"/>
              </w:rPr>
            </w:pPr>
          </w:p>
        </w:tc>
        <w:tc>
          <w:tcPr>
            <w:tcW w:w="920" w:type="dxa"/>
            <w:vAlign w:val="bottom"/>
            <w:tcBorders>
              <w:bottom w:val="single" w:sz="8" w:color="61656A"/>
            </w:tcBorders>
            <w:vMerge w:val="continue"/>
          </w:tcPr>
          <w:p>
            <w:pPr>
              <w:spacing w:after="0"/>
              <w:rPr>
                <w:sz w:val="16"/>
                <w:szCs w:val="16"/>
                <w:color w:val="auto"/>
              </w:rPr>
            </w:pPr>
          </w:p>
        </w:tc>
        <w:tc>
          <w:tcPr>
            <w:tcW w:w="240" w:type="dxa"/>
            <w:vAlign w:val="bottom"/>
            <w:tcBorders>
              <w:bottom w:val="single" w:sz="8" w:color="61656A"/>
            </w:tcBorders>
          </w:tcPr>
          <w:p>
            <w:pPr>
              <w:spacing w:after="0"/>
              <w:rPr>
                <w:sz w:val="16"/>
                <w:szCs w:val="16"/>
                <w:color w:val="auto"/>
              </w:rPr>
            </w:pPr>
          </w:p>
        </w:tc>
        <w:tc>
          <w:tcPr>
            <w:tcW w:w="1320" w:type="dxa"/>
            <w:vAlign w:val="bottom"/>
            <w:tcBorders>
              <w:bottom w:val="single" w:sz="8" w:color="61656A"/>
            </w:tcBorders>
            <w:vMerge w:val="continue"/>
          </w:tcPr>
          <w:p>
            <w:pPr>
              <w:spacing w:after="0"/>
              <w:rPr>
                <w:sz w:val="16"/>
                <w:szCs w:val="16"/>
                <w:color w:val="auto"/>
              </w:rPr>
            </w:pPr>
          </w:p>
        </w:tc>
        <w:tc>
          <w:tcPr>
            <w:tcW w:w="280" w:type="dxa"/>
            <w:vAlign w:val="bottom"/>
            <w:tcBorders>
              <w:bottom w:val="single" w:sz="8" w:color="61656A"/>
            </w:tcBorders>
          </w:tcPr>
          <w:p>
            <w:pPr>
              <w:spacing w:after="0"/>
              <w:rPr>
                <w:sz w:val="16"/>
                <w:szCs w:val="16"/>
                <w:color w:val="auto"/>
              </w:rPr>
            </w:pPr>
          </w:p>
        </w:tc>
        <w:tc>
          <w:tcPr>
            <w:tcW w:w="980" w:type="dxa"/>
            <w:vAlign w:val="bottom"/>
            <w:tcBorders>
              <w:bottom w:val="single" w:sz="8" w:color="61656A"/>
            </w:tcBorders>
            <w:vMerge w:val="continue"/>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920" w:type="dxa"/>
            <w:vAlign w:val="bottom"/>
            <w:tcBorders>
              <w:bottom w:val="single" w:sz="8" w:color="61656A"/>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960" w:type="dxa"/>
            <w:vAlign w:val="bottom"/>
            <w:tcBorders>
              <w:bottom w:val="single" w:sz="8" w:color="888B8D"/>
            </w:tcBorders>
            <w:gridSpan w:val="2"/>
          </w:tcPr>
          <w:p>
            <w:pPr>
              <w:ind w:left="20"/>
              <w:spacing w:after="0"/>
              <w:rPr>
                <w:sz w:val="20"/>
                <w:szCs w:val="20"/>
                <w:color w:val="auto"/>
              </w:rPr>
            </w:pPr>
            <w:r>
              <w:rPr>
                <w:rFonts w:ascii="Arial" w:cs="Arial" w:eastAsia="Arial" w:hAnsi="Arial"/>
                <w:sz w:val="14"/>
                <w:szCs w:val="14"/>
                <w:b w:val="1"/>
                <w:bCs w:val="1"/>
                <w:color w:val="auto"/>
              </w:rPr>
              <w:t>Gain (loss) on fair value hedges</w:t>
            </w:r>
          </w:p>
        </w:tc>
        <w:tc>
          <w:tcPr>
            <w:tcW w:w="920" w:type="dxa"/>
            <w:vAlign w:val="bottom"/>
            <w:tcBorders>
              <w:bottom w:val="single" w:sz="8" w:color="888B8D"/>
            </w:tcBorders>
          </w:tcPr>
          <w:p>
            <w:pPr>
              <w:spacing w:after="0"/>
              <w:rPr>
                <w:sz w:val="16"/>
                <w:szCs w:val="16"/>
                <w:color w:val="auto"/>
              </w:rPr>
            </w:pPr>
          </w:p>
        </w:tc>
        <w:tc>
          <w:tcPr>
            <w:tcW w:w="280" w:type="dxa"/>
            <w:vAlign w:val="bottom"/>
            <w:tcBorders>
              <w:bottom w:val="single" w:sz="8" w:color="888B8D"/>
            </w:tcBorders>
          </w:tcPr>
          <w:p>
            <w:pPr>
              <w:spacing w:after="0"/>
              <w:rPr>
                <w:sz w:val="16"/>
                <w:szCs w:val="16"/>
                <w:color w:val="auto"/>
              </w:rPr>
            </w:pPr>
          </w:p>
        </w:tc>
        <w:tc>
          <w:tcPr>
            <w:tcW w:w="940" w:type="dxa"/>
            <w:vAlign w:val="bottom"/>
            <w:tcBorders>
              <w:bottom w:val="single" w:sz="8" w:color="888B8D"/>
            </w:tcBorders>
          </w:tcPr>
          <w:p>
            <w:pPr>
              <w:spacing w:after="0"/>
              <w:rPr>
                <w:sz w:val="16"/>
                <w:szCs w:val="16"/>
                <w:color w:val="auto"/>
              </w:rPr>
            </w:pPr>
          </w:p>
        </w:tc>
        <w:tc>
          <w:tcPr>
            <w:tcW w:w="260" w:type="dxa"/>
            <w:vAlign w:val="bottom"/>
            <w:tcBorders>
              <w:bottom w:val="single" w:sz="8" w:color="888B8D"/>
            </w:tcBorders>
          </w:tcPr>
          <w:p>
            <w:pPr>
              <w:spacing w:after="0"/>
              <w:rPr>
                <w:sz w:val="16"/>
                <w:szCs w:val="16"/>
                <w:color w:val="auto"/>
              </w:rPr>
            </w:pPr>
          </w:p>
        </w:tc>
        <w:tc>
          <w:tcPr>
            <w:tcW w:w="920" w:type="dxa"/>
            <w:vAlign w:val="bottom"/>
            <w:tcBorders>
              <w:bottom w:val="single" w:sz="8" w:color="888B8D"/>
            </w:tcBorders>
          </w:tcPr>
          <w:p>
            <w:pPr>
              <w:spacing w:after="0"/>
              <w:rPr>
                <w:sz w:val="16"/>
                <w:szCs w:val="16"/>
                <w:color w:val="auto"/>
              </w:rPr>
            </w:pPr>
          </w:p>
        </w:tc>
        <w:tc>
          <w:tcPr>
            <w:tcW w:w="240" w:type="dxa"/>
            <w:vAlign w:val="bottom"/>
            <w:tcBorders>
              <w:bottom w:val="single" w:sz="8" w:color="888B8D"/>
            </w:tcBorders>
          </w:tcPr>
          <w:p>
            <w:pPr>
              <w:spacing w:after="0"/>
              <w:rPr>
                <w:sz w:val="16"/>
                <w:szCs w:val="16"/>
                <w:color w:val="auto"/>
              </w:rPr>
            </w:pPr>
          </w:p>
        </w:tc>
        <w:tc>
          <w:tcPr>
            <w:tcW w:w="1320" w:type="dxa"/>
            <w:vAlign w:val="bottom"/>
            <w:tcBorders>
              <w:bottom w:val="single" w:sz="8" w:color="888B8D"/>
            </w:tcBorders>
          </w:tcPr>
          <w:p>
            <w:pPr>
              <w:spacing w:after="0"/>
              <w:rPr>
                <w:sz w:val="16"/>
                <w:szCs w:val="16"/>
                <w:color w:val="auto"/>
              </w:rPr>
            </w:pPr>
          </w:p>
        </w:tc>
        <w:tc>
          <w:tcPr>
            <w:tcW w:w="280" w:type="dxa"/>
            <w:vAlign w:val="bottom"/>
            <w:tcBorders>
              <w:bottom w:val="single" w:sz="8" w:color="888B8D"/>
            </w:tcBorders>
          </w:tcPr>
          <w:p>
            <w:pPr>
              <w:spacing w:after="0"/>
              <w:rPr>
                <w:sz w:val="16"/>
                <w:szCs w:val="16"/>
                <w:color w:val="auto"/>
              </w:rPr>
            </w:pPr>
          </w:p>
        </w:tc>
        <w:tc>
          <w:tcPr>
            <w:tcW w:w="980" w:type="dxa"/>
            <w:vAlign w:val="bottom"/>
            <w:tcBorders>
              <w:bottom w:val="single" w:sz="8" w:color="888B8D"/>
            </w:tcBorders>
          </w:tcPr>
          <w:p>
            <w:pPr>
              <w:spacing w:after="0"/>
              <w:rPr>
                <w:sz w:val="16"/>
                <w:szCs w:val="16"/>
                <w:color w:val="auto"/>
              </w:rPr>
            </w:pPr>
          </w:p>
        </w:tc>
        <w:tc>
          <w:tcPr>
            <w:tcW w:w="220" w:type="dxa"/>
            <w:vAlign w:val="bottom"/>
            <w:tcBorders>
              <w:bottom w:val="single" w:sz="8" w:color="888B8D"/>
            </w:tcBorders>
          </w:tcPr>
          <w:p>
            <w:pPr>
              <w:spacing w:after="0"/>
              <w:rPr>
                <w:sz w:val="16"/>
                <w:szCs w:val="16"/>
                <w:color w:val="auto"/>
              </w:rPr>
            </w:pPr>
          </w:p>
        </w:tc>
        <w:tc>
          <w:tcPr>
            <w:tcW w:w="920" w:type="dxa"/>
            <w:vAlign w:val="bottom"/>
            <w:tcBorders>
              <w:bottom w:val="single" w:sz="8" w:color="888B8D"/>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960" w:type="dxa"/>
            <w:vAlign w:val="bottom"/>
            <w:tcBorders>
              <w:bottom w:val="single" w:sz="8" w:color="888B8D"/>
            </w:tcBorders>
            <w:gridSpan w:val="2"/>
          </w:tcPr>
          <w:p>
            <w:pPr>
              <w:ind w:left="140"/>
              <w:spacing w:after="0"/>
              <w:rPr>
                <w:sz w:val="20"/>
                <w:szCs w:val="20"/>
                <w:color w:val="auto"/>
              </w:rPr>
            </w:pPr>
            <w:r>
              <w:rPr>
                <w:rFonts w:ascii="Arial" w:cs="Arial" w:eastAsia="Arial" w:hAnsi="Arial"/>
                <w:sz w:val="14"/>
                <w:szCs w:val="14"/>
                <w:color w:val="auto"/>
              </w:rPr>
              <w:t>Interest rate swap agreements</w:t>
            </w:r>
          </w:p>
        </w:tc>
        <w:tc>
          <w:tcPr>
            <w:tcW w:w="920" w:type="dxa"/>
            <w:vAlign w:val="bottom"/>
            <w:tcBorders>
              <w:bottom w:val="single" w:sz="8" w:color="888B8D"/>
            </w:tcBorders>
          </w:tcPr>
          <w:p>
            <w:pPr>
              <w:spacing w:after="0"/>
              <w:rPr>
                <w:sz w:val="16"/>
                <w:szCs w:val="16"/>
                <w:color w:val="auto"/>
              </w:rPr>
            </w:pPr>
          </w:p>
        </w:tc>
        <w:tc>
          <w:tcPr>
            <w:tcW w:w="280" w:type="dxa"/>
            <w:vAlign w:val="bottom"/>
            <w:tcBorders>
              <w:bottom w:val="single" w:sz="8" w:color="888B8D"/>
            </w:tcBorders>
          </w:tcPr>
          <w:p>
            <w:pPr>
              <w:spacing w:after="0"/>
              <w:rPr>
                <w:sz w:val="16"/>
                <w:szCs w:val="16"/>
                <w:color w:val="auto"/>
              </w:rPr>
            </w:pPr>
          </w:p>
        </w:tc>
        <w:tc>
          <w:tcPr>
            <w:tcW w:w="940" w:type="dxa"/>
            <w:vAlign w:val="bottom"/>
            <w:tcBorders>
              <w:bottom w:val="single" w:sz="8" w:color="888B8D"/>
            </w:tcBorders>
          </w:tcPr>
          <w:p>
            <w:pPr>
              <w:spacing w:after="0"/>
              <w:rPr>
                <w:sz w:val="16"/>
                <w:szCs w:val="16"/>
                <w:color w:val="auto"/>
              </w:rPr>
            </w:pPr>
          </w:p>
        </w:tc>
        <w:tc>
          <w:tcPr>
            <w:tcW w:w="260" w:type="dxa"/>
            <w:vAlign w:val="bottom"/>
            <w:tcBorders>
              <w:bottom w:val="single" w:sz="8" w:color="888B8D"/>
            </w:tcBorders>
          </w:tcPr>
          <w:p>
            <w:pPr>
              <w:spacing w:after="0"/>
              <w:rPr>
                <w:sz w:val="16"/>
                <w:szCs w:val="16"/>
                <w:color w:val="auto"/>
              </w:rPr>
            </w:pPr>
          </w:p>
        </w:tc>
        <w:tc>
          <w:tcPr>
            <w:tcW w:w="920" w:type="dxa"/>
            <w:vAlign w:val="bottom"/>
            <w:tcBorders>
              <w:bottom w:val="single" w:sz="8" w:color="888B8D"/>
            </w:tcBorders>
          </w:tcPr>
          <w:p>
            <w:pPr>
              <w:spacing w:after="0"/>
              <w:rPr>
                <w:sz w:val="16"/>
                <w:szCs w:val="16"/>
                <w:color w:val="auto"/>
              </w:rPr>
            </w:pPr>
          </w:p>
        </w:tc>
        <w:tc>
          <w:tcPr>
            <w:tcW w:w="240" w:type="dxa"/>
            <w:vAlign w:val="bottom"/>
            <w:tcBorders>
              <w:bottom w:val="single" w:sz="8" w:color="888B8D"/>
            </w:tcBorders>
          </w:tcPr>
          <w:p>
            <w:pPr>
              <w:spacing w:after="0"/>
              <w:rPr>
                <w:sz w:val="16"/>
                <w:szCs w:val="16"/>
                <w:color w:val="auto"/>
              </w:rPr>
            </w:pPr>
          </w:p>
        </w:tc>
        <w:tc>
          <w:tcPr>
            <w:tcW w:w="1320" w:type="dxa"/>
            <w:vAlign w:val="bottom"/>
            <w:tcBorders>
              <w:bottom w:val="single" w:sz="8" w:color="888B8D"/>
            </w:tcBorders>
          </w:tcPr>
          <w:p>
            <w:pPr>
              <w:spacing w:after="0"/>
              <w:rPr>
                <w:sz w:val="16"/>
                <w:szCs w:val="16"/>
                <w:color w:val="auto"/>
              </w:rPr>
            </w:pPr>
          </w:p>
        </w:tc>
        <w:tc>
          <w:tcPr>
            <w:tcW w:w="280" w:type="dxa"/>
            <w:vAlign w:val="bottom"/>
            <w:tcBorders>
              <w:bottom w:val="single" w:sz="8" w:color="888B8D"/>
            </w:tcBorders>
          </w:tcPr>
          <w:p>
            <w:pPr>
              <w:spacing w:after="0"/>
              <w:rPr>
                <w:sz w:val="16"/>
                <w:szCs w:val="16"/>
                <w:color w:val="auto"/>
              </w:rPr>
            </w:pPr>
          </w:p>
        </w:tc>
        <w:tc>
          <w:tcPr>
            <w:tcW w:w="980" w:type="dxa"/>
            <w:vAlign w:val="bottom"/>
            <w:tcBorders>
              <w:bottom w:val="single" w:sz="8" w:color="888B8D"/>
            </w:tcBorders>
          </w:tcPr>
          <w:p>
            <w:pPr>
              <w:spacing w:after="0"/>
              <w:rPr>
                <w:sz w:val="16"/>
                <w:szCs w:val="16"/>
                <w:color w:val="auto"/>
              </w:rPr>
            </w:pPr>
          </w:p>
        </w:tc>
        <w:tc>
          <w:tcPr>
            <w:tcW w:w="220" w:type="dxa"/>
            <w:vAlign w:val="bottom"/>
            <w:tcBorders>
              <w:bottom w:val="single" w:sz="8" w:color="888B8D"/>
            </w:tcBorders>
          </w:tcPr>
          <w:p>
            <w:pPr>
              <w:spacing w:after="0"/>
              <w:rPr>
                <w:sz w:val="16"/>
                <w:szCs w:val="16"/>
                <w:color w:val="auto"/>
              </w:rPr>
            </w:pPr>
          </w:p>
        </w:tc>
        <w:tc>
          <w:tcPr>
            <w:tcW w:w="920" w:type="dxa"/>
            <w:vAlign w:val="bottom"/>
            <w:tcBorders>
              <w:bottom w:val="single" w:sz="8" w:color="888B8D"/>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960" w:type="dxa"/>
            <w:vAlign w:val="bottom"/>
            <w:tcBorders>
              <w:bottom w:val="single" w:sz="8" w:color="888B8D"/>
            </w:tcBorders>
            <w:gridSpan w:val="2"/>
          </w:tcPr>
          <w:p>
            <w:pPr>
              <w:ind w:left="240"/>
              <w:spacing w:after="0"/>
              <w:rPr>
                <w:sz w:val="20"/>
                <w:szCs w:val="20"/>
                <w:color w:val="auto"/>
              </w:rPr>
            </w:pPr>
            <w:r>
              <w:rPr>
                <w:rFonts w:ascii="Arial" w:cs="Arial" w:eastAsia="Arial" w:hAnsi="Arial"/>
                <w:sz w:val="14"/>
                <w:szCs w:val="14"/>
                <w:color w:val="auto"/>
              </w:rPr>
              <w:t>Hedged items</w:t>
            </w:r>
          </w:p>
        </w:tc>
        <w:tc>
          <w:tcPr>
            <w:tcW w:w="92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888B8D"/>
            </w:tcBorders>
          </w:tcPr>
          <w:p>
            <w:pPr>
              <w:spacing w:after="0"/>
              <w:rPr>
                <w:sz w:val="17"/>
                <w:szCs w:val="17"/>
                <w:color w:val="auto"/>
              </w:rPr>
            </w:pPr>
          </w:p>
        </w:tc>
        <w:tc>
          <w:tcPr>
            <w:tcW w:w="94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888B8D"/>
            </w:tcBorders>
          </w:tcPr>
          <w:p>
            <w:pPr>
              <w:spacing w:after="0"/>
              <w:rPr>
                <w:sz w:val="17"/>
                <w:szCs w:val="17"/>
                <w:color w:val="auto"/>
              </w:rPr>
            </w:pPr>
          </w:p>
        </w:tc>
        <w:tc>
          <w:tcPr>
            <w:tcW w:w="92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888B8D"/>
            </w:tcBorders>
          </w:tcPr>
          <w:p>
            <w:pPr>
              <w:spacing w:after="0"/>
              <w:rPr>
                <w:sz w:val="17"/>
                <w:szCs w:val="17"/>
                <w:color w:val="auto"/>
              </w:rPr>
            </w:pPr>
          </w:p>
        </w:tc>
        <w:tc>
          <w:tcPr>
            <w:tcW w:w="13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888B8D"/>
            </w:tcBorders>
          </w:tcPr>
          <w:p>
            <w:pPr>
              <w:spacing w:after="0"/>
              <w:rPr>
                <w:sz w:val="17"/>
                <w:szCs w:val="17"/>
                <w:color w:val="auto"/>
              </w:rPr>
            </w:pPr>
          </w:p>
        </w:tc>
        <w:tc>
          <w:tcPr>
            <w:tcW w:w="98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888B8D"/>
            </w:tcBorders>
          </w:tcPr>
          <w:p>
            <w:pPr>
              <w:spacing w:after="0"/>
              <w:rPr>
                <w:sz w:val="17"/>
                <w:szCs w:val="17"/>
                <w:color w:val="auto"/>
              </w:rPr>
            </w:pPr>
          </w:p>
        </w:tc>
        <w:tc>
          <w:tcPr>
            <w:tcW w:w="92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347</w:t>
            </w:r>
          </w:p>
        </w:tc>
        <w:tc>
          <w:tcPr>
            <w:tcW w:w="0" w:type="dxa"/>
            <w:vAlign w:val="bottom"/>
          </w:tcPr>
          <w:p>
            <w:pPr>
              <w:spacing w:after="0"/>
              <w:rPr>
                <w:sz w:val="1"/>
                <w:szCs w:val="1"/>
                <w:color w:val="auto"/>
              </w:rPr>
            </w:pPr>
          </w:p>
        </w:tc>
      </w:tr>
      <w:tr>
        <w:trPr>
          <w:trHeight w:val="196"/>
        </w:trPr>
        <w:tc>
          <w:tcPr>
            <w:tcW w:w="3960" w:type="dxa"/>
            <w:vAlign w:val="bottom"/>
            <w:tcBorders>
              <w:bottom w:val="single" w:sz="8" w:color="888B8D"/>
            </w:tcBorders>
            <w:gridSpan w:val="2"/>
          </w:tcPr>
          <w:p>
            <w:pPr>
              <w:ind w:left="240"/>
              <w:spacing w:after="0"/>
              <w:rPr>
                <w:sz w:val="20"/>
                <w:szCs w:val="20"/>
                <w:color w:val="auto"/>
              </w:rPr>
            </w:pPr>
            <w:r>
              <w:rPr>
                <w:rFonts w:ascii="Arial" w:cs="Arial" w:eastAsia="Arial" w:hAnsi="Arial"/>
                <w:sz w:val="14"/>
                <w:szCs w:val="14"/>
                <w:color w:val="auto"/>
              </w:rPr>
              <w:t>Derivatives designated as hedges</w:t>
            </w:r>
          </w:p>
        </w:tc>
        <w:tc>
          <w:tcPr>
            <w:tcW w:w="92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888B8D"/>
            </w:tcBorders>
          </w:tcPr>
          <w:p>
            <w:pPr>
              <w:spacing w:after="0"/>
              <w:rPr>
                <w:sz w:val="17"/>
                <w:szCs w:val="17"/>
                <w:color w:val="auto"/>
              </w:rPr>
            </w:pPr>
          </w:p>
        </w:tc>
        <w:tc>
          <w:tcPr>
            <w:tcW w:w="94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888B8D"/>
            </w:tcBorders>
          </w:tcPr>
          <w:p>
            <w:pPr>
              <w:spacing w:after="0"/>
              <w:rPr>
                <w:sz w:val="17"/>
                <w:szCs w:val="17"/>
                <w:color w:val="auto"/>
              </w:rPr>
            </w:pPr>
          </w:p>
        </w:tc>
        <w:tc>
          <w:tcPr>
            <w:tcW w:w="92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888B8D"/>
            </w:tcBorders>
          </w:tcPr>
          <w:p>
            <w:pPr>
              <w:spacing w:after="0"/>
              <w:rPr>
                <w:sz w:val="17"/>
                <w:szCs w:val="17"/>
                <w:color w:val="auto"/>
              </w:rPr>
            </w:pPr>
          </w:p>
        </w:tc>
        <w:tc>
          <w:tcPr>
            <w:tcW w:w="13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888B8D"/>
            </w:tcBorders>
          </w:tcPr>
          <w:p>
            <w:pPr>
              <w:spacing w:after="0"/>
              <w:rPr>
                <w:sz w:val="17"/>
                <w:szCs w:val="17"/>
                <w:color w:val="auto"/>
              </w:rPr>
            </w:pPr>
          </w:p>
        </w:tc>
        <w:tc>
          <w:tcPr>
            <w:tcW w:w="98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888B8D"/>
            </w:tcBorders>
          </w:tcPr>
          <w:p>
            <w:pPr>
              <w:spacing w:after="0"/>
              <w:rPr>
                <w:sz w:val="17"/>
                <w:szCs w:val="17"/>
                <w:color w:val="auto"/>
              </w:rPr>
            </w:pPr>
          </w:p>
        </w:tc>
        <w:tc>
          <w:tcPr>
            <w:tcW w:w="92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(347)</w:t>
            </w:r>
          </w:p>
        </w:tc>
        <w:tc>
          <w:tcPr>
            <w:tcW w:w="0" w:type="dxa"/>
            <w:vAlign w:val="bottom"/>
          </w:tcPr>
          <w:p>
            <w:pPr>
              <w:spacing w:after="0"/>
              <w:rPr>
                <w:sz w:val="1"/>
                <w:szCs w:val="1"/>
                <w:color w:val="auto"/>
              </w:rPr>
            </w:pPr>
          </w:p>
        </w:tc>
      </w:tr>
      <w:tr>
        <w:trPr>
          <w:trHeight w:val="199"/>
        </w:trPr>
        <w:tc>
          <w:tcPr>
            <w:tcW w:w="3960" w:type="dxa"/>
            <w:vAlign w:val="bottom"/>
            <w:tcBorders>
              <w:bottom w:val="single" w:sz="8" w:color="888B8D"/>
            </w:tcBorders>
            <w:gridSpan w:val="2"/>
          </w:tcPr>
          <w:p>
            <w:pPr>
              <w:ind w:left="20"/>
              <w:spacing w:after="0"/>
              <w:rPr>
                <w:sz w:val="20"/>
                <w:szCs w:val="20"/>
                <w:color w:val="auto"/>
              </w:rPr>
            </w:pPr>
            <w:r>
              <w:rPr>
                <w:rFonts w:ascii="Arial" w:cs="Arial" w:eastAsia="Arial" w:hAnsi="Arial"/>
                <w:sz w:val="14"/>
                <w:szCs w:val="14"/>
                <w:b w:val="1"/>
                <w:bCs w:val="1"/>
                <w:color w:val="auto"/>
              </w:rPr>
              <w:t>Gain (loss) on net investment hedges</w:t>
            </w:r>
          </w:p>
        </w:tc>
        <w:tc>
          <w:tcPr>
            <w:tcW w:w="920" w:type="dxa"/>
            <w:vAlign w:val="bottom"/>
            <w:tcBorders>
              <w:bottom w:val="single" w:sz="8" w:color="888B8D"/>
            </w:tcBorders>
          </w:tcPr>
          <w:p>
            <w:pPr>
              <w:spacing w:after="0"/>
              <w:rPr>
                <w:sz w:val="17"/>
                <w:szCs w:val="17"/>
                <w:color w:val="auto"/>
              </w:rPr>
            </w:pPr>
          </w:p>
        </w:tc>
        <w:tc>
          <w:tcPr>
            <w:tcW w:w="280" w:type="dxa"/>
            <w:vAlign w:val="bottom"/>
            <w:tcBorders>
              <w:bottom w:val="single" w:sz="8" w:color="888B8D"/>
            </w:tcBorders>
          </w:tcPr>
          <w:p>
            <w:pPr>
              <w:spacing w:after="0"/>
              <w:rPr>
                <w:sz w:val="17"/>
                <w:szCs w:val="17"/>
                <w:color w:val="auto"/>
              </w:rPr>
            </w:pPr>
          </w:p>
        </w:tc>
        <w:tc>
          <w:tcPr>
            <w:tcW w:w="940" w:type="dxa"/>
            <w:vAlign w:val="bottom"/>
            <w:tcBorders>
              <w:bottom w:val="single" w:sz="8" w:color="888B8D"/>
            </w:tcBorders>
          </w:tcPr>
          <w:p>
            <w:pPr>
              <w:spacing w:after="0"/>
              <w:rPr>
                <w:sz w:val="17"/>
                <w:szCs w:val="17"/>
                <w:color w:val="auto"/>
              </w:rPr>
            </w:pPr>
          </w:p>
        </w:tc>
        <w:tc>
          <w:tcPr>
            <w:tcW w:w="260" w:type="dxa"/>
            <w:vAlign w:val="bottom"/>
            <w:tcBorders>
              <w:bottom w:val="single" w:sz="8" w:color="888B8D"/>
            </w:tcBorders>
          </w:tcPr>
          <w:p>
            <w:pPr>
              <w:spacing w:after="0"/>
              <w:rPr>
                <w:sz w:val="17"/>
                <w:szCs w:val="17"/>
                <w:color w:val="auto"/>
              </w:rPr>
            </w:pPr>
          </w:p>
        </w:tc>
        <w:tc>
          <w:tcPr>
            <w:tcW w:w="920" w:type="dxa"/>
            <w:vAlign w:val="bottom"/>
            <w:tcBorders>
              <w:bottom w:val="single" w:sz="8" w:color="888B8D"/>
            </w:tcBorders>
          </w:tcPr>
          <w:p>
            <w:pPr>
              <w:spacing w:after="0"/>
              <w:rPr>
                <w:sz w:val="17"/>
                <w:szCs w:val="17"/>
                <w:color w:val="auto"/>
              </w:rPr>
            </w:pPr>
          </w:p>
        </w:tc>
        <w:tc>
          <w:tcPr>
            <w:tcW w:w="240" w:type="dxa"/>
            <w:vAlign w:val="bottom"/>
            <w:tcBorders>
              <w:bottom w:val="single" w:sz="8" w:color="888B8D"/>
            </w:tcBorders>
          </w:tcPr>
          <w:p>
            <w:pPr>
              <w:spacing w:after="0"/>
              <w:rPr>
                <w:sz w:val="17"/>
                <w:szCs w:val="17"/>
                <w:color w:val="auto"/>
              </w:rPr>
            </w:pPr>
          </w:p>
        </w:tc>
        <w:tc>
          <w:tcPr>
            <w:tcW w:w="1320" w:type="dxa"/>
            <w:vAlign w:val="bottom"/>
            <w:tcBorders>
              <w:bottom w:val="single" w:sz="8" w:color="888B8D"/>
            </w:tcBorders>
          </w:tcPr>
          <w:p>
            <w:pPr>
              <w:spacing w:after="0"/>
              <w:rPr>
                <w:sz w:val="17"/>
                <w:szCs w:val="17"/>
                <w:color w:val="auto"/>
              </w:rPr>
            </w:pPr>
          </w:p>
        </w:tc>
        <w:tc>
          <w:tcPr>
            <w:tcW w:w="280" w:type="dxa"/>
            <w:vAlign w:val="bottom"/>
            <w:tcBorders>
              <w:bottom w:val="single" w:sz="8" w:color="888B8D"/>
            </w:tcBorders>
          </w:tcPr>
          <w:p>
            <w:pPr>
              <w:spacing w:after="0"/>
              <w:rPr>
                <w:sz w:val="17"/>
                <w:szCs w:val="17"/>
                <w:color w:val="auto"/>
              </w:rPr>
            </w:pPr>
          </w:p>
        </w:tc>
        <w:tc>
          <w:tcPr>
            <w:tcW w:w="980" w:type="dxa"/>
            <w:vAlign w:val="bottom"/>
            <w:tcBorders>
              <w:bottom w:val="single" w:sz="8" w:color="888B8D"/>
            </w:tcBorders>
          </w:tcPr>
          <w:p>
            <w:pPr>
              <w:spacing w:after="0"/>
              <w:rPr>
                <w:sz w:val="17"/>
                <w:szCs w:val="17"/>
                <w:color w:val="auto"/>
              </w:rPr>
            </w:pPr>
          </w:p>
        </w:tc>
        <w:tc>
          <w:tcPr>
            <w:tcW w:w="220" w:type="dxa"/>
            <w:vAlign w:val="bottom"/>
            <w:tcBorders>
              <w:bottom w:val="single" w:sz="8" w:color="888B8D"/>
            </w:tcBorders>
          </w:tcPr>
          <w:p>
            <w:pPr>
              <w:spacing w:after="0"/>
              <w:rPr>
                <w:sz w:val="17"/>
                <w:szCs w:val="17"/>
                <w:color w:val="auto"/>
              </w:rPr>
            </w:pPr>
          </w:p>
        </w:tc>
        <w:tc>
          <w:tcPr>
            <w:tcW w:w="920" w:type="dxa"/>
            <w:vAlign w:val="bottom"/>
            <w:tcBorders>
              <w:bottom w:val="single" w:sz="8" w:color="888B8D"/>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960" w:type="dxa"/>
            <w:vAlign w:val="bottom"/>
            <w:tcBorders>
              <w:bottom w:val="single" w:sz="8" w:color="888B8D"/>
            </w:tcBorders>
            <w:gridSpan w:val="2"/>
          </w:tcPr>
          <w:p>
            <w:pPr>
              <w:ind w:left="140"/>
              <w:spacing w:after="0"/>
              <w:rPr>
                <w:sz w:val="20"/>
                <w:szCs w:val="20"/>
                <w:color w:val="auto"/>
              </w:rPr>
            </w:pPr>
            <w:r>
              <w:rPr>
                <w:rFonts w:ascii="Arial" w:cs="Arial" w:eastAsia="Arial" w:hAnsi="Arial"/>
                <w:sz w:val="14"/>
                <w:szCs w:val="14"/>
                <w:color w:val="auto"/>
              </w:rPr>
              <w:t>Foreign currency exchange contracts</w:t>
            </w:r>
          </w:p>
        </w:tc>
        <w:tc>
          <w:tcPr>
            <w:tcW w:w="920" w:type="dxa"/>
            <w:vAlign w:val="bottom"/>
            <w:tcBorders>
              <w:bottom w:val="single" w:sz="8" w:color="888B8D"/>
            </w:tcBorders>
          </w:tcPr>
          <w:p>
            <w:pPr>
              <w:spacing w:after="0"/>
              <w:rPr>
                <w:sz w:val="16"/>
                <w:szCs w:val="16"/>
                <w:color w:val="auto"/>
              </w:rPr>
            </w:pPr>
          </w:p>
        </w:tc>
        <w:tc>
          <w:tcPr>
            <w:tcW w:w="280" w:type="dxa"/>
            <w:vAlign w:val="bottom"/>
            <w:tcBorders>
              <w:bottom w:val="single" w:sz="8" w:color="888B8D"/>
            </w:tcBorders>
          </w:tcPr>
          <w:p>
            <w:pPr>
              <w:spacing w:after="0"/>
              <w:rPr>
                <w:sz w:val="16"/>
                <w:szCs w:val="16"/>
                <w:color w:val="auto"/>
              </w:rPr>
            </w:pPr>
          </w:p>
        </w:tc>
        <w:tc>
          <w:tcPr>
            <w:tcW w:w="940" w:type="dxa"/>
            <w:vAlign w:val="bottom"/>
            <w:tcBorders>
              <w:bottom w:val="single" w:sz="8" w:color="888B8D"/>
            </w:tcBorders>
          </w:tcPr>
          <w:p>
            <w:pPr>
              <w:spacing w:after="0"/>
              <w:rPr>
                <w:sz w:val="16"/>
                <w:szCs w:val="16"/>
                <w:color w:val="auto"/>
              </w:rPr>
            </w:pPr>
          </w:p>
        </w:tc>
        <w:tc>
          <w:tcPr>
            <w:tcW w:w="260" w:type="dxa"/>
            <w:vAlign w:val="bottom"/>
            <w:tcBorders>
              <w:bottom w:val="single" w:sz="8" w:color="888B8D"/>
            </w:tcBorders>
          </w:tcPr>
          <w:p>
            <w:pPr>
              <w:spacing w:after="0"/>
              <w:rPr>
                <w:sz w:val="16"/>
                <w:szCs w:val="16"/>
                <w:color w:val="auto"/>
              </w:rPr>
            </w:pPr>
          </w:p>
        </w:tc>
        <w:tc>
          <w:tcPr>
            <w:tcW w:w="920" w:type="dxa"/>
            <w:vAlign w:val="bottom"/>
            <w:tcBorders>
              <w:bottom w:val="single" w:sz="8" w:color="888B8D"/>
            </w:tcBorders>
          </w:tcPr>
          <w:p>
            <w:pPr>
              <w:spacing w:after="0"/>
              <w:rPr>
                <w:sz w:val="16"/>
                <w:szCs w:val="16"/>
                <w:color w:val="auto"/>
              </w:rPr>
            </w:pPr>
          </w:p>
        </w:tc>
        <w:tc>
          <w:tcPr>
            <w:tcW w:w="240" w:type="dxa"/>
            <w:vAlign w:val="bottom"/>
            <w:tcBorders>
              <w:bottom w:val="single" w:sz="8" w:color="888B8D"/>
            </w:tcBorders>
          </w:tcPr>
          <w:p>
            <w:pPr>
              <w:spacing w:after="0"/>
              <w:rPr>
                <w:sz w:val="16"/>
                <w:szCs w:val="16"/>
                <w:color w:val="auto"/>
              </w:rPr>
            </w:pPr>
          </w:p>
        </w:tc>
        <w:tc>
          <w:tcPr>
            <w:tcW w:w="1320" w:type="dxa"/>
            <w:vAlign w:val="bottom"/>
            <w:tcBorders>
              <w:bottom w:val="single" w:sz="8" w:color="888B8D"/>
            </w:tcBorders>
          </w:tcPr>
          <w:p>
            <w:pPr>
              <w:spacing w:after="0"/>
              <w:rPr>
                <w:sz w:val="16"/>
                <w:szCs w:val="16"/>
                <w:color w:val="auto"/>
              </w:rPr>
            </w:pPr>
          </w:p>
        </w:tc>
        <w:tc>
          <w:tcPr>
            <w:tcW w:w="280" w:type="dxa"/>
            <w:vAlign w:val="bottom"/>
            <w:tcBorders>
              <w:bottom w:val="single" w:sz="8" w:color="888B8D"/>
            </w:tcBorders>
          </w:tcPr>
          <w:p>
            <w:pPr>
              <w:spacing w:after="0"/>
              <w:rPr>
                <w:sz w:val="16"/>
                <w:szCs w:val="16"/>
                <w:color w:val="auto"/>
              </w:rPr>
            </w:pPr>
          </w:p>
        </w:tc>
        <w:tc>
          <w:tcPr>
            <w:tcW w:w="980" w:type="dxa"/>
            <w:vAlign w:val="bottom"/>
            <w:tcBorders>
              <w:bottom w:val="single" w:sz="8" w:color="888B8D"/>
            </w:tcBorders>
          </w:tcPr>
          <w:p>
            <w:pPr>
              <w:spacing w:after="0"/>
              <w:rPr>
                <w:sz w:val="16"/>
                <w:szCs w:val="16"/>
                <w:color w:val="auto"/>
              </w:rPr>
            </w:pPr>
          </w:p>
        </w:tc>
        <w:tc>
          <w:tcPr>
            <w:tcW w:w="220" w:type="dxa"/>
            <w:vAlign w:val="bottom"/>
            <w:tcBorders>
              <w:bottom w:val="single" w:sz="8" w:color="888B8D"/>
            </w:tcBorders>
          </w:tcPr>
          <w:p>
            <w:pPr>
              <w:spacing w:after="0"/>
              <w:rPr>
                <w:sz w:val="16"/>
                <w:szCs w:val="16"/>
                <w:color w:val="auto"/>
              </w:rPr>
            </w:pPr>
          </w:p>
        </w:tc>
        <w:tc>
          <w:tcPr>
            <w:tcW w:w="920" w:type="dxa"/>
            <w:vAlign w:val="bottom"/>
            <w:tcBorders>
              <w:bottom w:val="single" w:sz="8" w:color="888B8D"/>
            </w:tcBorders>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3960" w:type="dxa"/>
            <w:vAlign w:val="bottom"/>
            <w:gridSpan w:val="2"/>
          </w:tcPr>
          <w:p>
            <w:pPr>
              <w:ind w:left="240"/>
              <w:spacing w:after="0" w:line="151" w:lineRule="exact"/>
              <w:rPr>
                <w:sz w:val="20"/>
                <w:szCs w:val="20"/>
                <w:color w:val="auto"/>
              </w:rPr>
            </w:pPr>
            <w:r>
              <w:rPr>
                <w:rFonts w:ascii="Arial" w:cs="Arial" w:eastAsia="Arial" w:hAnsi="Arial"/>
                <w:sz w:val="14"/>
                <w:szCs w:val="14"/>
                <w:color w:val="auto"/>
              </w:rPr>
              <w:t>Amount excluded from effectiveness testing recognized</w:t>
            </w:r>
          </w:p>
        </w:tc>
        <w:tc>
          <w:tcPr>
            <w:tcW w:w="92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94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92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132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9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85"/>
        </w:trPr>
        <w:tc>
          <w:tcPr>
            <w:tcW w:w="3960" w:type="dxa"/>
            <w:vAlign w:val="bottom"/>
            <w:tcBorders>
              <w:bottom w:val="single" w:sz="8" w:color="888B8D"/>
            </w:tcBorders>
            <w:gridSpan w:val="2"/>
          </w:tcPr>
          <w:p>
            <w:pPr>
              <w:ind w:left="240"/>
              <w:spacing w:after="0"/>
              <w:rPr>
                <w:sz w:val="20"/>
                <w:szCs w:val="20"/>
                <w:color w:val="auto"/>
              </w:rPr>
            </w:pPr>
            <w:r>
              <w:rPr>
                <w:rFonts w:ascii="Arial" w:cs="Arial" w:eastAsia="Arial" w:hAnsi="Arial"/>
                <w:sz w:val="14"/>
                <w:szCs w:val="14"/>
                <w:color w:val="auto"/>
              </w:rPr>
              <w:t>in earnings using an amortization approach</w:t>
            </w:r>
          </w:p>
        </w:tc>
        <w:tc>
          <w:tcPr>
            <w:tcW w:w="920" w:type="dxa"/>
            <w:vAlign w:val="bottom"/>
            <w:tcBorders>
              <w:bottom w:val="single" w:sz="8" w:color="888B8D"/>
            </w:tcBorders>
            <w:vMerge w:val="continue"/>
          </w:tcPr>
          <w:p>
            <w:pPr>
              <w:spacing w:after="0"/>
              <w:rPr>
                <w:sz w:val="16"/>
                <w:szCs w:val="16"/>
                <w:color w:val="auto"/>
              </w:rPr>
            </w:pPr>
          </w:p>
        </w:tc>
        <w:tc>
          <w:tcPr>
            <w:tcW w:w="280" w:type="dxa"/>
            <w:vAlign w:val="bottom"/>
            <w:tcBorders>
              <w:bottom w:val="single" w:sz="8" w:color="888B8D"/>
            </w:tcBorders>
          </w:tcPr>
          <w:p>
            <w:pPr>
              <w:spacing w:after="0"/>
              <w:rPr>
                <w:sz w:val="16"/>
                <w:szCs w:val="16"/>
                <w:color w:val="auto"/>
              </w:rPr>
            </w:pPr>
          </w:p>
        </w:tc>
        <w:tc>
          <w:tcPr>
            <w:tcW w:w="940" w:type="dxa"/>
            <w:vAlign w:val="bottom"/>
            <w:tcBorders>
              <w:bottom w:val="single" w:sz="8" w:color="888B8D"/>
            </w:tcBorders>
            <w:vMerge w:val="continue"/>
          </w:tcPr>
          <w:p>
            <w:pPr>
              <w:spacing w:after="0"/>
              <w:rPr>
                <w:sz w:val="16"/>
                <w:szCs w:val="16"/>
                <w:color w:val="auto"/>
              </w:rPr>
            </w:pPr>
          </w:p>
        </w:tc>
        <w:tc>
          <w:tcPr>
            <w:tcW w:w="260" w:type="dxa"/>
            <w:vAlign w:val="bottom"/>
            <w:tcBorders>
              <w:bottom w:val="single" w:sz="8" w:color="888B8D"/>
            </w:tcBorders>
          </w:tcPr>
          <w:p>
            <w:pPr>
              <w:spacing w:after="0"/>
              <w:rPr>
                <w:sz w:val="16"/>
                <w:szCs w:val="16"/>
                <w:color w:val="auto"/>
              </w:rPr>
            </w:pPr>
          </w:p>
        </w:tc>
        <w:tc>
          <w:tcPr>
            <w:tcW w:w="920" w:type="dxa"/>
            <w:vAlign w:val="bottom"/>
            <w:tcBorders>
              <w:bottom w:val="single" w:sz="8" w:color="888B8D"/>
            </w:tcBorders>
            <w:vMerge w:val="continue"/>
          </w:tcPr>
          <w:p>
            <w:pPr>
              <w:spacing w:after="0"/>
              <w:rPr>
                <w:sz w:val="16"/>
                <w:szCs w:val="16"/>
                <w:color w:val="auto"/>
              </w:rPr>
            </w:pPr>
          </w:p>
        </w:tc>
        <w:tc>
          <w:tcPr>
            <w:tcW w:w="240" w:type="dxa"/>
            <w:vAlign w:val="bottom"/>
            <w:tcBorders>
              <w:bottom w:val="single" w:sz="8" w:color="888B8D"/>
            </w:tcBorders>
          </w:tcPr>
          <w:p>
            <w:pPr>
              <w:spacing w:after="0"/>
              <w:rPr>
                <w:sz w:val="16"/>
                <w:szCs w:val="16"/>
                <w:color w:val="auto"/>
              </w:rPr>
            </w:pPr>
          </w:p>
        </w:tc>
        <w:tc>
          <w:tcPr>
            <w:tcW w:w="1320" w:type="dxa"/>
            <w:vAlign w:val="bottom"/>
            <w:tcBorders>
              <w:bottom w:val="single" w:sz="8" w:color="888B8D"/>
            </w:tcBorders>
            <w:vMerge w:val="continue"/>
          </w:tcPr>
          <w:p>
            <w:pPr>
              <w:spacing w:after="0"/>
              <w:rPr>
                <w:sz w:val="16"/>
                <w:szCs w:val="16"/>
                <w:color w:val="auto"/>
              </w:rPr>
            </w:pPr>
          </w:p>
        </w:tc>
        <w:tc>
          <w:tcPr>
            <w:tcW w:w="280" w:type="dxa"/>
            <w:vAlign w:val="bottom"/>
            <w:tcBorders>
              <w:bottom w:val="single" w:sz="8" w:color="888B8D"/>
            </w:tcBorders>
          </w:tcPr>
          <w:p>
            <w:pPr>
              <w:spacing w:after="0"/>
              <w:rPr>
                <w:sz w:val="16"/>
                <w:szCs w:val="16"/>
                <w:color w:val="auto"/>
              </w:rPr>
            </w:pPr>
          </w:p>
        </w:tc>
        <w:tc>
          <w:tcPr>
            <w:tcW w:w="980" w:type="dxa"/>
            <w:vAlign w:val="bottom"/>
            <w:tcBorders>
              <w:bottom w:val="single" w:sz="8" w:color="888B8D"/>
            </w:tcBorders>
            <w:vMerge w:val="continue"/>
          </w:tcPr>
          <w:p>
            <w:pPr>
              <w:spacing w:after="0"/>
              <w:rPr>
                <w:sz w:val="16"/>
                <w:szCs w:val="16"/>
                <w:color w:val="auto"/>
              </w:rPr>
            </w:pPr>
          </w:p>
        </w:tc>
        <w:tc>
          <w:tcPr>
            <w:tcW w:w="220" w:type="dxa"/>
            <w:vAlign w:val="bottom"/>
            <w:tcBorders>
              <w:bottom w:val="single" w:sz="8" w:color="888B8D"/>
            </w:tcBorders>
          </w:tcPr>
          <w:p>
            <w:pPr>
              <w:spacing w:after="0"/>
              <w:rPr>
                <w:sz w:val="16"/>
                <w:szCs w:val="16"/>
                <w:color w:val="auto"/>
              </w:rPr>
            </w:pPr>
          </w:p>
        </w:tc>
        <w:tc>
          <w:tcPr>
            <w:tcW w:w="920" w:type="dxa"/>
            <w:vAlign w:val="bottom"/>
            <w:tcBorders>
              <w:bottom w:val="single" w:sz="8" w:color="888B8D"/>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3960" w:type="dxa"/>
            <w:vAlign w:val="bottom"/>
            <w:gridSpan w:val="2"/>
          </w:tcPr>
          <w:p>
            <w:pPr>
              <w:ind w:left="20"/>
              <w:spacing w:after="0" w:line="147" w:lineRule="exact"/>
              <w:rPr>
                <w:sz w:val="20"/>
                <w:szCs w:val="20"/>
                <w:color w:val="auto"/>
              </w:rPr>
            </w:pPr>
            <w:r>
              <w:rPr>
                <w:rFonts w:ascii="Arial" w:cs="Arial" w:eastAsia="Arial" w:hAnsi="Arial"/>
                <w:sz w:val="14"/>
                <w:szCs w:val="14"/>
                <w:b w:val="1"/>
                <w:bCs w:val="1"/>
                <w:color w:val="auto"/>
              </w:rPr>
              <w:t>Gain (loss) on derivatives not designated as hedging</w:t>
            </w: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960" w:type="dxa"/>
            <w:vAlign w:val="bottom"/>
            <w:tcBorders>
              <w:bottom w:val="single" w:sz="8" w:color="888B8D"/>
            </w:tcBorders>
            <w:gridSpan w:val="2"/>
          </w:tcPr>
          <w:p>
            <w:pPr>
              <w:ind w:left="20"/>
              <w:spacing w:after="0"/>
              <w:rPr>
                <w:sz w:val="20"/>
                <w:szCs w:val="20"/>
                <w:color w:val="auto"/>
              </w:rPr>
            </w:pPr>
            <w:r>
              <w:rPr>
                <w:rFonts w:ascii="Arial" w:cs="Arial" w:eastAsia="Arial" w:hAnsi="Arial"/>
                <w:sz w:val="14"/>
                <w:szCs w:val="14"/>
                <w:b w:val="1"/>
                <w:bCs w:val="1"/>
                <w:color w:val="auto"/>
              </w:rPr>
              <w:t>instruments</w:t>
            </w:r>
          </w:p>
        </w:tc>
        <w:tc>
          <w:tcPr>
            <w:tcW w:w="920" w:type="dxa"/>
            <w:vAlign w:val="bottom"/>
            <w:tcBorders>
              <w:bottom w:val="single" w:sz="8" w:color="888B8D"/>
            </w:tcBorders>
          </w:tcPr>
          <w:p>
            <w:pPr>
              <w:spacing w:after="0"/>
              <w:rPr>
                <w:sz w:val="16"/>
                <w:szCs w:val="16"/>
                <w:color w:val="auto"/>
              </w:rPr>
            </w:pPr>
          </w:p>
        </w:tc>
        <w:tc>
          <w:tcPr>
            <w:tcW w:w="280" w:type="dxa"/>
            <w:vAlign w:val="bottom"/>
            <w:tcBorders>
              <w:bottom w:val="single" w:sz="8" w:color="888B8D"/>
            </w:tcBorders>
          </w:tcPr>
          <w:p>
            <w:pPr>
              <w:spacing w:after="0"/>
              <w:rPr>
                <w:sz w:val="16"/>
                <w:szCs w:val="16"/>
                <w:color w:val="auto"/>
              </w:rPr>
            </w:pPr>
          </w:p>
        </w:tc>
        <w:tc>
          <w:tcPr>
            <w:tcW w:w="940" w:type="dxa"/>
            <w:vAlign w:val="bottom"/>
            <w:tcBorders>
              <w:bottom w:val="single" w:sz="8" w:color="888B8D"/>
            </w:tcBorders>
          </w:tcPr>
          <w:p>
            <w:pPr>
              <w:spacing w:after="0"/>
              <w:rPr>
                <w:sz w:val="16"/>
                <w:szCs w:val="16"/>
                <w:color w:val="auto"/>
              </w:rPr>
            </w:pPr>
          </w:p>
        </w:tc>
        <w:tc>
          <w:tcPr>
            <w:tcW w:w="260" w:type="dxa"/>
            <w:vAlign w:val="bottom"/>
            <w:tcBorders>
              <w:bottom w:val="single" w:sz="8" w:color="888B8D"/>
            </w:tcBorders>
          </w:tcPr>
          <w:p>
            <w:pPr>
              <w:spacing w:after="0"/>
              <w:rPr>
                <w:sz w:val="16"/>
                <w:szCs w:val="16"/>
                <w:color w:val="auto"/>
              </w:rPr>
            </w:pPr>
          </w:p>
        </w:tc>
        <w:tc>
          <w:tcPr>
            <w:tcW w:w="920" w:type="dxa"/>
            <w:vAlign w:val="bottom"/>
            <w:tcBorders>
              <w:bottom w:val="single" w:sz="8" w:color="888B8D"/>
            </w:tcBorders>
          </w:tcPr>
          <w:p>
            <w:pPr>
              <w:spacing w:after="0"/>
              <w:rPr>
                <w:sz w:val="16"/>
                <w:szCs w:val="16"/>
                <w:color w:val="auto"/>
              </w:rPr>
            </w:pPr>
          </w:p>
        </w:tc>
        <w:tc>
          <w:tcPr>
            <w:tcW w:w="240" w:type="dxa"/>
            <w:vAlign w:val="bottom"/>
            <w:tcBorders>
              <w:bottom w:val="single" w:sz="8" w:color="888B8D"/>
            </w:tcBorders>
          </w:tcPr>
          <w:p>
            <w:pPr>
              <w:spacing w:after="0"/>
              <w:rPr>
                <w:sz w:val="16"/>
                <w:szCs w:val="16"/>
                <w:color w:val="auto"/>
              </w:rPr>
            </w:pPr>
          </w:p>
        </w:tc>
        <w:tc>
          <w:tcPr>
            <w:tcW w:w="1320" w:type="dxa"/>
            <w:vAlign w:val="bottom"/>
            <w:tcBorders>
              <w:bottom w:val="single" w:sz="8" w:color="888B8D"/>
            </w:tcBorders>
          </w:tcPr>
          <w:p>
            <w:pPr>
              <w:spacing w:after="0"/>
              <w:rPr>
                <w:sz w:val="16"/>
                <w:szCs w:val="16"/>
                <w:color w:val="auto"/>
              </w:rPr>
            </w:pPr>
          </w:p>
        </w:tc>
        <w:tc>
          <w:tcPr>
            <w:tcW w:w="280" w:type="dxa"/>
            <w:vAlign w:val="bottom"/>
            <w:tcBorders>
              <w:bottom w:val="single" w:sz="8" w:color="888B8D"/>
            </w:tcBorders>
          </w:tcPr>
          <w:p>
            <w:pPr>
              <w:spacing w:after="0"/>
              <w:rPr>
                <w:sz w:val="16"/>
                <w:szCs w:val="16"/>
                <w:color w:val="auto"/>
              </w:rPr>
            </w:pPr>
          </w:p>
        </w:tc>
        <w:tc>
          <w:tcPr>
            <w:tcW w:w="980" w:type="dxa"/>
            <w:vAlign w:val="bottom"/>
            <w:tcBorders>
              <w:bottom w:val="single" w:sz="8" w:color="888B8D"/>
            </w:tcBorders>
          </w:tcPr>
          <w:p>
            <w:pPr>
              <w:spacing w:after="0"/>
              <w:rPr>
                <w:sz w:val="16"/>
                <w:szCs w:val="16"/>
                <w:color w:val="auto"/>
              </w:rPr>
            </w:pPr>
          </w:p>
        </w:tc>
        <w:tc>
          <w:tcPr>
            <w:tcW w:w="220" w:type="dxa"/>
            <w:vAlign w:val="bottom"/>
            <w:tcBorders>
              <w:bottom w:val="single" w:sz="8" w:color="888B8D"/>
            </w:tcBorders>
          </w:tcPr>
          <w:p>
            <w:pPr>
              <w:spacing w:after="0"/>
              <w:rPr>
                <w:sz w:val="16"/>
                <w:szCs w:val="16"/>
                <w:color w:val="auto"/>
              </w:rPr>
            </w:pPr>
          </w:p>
        </w:tc>
        <w:tc>
          <w:tcPr>
            <w:tcW w:w="920" w:type="dxa"/>
            <w:vAlign w:val="bottom"/>
            <w:tcBorders>
              <w:bottom w:val="single" w:sz="8" w:color="888B8D"/>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960" w:type="dxa"/>
            <w:vAlign w:val="bottom"/>
            <w:tcBorders>
              <w:bottom w:val="single" w:sz="8" w:color="D7282F"/>
            </w:tcBorders>
            <w:gridSpan w:val="2"/>
          </w:tcPr>
          <w:p>
            <w:pPr>
              <w:ind w:left="140"/>
              <w:spacing w:after="0"/>
              <w:rPr>
                <w:sz w:val="20"/>
                <w:szCs w:val="20"/>
                <w:color w:val="auto"/>
              </w:rPr>
            </w:pPr>
            <w:r>
              <w:rPr>
                <w:rFonts w:ascii="Arial" w:cs="Arial" w:eastAsia="Arial" w:hAnsi="Arial"/>
                <w:sz w:val="14"/>
                <w:szCs w:val="14"/>
                <w:color w:val="auto"/>
              </w:rPr>
              <w:t>Foreign currency exchange contracts</w:t>
            </w:r>
          </w:p>
        </w:tc>
        <w:tc>
          <w:tcPr>
            <w:tcW w:w="92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D7282F"/>
            </w:tcBorders>
          </w:tcPr>
          <w:p>
            <w:pPr>
              <w:spacing w:after="0"/>
              <w:rPr>
                <w:sz w:val="16"/>
                <w:szCs w:val="16"/>
                <w:color w:val="auto"/>
              </w:rPr>
            </w:pPr>
          </w:p>
        </w:tc>
        <w:tc>
          <w:tcPr>
            <w:tcW w:w="9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D7282F"/>
            </w:tcBorders>
          </w:tcPr>
          <w:p>
            <w:pPr>
              <w:spacing w:after="0"/>
              <w:rPr>
                <w:sz w:val="16"/>
                <w:szCs w:val="16"/>
                <w:color w:val="auto"/>
              </w:rPr>
            </w:pPr>
          </w:p>
        </w:tc>
        <w:tc>
          <w:tcPr>
            <w:tcW w:w="92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D7282F"/>
            </w:tcBorders>
          </w:tcPr>
          <w:p>
            <w:pPr>
              <w:spacing w:after="0"/>
              <w:rPr>
                <w:sz w:val="16"/>
                <w:szCs w:val="16"/>
                <w:color w:val="auto"/>
              </w:rPr>
            </w:pPr>
          </w:p>
        </w:tc>
        <w:tc>
          <w:tcPr>
            <w:tcW w:w="13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D7282F"/>
            </w:tcBorders>
          </w:tcPr>
          <w:p>
            <w:pPr>
              <w:spacing w:after="0"/>
              <w:rPr>
                <w:sz w:val="16"/>
                <w:szCs w:val="16"/>
                <w:color w:val="auto"/>
              </w:rPr>
            </w:pPr>
          </w:p>
        </w:tc>
        <w:tc>
          <w:tcPr>
            <w:tcW w:w="9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351</w:t>
            </w:r>
          </w:p>
        </w:tc>
        <w:tc>
          <w:tcPr>
            <w:tcW w:w="220" w:type="dxa"/>
            <w:vAlign w:val="bottom"/>
            <w:tcBorders>
              <w:bottom w:val="single" w:sz="8" w:color="D7282F"/>
            </w:tcBorders>
          </w:tcPr>
          <w:p>
            <w:pPr>
              <w:spacing w:after="0"/>
              <w:rPr>
                <w:sz w:val="16"/>
                <w:szCs w:val="16"/>
                <w:color w:val="auto"/>
              </w:rPr>
            </w:pPr>
          </w:p>
        </w:tc>
        <w:tc>
          <w:tcPr>
            <w:tcW w:w="9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As of December 31, 2024, the Company estimates that approximately $20 million of net derivative gains related to its cash flow hedges included in Accumulated other comprehensive loss will be reclassified into earnings within the next 12 months.</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amount of pre-tax gain or (loss) on net investment hedges recognized in Accumulated other comprehensive loss:</w:t>
      </w:r>
    </w:p>
    <w:p>
      <w:pPr>
        <w:spacing w:after="0" w:line="200" w:lineRule="exact"/>
        <w:rPr>
          <w:sz w:val="20"/>
          <w:szCs w:val="20"/>
          <w:color w:val="auto"/>
        </w:rPr>
      </w:pPr>
    </w:p>
    <w:p>
      <w:pPr>
        <w:jc w:val="center"/>
        <w:ind w:left="9460"/>
        <w:spacing w:after="0"/>
        <w:rPr>
          <w:sz w:val="20"/>
          <w:szCs w:val="20"/>
          <w:color w:val="auto"/>
        </w:rPr>
      </w:pPr>
      <w:r>
        <w:rPr>
          <w:rFonts w:ascii="Arial" w:cs="Arial" w:eastAsia="Arial" w:hAnsi="Arial"/>
          <w:sz w:val="14"/>
          <w:szCs w:val="14"/>
          <w:b w:val="1"/>
          <w:bCs w:val="1"/>
          <w:color w:val="auto"/>
        </w:rPr>
        <w:t>Years Ended December</w:t>
      </w:r>
    </w:p>
    <w:p>
      <w:pPr>
        <w:jc w:val="center"/>
        <w:ind w:left="9460"/>
        <w:spacing w:after="0"/>
        <w:rPr>
          <w:sz w:val="20"/>
          <w:szCs w:val="20"/>
          <w:color w:val="auto"/>
        </w:rPr>
      </w:pPr>
      <w:r>
        <w:rPr>
          <w:rFonts w:ascii="Arial" w:cs="Arial" w:eastAsia="Arial" w:hAnsi="Arial"/>
          <w:sz w:val="14"/>
          <w:szCs w:val="14"/>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6014085</wp:posOffset>
            </wp:positionH>
            <wp:positionV relativeFrom="paragraph">
              <wp:posOffset>14605</wp:posOffset>
            </wp:positionV>
            <wp:extent cx="112268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9">
                      <a:extLst>
                        <a:ext uri="{28A0092B-C50C-407E-A947-70E740481C1C}"/>
                      </a:extLst>
                    </a:blip>
                    <a:srcRect/>
                    <a:stretch>
                      <a:fillRect/>
                    </a:stretch>
                  </pic:blipFill>
                  <pic:spPr bwMode="auto">
                    <a:xfrm>
                      <a:off x="0" y="0"/>
                      <a:ext cx="1122680" cy="8890"/>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940" w:type="dxa"/>
            <w:vAlign w:val="bottom"/>
            <w:tcBorders>
              <w:bottom w:val="single" w:sz="8" w:color="D7282F"/>
            </w:tcBorders>
          </w:tcPr>
          <w:p>
            <w:pPr>
              <w:spacing w:after="0"/>
              <w:rPr>
                <w:sz w:val="17"/>
                <w:szCs w:val="17"/>
                <w:color w:val="auto"/>
              </w:rPr>
            </w:pPr>
          </w:p>
        </w:tc>
        <w:tc>
          <w:tcPr>
            <w:tcW w:w="370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jc w:val="right"/>
              <w:ind w:right="248"/>
              <w:spacing w:after="0"/>
              <w:rPr>
                <w:sz w:val="20"/>
                <w:szCs w:val="20"/>
                <w:color w:val="auto"/>
              </w:rPr>
            </w:pPr>
            <w:r>
              <w:rPr>
                <w:rFonts w:ascii="Arial" w:cs="Arial" w:eastAsia="Arial" w:hAnsi="Arial"/>
                <w:sz w:val="14"/>
                <w:szCs w:val="14"/>
                <w:b w:val="1"/>
                <w:bCs w:val="1"/>
                <w:color w:val="auto"/>
              </w:rPr>
              <w:t>2024</w:t>
            </w:r>
          </w:p>
        </w:tc>
        <w:tc>
          <w:tcPr>
            <w:tcW w:w="30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2023</w:t>
            </w:r>
          </w:p>
        </w:tc>
      </w:tr>
      <w:tr>
        <w:trPr>
          <w:trHeight w:val="193"/>
        </w:trPr>
        <w:tc>
          <w:tcPr>
            <w:tcW w:w="59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Euro-denominated long-term debt</w:t>
            </w:r>
          </w:p>
        </w:tc>
        <w:tc>
          <w:tcPr>
            <w:tcW w:w="37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249</w:t>
            </w:r>
          </w:p>
        </w:tc>
        <w:tc>
          <w:tcPr>
            <w:tcW w:w="3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(84)</w:t>
            </w:r>
          </w:p>
        </w:tc>
      </w:tr>
      <w:tr>
        <w:trPr>
          <w:trHeight w:val="196"/>
        </w:trPr>
        <w:tc>
          <w:tcPr>
            <w:tcW w:w="59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Euro-denominated commercial paper</w:t>
            </w:r>
          </w:p>
        </w:tc>
        <w:tc>
          <w:tcPr>
            <w:tcW w:w="3700" w:type="dxa"/>
            <w:vAlign w:val="bottom"/>
            <w:tcBorders>
              <w:bottom w:val="single" w:sz="8" w:color="61656A"/>
            </w:tcBorders>
          </w:tcPr>
          <w:p>
            <w:pPr>
              <w:spacing w:after="0"/>
              <w:rPr>
                <w:sz w:val="17"/>
                <w:szCs w:val="17"/>
                <w:color w:val="auto"/>
              </w:rPr>
            </w:pPr>
          </w:p>
        </w:tc>
        <w:tc>
          <w:tcPr>
            <w:tcW w:w="70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72</w:t>
            </w:r>
          </w:p>
        </w:tc>
        <w:tc>
          <w:tcPr>
            <w:tcW w:w="30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(42)</w:t>
            </w:r>
          </w:p>
        </w:tc>
      </w:tr>
      <w:tr>
        <w:trPr>
          <w:trHeight w:val="196"/>
        </w:trPr>
        <w:tc>
          <w:tcPr>
            <w:tcW w:w="594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Cross currency swap agreements</w:t>
            </w:r>
          </w:p>
        </w:tc>
        <w:tc>
          <w:tcPr>
            <w:tcW w:w="370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190</w:t>
            </w:r>
          </w:p>
        </w:tc>
        <w:tc>
          <w:tcPr>
            <w:tcW w:w="30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(193)</w:t>
            </w:r>
          </w:p>
        </w:tc>
      </w:tr>
    </w:tbl>
    <w:p>
      <w:pPr>
        <w:spacing w:after="0" w:line="332" w:lineRule="exact"/>
        <w:rPr>
          <w:sz w:val="20"/>
          <w:szCs w:val="20"/>
          <w:color w:val="auto"/>
        </w:rPr>
      </w:pPr>
    </w:p>
    <w:p>
      <w:pPr>
        <w:spacing w:after="0"/>
        <w:rPr>
          <w:sz w:val="20"/>
          <w:szCs w:val="20"/>
          <w:color w:val="auto"/>
        </w:rPr>
      </w:pPr>
      <w:r>
        <w:rPr>
          <w:rFonts w:ascii="Arial" w:cs="Arial" w:eastAsia="Arial" w:hAnsi="Arial"/>
          <w:sz w:val="29"/>
          <w:szCs w:val="29"/>
          <w:color w:val="D7282F"/>
        </w:rPr>
        <w:t>NOTE 12. FAIR VALUE MEASUREMENTS</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The accounting guidance for fair value measurements and disclosures establishes a three-level fair value hierarchy:</w:t>
      </w:r>
    </w:p>
    <w:p>
      <w:pPr>
        <w:spacing w:after="0" w:line="127" w:lineRule="exact"/>
        <w:rPr>
          <w:sz w:val="20"/>
          <w:szCs w:val="20"/>
          <w:color w:val="auto"/>
        </w:rPr>
      </w:pPr>
    </w:p>
    <w:p>
      <w:pPr>
        <w:ind w:left="200" w:hanging="192"/>
        <w:spacing w:after="0"/>
        <w:tabs>
          <w:tab w:leader="none" w:pos="200" w:val="left"/>
        </w:tabs>
        <w:numPr>
          <w:ilvl w:val="0"/>
          <w:numId w:val="144"/>
        </w:numPr>
        <w:rPr>
          <w:rFonts w:ascii="Arial" w:cs="Arial" w:eastAsia="Arial" w:hAnsi="Arial"/>
          <w:sz w:val="16"/>
          <w:szCs w:val="16"/>
          <w:color w:val="D7282F"/>
        </w:rPr>
      </w:pPr>
      <w:r>
        <w:rPr>
          <w:rFonts w:ascii="Arial" w:cs="Arial" w:eastAsia="Arial" w:hAnsi="Arial"/>
          <w:sz w:val="16"/>
          <w:szCs w:val="16"/>
          <w:color w:val="auto"/>
        </w:rPr>
        <w:t>Level 1 - Inputs are based on quoted prices in active markets for identical assets and liabilities.</w:t>
      </w:r>
    </w:p>
    <w:p>
      <w:pPr>
        <w:spacing w:after="0" w:line="86" w:lineRule="exact"/>
        <w:rPr>
          <w:rFonts w:ascii="Arial" w:cs="Arial" w:eastAsia="Arial" w:hAnsi="Arial"/>
          <w:sz w:val="16"/>
          <w:szCs w:val="16"/>
          <w:color w:val="D7282F"/>
        </w:rPr>
      </w:pPr>
    </w:p>
    <w:p>
      <w:pPr>
        <w:ind w:left="200" w:hanging="192"/>
        <w:spacing w:after="0"/>
        <w:tabs>
          <w:tab w:leader="none" w:pos="200" w:val="left"/>
        </w:tabs>
        <w:numPr>
          <w:ilvl w:val="0"/>
          <w:numId w:val="144"/>
        </w:numPr>
        <w:rPr>
          <w:rFonts w:ascii="Arial" w:cs="Arial" w:eastAsia="Arial" w:hAnsi="Arial"/>
          <w:sz w:val="16"/>
          <w:szCs w:val="16"/>
          <w:color w:val="D7282F"/>
        </w:rPr>
      </w:pPr>
      <w:r>
        <w:rPr>
          <w:rFonts w:ascii="Arial" w:cs="Arial" w:eastAsia="Arial" w:hAnsi="Arial"/>
          <w:sz w:val="16"/>
          <w:szCs w:val="16"/>
          <w:color w:val="auto"/>
        </w:rPr>
        <w:t>Level 2 - Inputs are based on observable inputs other than quoted prices in active markets for identical or similar assets and liabilities.</w:t>
      </w:r>
    </w:p>
    <w:p>
      <w:pPr>
        <w:spacing w:after="0" w:line="72" w:lineRule="exact"/>
        <w:rPr>
          <w:rFonts w:ascii="Arial" w:cs="Arial" w:eastAsia="Arial" w:hAnsi="Arial"/>
          <w:sz w:val="16"/>
          <w:szCs w:val="16"/>
          <w:color w:val="D7282F"/>
        </w:rPr>
      </w:pPr>
    </w:p>
    <w:p>
      <w:pPr>
        <w:ind w:left="200" w:hanging="192"/>
        <w:spacing w:after="0"/>
        <w:tabs>
          <w:tab w:leader="none" w:pos="200" w:val="left"/>
        </w:tabs>
        <w:numPr>
          <w:ilvl w:val="0"/>
          <w:numId w:val="144"/>
        </w:numPr>
        <w:rPr>
          <w:rFonts w:ascii="Arial" w:cs="Arial" w:eastAsia="Arial" w:hAnsi="Arial"/>
          <w:sz w:val="16"/>
          <w:szCs w:val="16"/>
          <w:color w:val="D7282F"/>
        </w:rPr>
      </w:pPr>
      <w:r>
        <w:rPr>
          <w:rFonts w:ascii="Arial" w:cs="Arial" w:eastAsia="Arial" w:hAnsi="Arial"/>
          <w:sz w:val="16"/>
          <w:szCs w:val="16"/>
          <w:color w:val="auto"/>
        </w:rPr>
        <w:t>Level 3 - One or more inputs are unobservable and significant.</w:t>
      </w:r>
    </w:p>
    <w:p>
      <w:pPr>
        <w:spacing w:after="0" w:line="127" w:lineRule="exact"/>
        <w:rPr>
          <w:sz w:val="20"/>
          <w:szCs w:val="20"/>
          <w:color w:val="auto"/>
        </w:rPr>
      </w:pPr>
    </w:p>
    <w:p>
      <w:pPr>
        <w:spacing w:after="0" w:line="263" w:lineRule="auto"/>
        <w:rPr>
          <w:sz w:val="20"/>
          <w:szCs w:val="20"/>
          <w:color w:val="auto"/>
        </w:rPr>
      </w:pPr>
      <w:r>
        <w:rPr>
          <w:rFonts w:ascii="Arial" w:cs="Arial" w:eastAsia="Arial" w:hAnsi="Arial"/>
          <w:sz w:val="16"/>
          <w:szCs w:val="16"/>
          <w:color w:val="auto"/>
        </w:rPr>
        <w:t>Financial and nonfinancial assets and liabilities are classified in their entirety based on the lowest level of input that is significant to the fair value measurement.</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00" w:hanging="392"/>
        <w:spacing w:after="0"/>
        <w:tabs>
          <w:tab w:leader="none" w:pos="400" w:val="left"/>
        </w:tabs>
        <w:numPr>
          <w:ilvl w:val="0"/>
          <w:numId w:val="145"/>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87" w:name="page88"/>
    <w:bookmarkEnd w:id="87"/>
    <w:p>
      <w:pPr>
        <w:ind w:left="20"/>
        <w:spacing w:after="0"/>
        <w:tabs>
          <w:tab w:leader="none" w:pos="784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FINANCIAL STATEMENTS AND SUPPLEMENTARY DATA</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Company’s financial assets and liabilities that were accounted for at fair value on a recurring basis: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560" w:type="dxa"/>
            <w:vAlign w:val="bottom"/>
          </w:tcPr>
          <w:p>
            <w:pPr>
              <w:spacing w:after="0"/>
              <w:rPr>
                <w:sz w:val="17"/>
                <w:szCs w:val="17"/>
                <w:color w:val="auto"/>
              </w:rPr>
            </w:pPr>
          </w:p>
        </w:tc>
        <w:tc>
          <w:tcPr>
            <w:tcW w:w="12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spacing w:after="0"/>
              <w:rPr>
                <w:sz w:val="17"/>
                <w:szCs w:val="17"/>
                <w:color w:val="auto"/>
              </w:rPr>
            </w:pPr>
          </w:p>
        </w:tc>
        <w:tc>
          <w:tcPr>
            <w:tcW w:w="260" w:type="dxa"/>
            <w:vAlign w:val="bottom"/>
            <w:tcBorders>
              <w:bottom w:val="single" w:sz="8" w:color="D7282F"/>
            </w:tcBorders>
          </w:tcPr>
          <w:p>
            <w:pPr>
              <w:spacing w:after="0"/>
              <w:rPr>
                <w:sz w:val="17"/>
                <w:szCs w:val="17"/>
                <w:color w:val="auto"/>
              </w:rPr>
            </w:pPr>
          </w:p>
        </w:tc>
        <w:tc>
          <w:tcPr>
            <w:tcW w:w="1700" w:type="dxa"/>
            <w:vAlign w:val="bottom"/>
            <w:tcBorders>
              <w:bottom w:val="single" w:sz="8" w:color="D7282F"/>
            </w:tcBorders>
            <w:gridSpan w:val="3"/>
          </w:tcPr>
          <w:p>
            <w:pPr>
              <w:jc w:val="right"/>
              <w:ind w:right="228"/>
              <w:spacing w:after="0"/>
              <w:rPr>
                <w:sz w:val="20"/>
                <w:szCs w:val="20"/>
                <w:color w:val="auto"/>
              </w:rPr>
            </w:pPr>
            <w:r>
              <w:rPr>
                <w:rFonts w:ascii="Arial" w:cs="Arial" w:eastAsia="Arial" w:hAnsi="Arial"/>
                <w:sz w:val="14"/>
                <w:szCs w:val="14"/>
                <w:b w:val="1"/>
                <w:bCs w:val="1"/>
                <w:color w:val="auto"/>
              </w:rPr>
              <w:t>December 31, 2024</w:t>
            </w:r>
          </w:p>
        </w:tc>
        <w:tc>
          <w:tcPr>
            <w:tcW w:w="30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spacing w:after="0"/>
              <w:rPr>
                <w:sz w:val="17"/>
                <w:szCs w:val="17"/>
                <w:color w:val="auto"/>
              </w:rPr>
            </w:pPr>
          </w:p>
        </w:tc>
        <w:tc>
          <w:tcPr>
            <w:tcW w:w="260" w:type="dxa"/>
            <w:vAlign w:val="bottom"/>
            <w:tcBorders>
              <w:bottom w:val="single" w:sz="8" w:color="D7282F"/>
            </w:tcBorders>
          </w:tcPr>
          <w:p>
            <w:pPr>
              <w:spacing w:after="0"/>
              <w:rPr>
                <w:sz w:val="17"/>
                <w:szCs w:val="17"/>
                <w:color w:val="auto"/>
              </w:rPr>
            </w:pPr>
          </w:p>
        </w:tc>
        <w:tc>
          <w:tcPr>
            <w:tcW w:w="1880" w:type="dxa"/>
            <w:vAlign w:val="bottom"/>
            <w:tcBorders>
              <w:bottom w:val="single" w:sz="8" w:color="D7282F"/>
            </w:tcBorders>
            <w:gridSpan w:val="4"/>
          </w:tcPr>
          <w:p>
            <w:pPr>
              <w:ind w:left="120"/>
              <w:spacing w:after="0"/>
              <w:rPr>
                <w:sz w:val="20"/>
                <w:szCs w:val="20"/>
                <w:color w:val="auto"/>
              </w:rPr>
            </w:pPr>
            <w:r>
              <w:rPr>
                <w:rFonts w:ascii="Arial" w:cs="Arial" w:eastAsia="Arial" w:hAnsi="Arial"/>
                <w:sz w:val="14"/>
                <w:szCs w:val="14"/>
                <w:b w:val="1"/>
                <w:bCs w:val="1"/>
                <w:color w:val="auto"/>
              </w:rPr>
              <w:t>December 31, 2023</w:t>
            </w:r>
          </w:p>
        </w:tc>
        <w:tc>
          <w:tcPr>
            <w:tcW w:w="14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spacing w:after="0"/>
              <w:rPr>
                <w:sz w:val="17"/>
                <w:szCs w:val="17"/>
                <w:color w:val="auto"/>
              </w:rPr>
            </w:pPr>
          </w:p>
        </w:tc>
      </w:tr>
      <w:tr>
        <w:trPr>
          <w:trHeight w:val="196"/>
        </w:trPr>
        <w:tc>
          <w:tcPr>
            <w:tcW w:w="3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ind w:right="148"/>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7"/>
                <w:szCs w:val="17"/>
                <w:color w:val="auto"/>
              </w:rPr>
            </w:pPr>
          </w:p>
        </w:tc>
        <w:tc>
          <w:tcPr>
            <w:tcW w:w="740" w:type="dxa"/>
            <w:vAlign w:val="bottom"/>
          </w:tcPr>
          <w:p>
            <w:pPr>
              <w:jc w:val="right"/>
              <w:ind w:right="168"/>
              <w:spacing w:after="0"/>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7"/>
                <w:szCs w:val="17"/>
                <w:color w:val="auto"/>
              </w:rPr>
            </w:pPr>
          </w:p>
        </w:tc>
        <w:tc>
          <w:tcPr>
            <w:tcW w:w="720" w:type="dxa"/>
            <w:vAlign w:val="bottom"/>
          </w:tcPr>
          <w:p>
            <w:pPr>
              <w:jc w:val="right"/>
              <w:ind w:right="148"/>
              <w:spacing w:after="0"/>
              <w:rPr>
                <w:sz w:val="20"/>
                <w:szCs w:val="20"/>
                <w:color w:val="auto"/>
              </w:rPr>
            </w:pPr>
            <w:r>
              <w:rPr>
                <w:rFonts w:ascii="Arial" w:cs="Arial" w:eastAsia="Arial" w:hAnsi="Arial"/>
                <w:sz w:val="14"/>
                <w:szCs w:val="14"/>
                <w:b w:val="1"/>
                <w:bCs w:val="1"/>
                <w:color w:val="auto"/>
              </w:rPr>
              <w:t>Level 3</w:t>
            </w:r>
          </w:p>
        </w:tc>
        <w:tc>
          <w:tcPr>
            <w:tcW w:w="300" w:type="dxa"/>
            <w:vAlign w:val="bottom"/>
          </w:tcPr>
          <w:p>
            <w:pPr>
              <w:spacing w:after="0"/>
              <w:rPr>
                <w:sz w:val="17"/>
                <w:szCs w:val="17"/>
                <w:color w:val="auto"/>
              </w:rPr>
            </w:pPr>
          </w:p>
        </w:tc>
        <w:tc>
          <w:tcPr>
            <w:tcW w:w="820" w:type="dxa"/>
            <w:vAlign w:val="bottom"/>
            <w:gridSpan w:val="2"/>
          </w:tcPr>
          <w:p>
            <w:pPr>
              <w:ind w:left="6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7"/>
                <w:szCs w:val="17"/>
                <w:color w:val="auto"/>
              </w:rPr>
            </w:pPr>
          </w:p>
        </w:tc>
        <w:tc>
          <w:tcPr>
            <w:tcW w:w="740" w:type="dxa"/>
            <w:vAlign w:val="bottom"/>
          </w:tcPr>
          <w:p>
            <w:pPr>
              <w:jc w:val="right"/>
              <w:ind w:right="148"/>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7"/>
                <w:szCs w:val="17"/>
                <w:color w:val="auto"/>
              </w:rPr>
            </w:pPr>
          </w:p>
        </w:tc>
        <w:tc>
          <w:tcPr>
            <w:tcW w:w="880" w:type="dxa"/>
            <w:vAlign w:val="bottom"/>
          </w:tcPr>
          <w:p>
            <w:pPr>
              <w:jc w:val="right"/>
              <w:ind w:right="308"/>
              <w:spacing w:after="0"/>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17"/>
                <w:szCs w:val="17"/>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3</w:t>
            </w:r>
          </w:p>
        </w:tc>
        <w:tc>
          <w:tcPr>
            <w:tcW w:w="140" w:type="dxa"/>
            <w:vAlign w:val="bottom"/>
          </w:tcPr>
          <w:p>
            <w:pPr>
              <w:spacing w:after="0"/>
              <w:rPr>
                <w:sz w:val="17"/>
                <w:szCs w:val="17"/>
                <w:color w:val="auto"/>
              </w:rPr>
            </w:pPr>
          </w:p>
        </w:tc>
        <w:tc>
          <w:tcPr>
            <w:tcW w:w="620" w:type="dxa"/>
            <w:vAlign w:val="bottom"/>
          </w:tcPr>
          <w:p>
            <w:pPr>
              <w:jc w:val="right"/>
              <w:ind w:right="148"/>
              <w:spacing w:after="0"/>
              <w:rPr>
                <w:sz w:val="20"/>
                <w:szCs w:val="20"/>
                <w:color w:val="auto"/>
              </w:rPr>
            </w:pPr>
            <w:r>
              <w:rPr>
                <w:rFonts w:ascii="Arial" w:cs="Arial" w:eastAsia="Arial" w:hAnsi="Arial"/>
                <w:sz w:val="14"/>
                <w:szCs w:val="14"/>
                <w:b w:val="1"/>
                <w:bCs w:val="1"/>
                <w:color w:val="auto"/>
              </w:rPr>
              <w:t>Total</w:t>
            </w:r>
          </w:p>
        </w:tc>
      </w:tr>
      <w:tr>
        <w:trPr>
          <w:trHeight w:val="223"/>
        </w:trPr>
        <w:tc>
          <w:tcPr>
            <w:tcW w:w="3560" w:type="dxa"/>
            <w:vAlign w:val="bottom"/>
            <w:tcBorders>
              <w:top w:val="single" w:sz="8" w:color="D7282F"/>
              <w:bottom w:val="single" w:sz="8" w:color="61656A"/>
            </w:tcBorders>
          </w:tcPr>
          <w:p>
            <w:pPr>
              <w:ind w:left="20"/>
              <w:spacing w:after="0"/>
              <w:rPr>
                <w:sz w:val="20"/>
                <w:szCs w:val="20"/>
                <w:color w:val="auto"/>
              </w:rPr>
            </w:pPr>
            <w:r>
              <w:rPr>
                <w:rFonts w:ascii="Arial" w:cs="Arial" w:eastAsia="Arial" w:hAnsi="Arial"/>
                <w:sz w:val="14"/>
                <w:szCs w:val="14"/>
                <w:b w:val="1"/>
                <w:bCs w:val="1"/>
                <w:color w:val="auto"/>
              </w:rPr>
              <w:t>Assets</w:t>
            </w:r>
          </w:p>
        </w:tc>
        <w:tc>
          <w:tcPr>
            <w:tcW w:w="120" w:type="dxa"/>
            <w:vAlign w:val="bottom"/>
            <w:tcBorders>
              <w:top w:val="single" w:sz="8" w:color="D7282F"/>
              <w:bottom w:val="single" w:sz="8" w:color="61656A"/>
            </w:tcBorders>
          </w:tcPr>
          <w:p>
            <w:pPr>
              <w:spacing w:after="0"/>
              <w:rPr>
                <w:sz w:val="19"/>
                <w:szCs w:val="19"/>
                <w:color w:val="auto"/>
              </w:rPr>
            </w:pPr>
          </w:p>
        </w:tc>
        <w:tc>
          <w:tcPr>
            <w:tcW w:w="720" w:type="dxa"/>
            <w:vAlign w:val="bottom"/>
            <w:tcBorders>
              <w:top w:val="single" w:sz="8" w:color="D7282F"/>
              <w:bottom w:val="single" w:sz="8" w:color="61656A"/>
            </w:tcBorders>
          </w:tcPr>
          <w:p>
            <w:pPr>
              <w:spacing w:after="0"/>
              <w:rPr>
                <w:sz w:val="19"/>
                <w:szCs w:val="19"/>
                <w:color w:val="auto"/>
              </w:rPr>
            </w:pPr>
          </w:p>
        </w:tc>
        <w:tc>
          <w:tcPr>
            <w:tcW w:w="260" w:type="dxa"/>
            <w:vAlign w:val="bottom"/>
            <w:tcBorders>
              <w:top w:val="single" w:sz="8" w:color="D7282F"/>
              <w:bottom w:val="single" w:sz="8" w:color="61656A"/>
            </w:tcBorders>
          </w:tcPr>
          <w:p>
            <w:pPr>
              <w:spacing w:after="0"/>
              <w:rPr>
                <w:sz w:val="19"/>
                <w:szCs w:val="19"/>
                <w:color w:val="auto"/>
              </w:rPr>
            </w:pPr>
          </w:p>
        </w:tc>
        <w:tc>
          <w:tcPr>
            <w:tcW w:w="740" w:type="dxa"/>
            <w:vAlign w:val="bottom"/>
            <w:tcBorders>
              <w:top w:val="single" w:sz="8" w:color="D7282F"/>
              <w:bottom w:val="single" w:sz="8" w:color="61656A"/>
            </w:tcBorders>
          </w:tcPr>
          <w:p>
            <w:pPr>
              <w:spacing w:after="0"/>
              <w:rPr>
                <w:sz w:val="19"/>
                <w:szCs w:val="19"/>
                <w:color w:val="auto"/>
              </w:rPr>
            </w:pPr>
          </w:p>
        </w:tc>
        <w:tc>
          <w:tcPr>
            <w:tcW w:w="240" w:type="dxa"/>
            <w:vAlign w:val="bottom"/>
            <w:tcBorders>
              <w:top w:val="single" w:sz="8" w:color="D7282F"/>
              <w:bottom w:val="single" w:sz="8" w:color="61656A"/>
            </w:tcBorders>
          </w:tcPr>
          <w:p>
            <w:pPr>
              <w:spacing w:after="0"/>
              <w:rPr>
                <w:sz w:val="19"/>
                <w:szCs w:val="19"/>
                <w:color w:val="auto"/>
              </w:rPr>
            </w:pPr>
          </w:p>
        </w:tc>
        <w:tc>
          <w:tcPr>
            <w:tcW w:w="720" w:type="dxa"/>
            <w:vAlign w:val="bottom"/>
            <w:tcBorders>
              <w:top w:val="single" w:sz="8" w:color="D7282F"/>
              <w:bottom w:val="single" w:sz="8" w:color="61656A"/>
            </w:tcBorders>
          </w:tcPr>
          <w:p>
            <w:pPr>
              <w:spacing w:after="0"/>
              <w:rPr>
                <w:sz w:val="19"/>
                <w:szCs w:val="19"/>
                <w:color w:val="auto"/>
              </w:rPr>
            </w:pPr>
          </w:p>
        </w:tc>
        <w:tc>
          <w:tcPr>
            <w:tcW w:w="300" w:type="dxa"/>
            <w:vAlign w:val="bottom"/>
            <w:tcBorders>
              <w:top w:val="single" w:sz="8" w:color="D7282F"/>
              <w:bottom w:val="single" w:sz="8" w:color="61656A"/>
            </w:tcBorders>
          </w:tcPr>
          <w:p>
            <w:pPr>
              <w:spacing w:after="0"/>
              <w:rPr>
                <w:sz w:val="19"/>
                <w:szCs w:val="19"/>
                <w:color w:val="auto"/>
              </w:rPr>
            </w:pPr>
          </w:p>
        </w:tc>
        <w:tc>
          <w:tcPr>
            <w:tcW w:w="600" w:type="dxa"/>
            <w:vAlign w:val="bottom"/>
            <w:tcBorders>
              <w:top w:val="single" w:sz="8" w:color="D7282F"/>
              <w:bottom w:val="single" w:sz="8" w:color="61656A"/>
            </w:tcBorders>
          </w:tcPr>
          <w:p>
            <w:pPr>
              <w:spacing w:after="0"/>
              <w:rPr>
                <w:sz w:val="19"/>
                <w:szCs w:val="19"/>
                <w:color w:val="auto"/>
              </w:rPr>
            </w:pPr>
          </w:p>
        </w:tc>
        <w:tc>
          <w:tcPr>
            <w:tcW w:w="220" w:type="dxa"/>
            <w:vAlign w:val="bottom"/>
            <w:tcBorders>
              <w:top w:val="single" w:sz="8" w:color="D7282F"/>
              <w:bottom w:val="single" w:sz="8" w:color="61656A"/>
            </w:tcBorders>
          </w:tcPr>
          <w:p>
            <w:pPr>
              <w:spacing w:after="0"/>
              <w:rPr>
                <w:sz w:val="19"/>
                <w:szCs w:val="19"/>
                <w:color w:val="auto"/>
              </w:rPr>
            </w:pPr>
          </w:p>
        </w:tc>
        <w:tc>
          <w:tcPr>
            <w:tcW w:w="120" w:type="dxa"/>
            <w:vAlign w:val="bottom"/>
            <w:tcBorders>
              <w:top w:val="single" w:sz="8" w:color="D7282F"/>
              <w:bottom w:val="single" w:sz="8" w:color="61656A"/>
            </w:tcBorders>
          </w:tcPr>
          <w:p>
            <w:pPr>
              <w:spacing w:after="0"/>
              <w:rPr>
                <w:sz w:val="19"/>
                <w:szCs w:val="19"/>
                <w:color w:val="auto"/>
              </w:rPr>
            </w:pPr>
          </w:p>
        </w:tc>
        <w:tc>
          <w:tcPr>
            <w:tcW w:w="740" w:type="dxa"/>
            <w:vAlign w:val="bottom"/>
            <w:tcBorders>
              <w:top w:val="single" w:sz="8" w:color="D7282F"/>
              <w:bottom w:val="single" w:sz="8" w:color="61656A"/>
            </w:tcBorders>
          </w:tcPr>
          <w:p>
            <w:pPr>
              <w:spacing w:after="0"/>
              <w:rPr>
                <w:sz w:val="19"/>
                <w:szCs w:val="19"/>
                <w:color w:val="auto"/>
              </w:rPr>
            </w:pPr>
          </w:p>
        </w:tc>
        <w:tc>
          <w:tcPr>
            <w:tcW w:w="260" w:type="dxa"/>
            <w:vAlign w:val="bottom"/>
            <w:tcBorders>
              <w:top w:val="single" w:sz="8" w:color="D7282F"/>
              <w:bottom w:val="single" w:sz="8" w:color="61656A"/>
            </w:tcBorders>
          </w:tcPr>
          <w:p>
            <w:pPr>
              <w:spacing w:after="0"/>
              <w:rPr>
                <w:sz w:val="19"/>
                <w:szCs w:val="19"/>
                <w:color w:val="auto"/>
              </w:rPr>
            </w:pPr>
          </w:p>
        </w:tc>
        <w:tc>
          <w:tcPr>
            <w:tcW w:w="880" w:type="dxa"/>
            <w:vAlign w:val="bottom"/>
            <w:tcBorders>
              <w:top w:val="single" w:sz="8" w:color="D7282F"/>
              <w:bottom w:val="single" w:sz="8" w:color="61656A"/>
            </w:tcBorders>
          </w:tcPr>
          <w:p>
            <w:pPr>
              <w:spacing w:after="0"/>
              <w:rPr>
                <w:sz w:val="19"/>
                <w:szCs w:val="19"/>
                <w:color w:val="auto"/>
              </w:rPr>
            </w:pPr>
          </w:p>
        </w:tc>
        <w:tc>
          <w:tcPr>
            <w:tcW w:w="120" w:type="dxa"/>
            <w:vAlign w:val="bottom"/>
            <w:tcBorders>
              <w:top w:val="single" w:sz="8" w:color="DC202E"/>
              <w:bottom w:val="single" w:sz="8" w:color="61656A"/>
            </w:tcBorders>
          </w:tcPr>
          <w:p>
            <w:pPr>
              <w:spacing w:after="0"/>
              <w:rPr>
                <w:sz w:val="19"/>
                <w:szCs w:val="19"/>
                <w:color w:val="auto"/>
              </w:rPr>
            </w:pPr>
          </w:p>
        </w:tc>
        <w:tc>
          <w:tcPr>
            <w:tcW w:w="640" w:type="dxa"/>
            <w:vAlign w:val="bottom"/>
            <w:tcBorders>
              <w:top w:val="single" w:sz="8" w:color="DC202E"/>
              <w:bottom w:val="single" w:sz="8" w:color="61656A"/>
            </w:tcBorders>
          </w:tcPr>
          <w:p>
            <w:pPr>
              <w:spacing w:after="0"/>
              <w:rPr>
                <w:sz w:val="19"/>
                <w:szCs w:val="19"/>
                <w:color w:val="auto"/>
              </w:rPr>
            </w:pPr>
          </w:p>
        </w:tc>
        <w:tc>
          <w:tcPr>
            <w:tcW w:w="240" w:type="dxa"/>
            <w:vAlign w:val="bottom"/>
            <w:tcBorders>
              <w:top w:val="single" w:sz="8" w:color="D7282F"/>
              <w:bottom w:val="single" w:sz="8" w:color="61656A"/>
            </w:tcBorders>
          </w:tcPr>
          <w:p>
            <w:pPr>
              <w:spacing w:after="0"/>
              <w:rPr>
                <w:sz w:val="19"/>
                <w:szCs w:val="19"/>
                <w:color w:val="auto"/>
              </w:rPr>
            </w:pPr>
          </w:p>
        </w:tc>
        <w:tc>
          <w:tcPr>
            <w:tcW w:w="140" w:type="dxa"/>
            <w:vAlign w:val="bottom"/>
            <w:tcBorders>
              <w:top w:val="single" w:sz="8" w:color="DC202E"/>
              <w:bottom w:val="single" w:sz="8" w:color="61656A"/>
            </w:tcBorders>
          </w:tcPr>
          <w:p>
            <w:pPr>
              <w:spacing w:after="0"/>
              <w:rPr>
                <w:sz w:val="19"/>
                <w:szCs w:val="19"/>
                <w:color w:val="auto"/>
              </w:rPr>
            </w:pPr>
          </w:p>
        </w:tc>
        <w:tc>
          <w:tcPr>
            <w:tcW w:w="620" w:type="dxa"/>
            <w:vAlign w:val="bottom"/>
            <w:tcBorders>
              <w:top w:val="single" w:sz="8" w:color="DC202E"/>
              <w:bottom w:val="single" w:sz="8" w:color="61656A"/>
            </w:tcBorders>
          </w:tcPr>
          <w:p>
            <w:pPr>
              <w:spacing w:after="0"/>
              <w:rPr>
                <w:sz w:val="19"/>
                <w:szCs w:val="19"/>
                <w:color w:val="auto"/>
              </w:rPr>
            </w:pPr>
          </w:p>
        </w:tc>
      </w:tr>
      <w:tr>
        <w:trPr>
          <w:trHeight w:val="193"/>
        </w:trPr>
        <w:tc>
          <w:tcPr>
            <w:tcW w:w="356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Foreign currency exchange contracts</w:t>
            </w:r>
          </w:p>
        </w:tc>
        <w:tc>
          <w:tcPr>
            <w:tcW w:w="1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33</w:t>
            </w:r>
          </w:p>
        </w:tc>
        <w:tc>
          <w:tcPr>
            <w:tcW w:w="2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33</w:t>
            </w:r>
          </w:p>
        </w:tc>
        <w:tc>
          <w:tcPr>
            <w:tcW w:w="220" w:type="dxa"/>
            <w:vAlign w:val="bottom"/>
            <w:tcBorders>
              <w:bottom w:val="single" w:sz="8" w:color="61656A"/>
            </w:tcBorders>
          </w:tcPr>
          <w:p>
            <w:pPr>
              <w:spacing w:after="0"/>
              <w:rPr>
                <w:sz w:val="16"/>
                <w:szCs w:val="16"/>
                <w:color w:val="auto"/>
              </w:rPr>
            </w:pPr>
          </w:p>
        </w:tc>
        <w:tc>
          <w:tcPr>
            <w:tcW w:w="1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61656A"/>
            </w:tcBorders>
          </w:tcPr>
          <w:p>
            <w:pPr>
              <w:jc w:val="right"/>
              <w:ind w:right="228"/>
              <w:spacing w:after="0"/>
              <w:rPr>
                <w:sz w:val="20"/>
                <w:szCs w:val="20"/>
                <w:color w:val="auto"/>
              </w:rPr>
            </w:pPr>
            <w:r>
              <w:rPr>
                <w:rFonts w:ascii="Arial" w:cs="Arial" w:eastAsia="Arial" w:hAnsi="Arial"/>
                <w:sz w:val="14"/>
                <w:szCs w:val="14"/>
                <w:color w:val="auto"/>
              </w:rPr>
              <w:t>35</w:t>
            </w:r>
          </w:p>
        </w:tc>
        <w:tc>
          <w:tcPr>
            <w:tcW w:w="1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61656A"/>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35</w:t>
            </w:r>
          </w:p>
        </w:tc>
      </w:tr>
      <w:tr>
        <w:trPr>
          <w:trHeight w:val="196"/>
        </w:trPr>
        <w:tc>
          <w:tcPr>
            <w:tcW w:w="356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Available for sale investments</w:t>
            </w:r>
          </w:p>
        </w:tc>
        <w:tc>
          <w:tcPr>
            <w:tcW w:w="12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69</w:t>
            </w: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427</w:t>
            </w:r>
          </w:p>
        </w:tc>
        <w:tc>
          <w:tcPr>
            <w:tcW w:w="24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496</w:t>
            </w:r>
          </w:p>
        </w:tc>
        <w:tc>
          <w:tcPr>
            <w:tcW w:w="220" w:type="dxa"/>
            <w:vAlign w:val="bottom"/>
            <w:tcBorders>
              <w:bottom w:val="single" w:sz="8" w:color="61656A"/>
            </w:tcBorders>
          </w:tcPr>
          <w:p>
            <w:pPr>
              <w:spacing w:after="0"/>
              <w:rPr>
                <w:sz w:val="17"/>
                <w:szCs w:val="17"/>
                <w:color w:val="auto"/>
              </w:rPr>
            </w:pPr>
          </w:p>
        </w:tc>
        <w:tc>
          <w:tcPr>
            <w:tcW w:w="12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63</w:t>
            </w:r>
          </w:p>
        </w:tc>
        <w:tc>
          <w:tcPr>
            <w:tcW w:w="260" w:type="dxa"/>
            <w:vAlign w:val="bottom"/>
            <w:tcBorders>
              <w:bottom w:val="single" w:sz="8" w:color="61656A"/>
            </w:tcBorders>
          </w:tcPr>
          <w:p>
            <w:pPr>
              <w:spacing w:after="0"/>
              <w:rPr>
                <w:sz w:val="17"/>
                <w:szCs w:val="17"/>
                <w:color w:val="auto"/>
              </w:rPr>
            </w:pPr>
          </w:p>
        </w:tc>
        <w:tc>
          <w:tcPr>
            <w:tcW w:w="880" w:type="dxa"/>
            <w:vAlign w:val="bottom"/>
            <w:tcBorders>
              <w:bottom w:val="single" w:sz="8" w:color="61656A"/>
            </w:tcBorders>
          </w:tcPr>
          <w:p>
            <w:pPr>
              <w:jc w:val="right"/>
              <w:ind w:right="228"/>
              <w:spacing w:after="0"/>
              <w:rPr>
                <w:sz w:val="20"/>
                <w:szCs w:val="20"/>
                <w:color w:val="auto"/>
              </w:rPr>
            </w:pPr>
            <w:r>
              <w:rPr>
                <w:rFonts w:ascii="Arial" w:cs="Arial" w:eastAsia="Arial" w:hAnsi="Arial"/>
                <w:sz w:val="14"/>
                <w:szCs w:val="14"/>
                <w:color w:val="auto"/>
              </w:rPr>
              <w:t>217</w:t>
            </w:r>
          </w:p>
        </w:tc>
        <w:tc>
          <w:tcPr>
            <w:tcW w:w="120" w:type="dxa"/>
            <w:vAlign w:val="bottom"/>
            <w:tcBorders>
              <w:bottom w:val="single" w:sz="8" w:color="61656A"/>
            </w:tcBorders>
          </w:tcPr>
          <w:p>
            <w:pPr>
              <w:spacing w:after="0"/>
              <w:rPr>
                <w:sz w:val="17"/>
                <w:szCs w:val="17"/>
                <w:color w:val="auto"/>
              </w:rPr>
            </w:pPr>
          </w:p>
        </w:tc>
        <w:tc>
          <w:tcPr>
            <w:tcW w:w="880" w:type="dxa"/>
            <w:vAlign w:val="bottom"/>
            <w:tcBorders>
              <w:bottom w:val="single" w:sz="8" w:color="61656A"/>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280</w:t>
            </w:r>
          </w:p>
        </w:tc>
      </w:tr>
      <w:tr>
        <w:trPr>
          <w:trHeight w:val="196"/>
        </w:trPr>
        <w:tc>
          <w:tcPr>
            <w:tcW w:w="356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Interest rate swap agreements</w:t>
            </w:r>
          </w:p>
        </w:tc>
        <w:tc>
          <w:tcPr>
            <w:tcW w:w="12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3</w:t>
            </w:r>
          </w:p>
        </w:tc>
        <w:tc>
          <w:tcPr>
            <w:tcW w:w="24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w:t>
            </w:r>
          </w:p>
        </w:tc>
        <w:tc>
          <w:tcPr>
            <w:tcW w:w="220" w:type="dxa"/>
            <w:vAlign w:val="bottom"/>
            <w:tcBorders>
              <w:bottom w:val="single" w:sz="8" w:color="61656A"/>
            </w:tcBorders>
          </w:tcPr>
          <w:p>
            <w:pPr>
              <w:spacing w:after="0"/>
              <w:rPr>
                <w:sz w:val="17"/>
                <w:szCs w:val="17"/>
                <w:color w:val="auto"/>
              </w:rPr>
            </w:pPr>
          </w:p>
        </w:tc>
        <w:tc>
          <w:tcPr>
            <w:tcW w:w="12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spacing w:after="0"/>
              <w:rPr>
                <w:sz w:val="17"/>
                <w:szCs w:val="17"/>
                <w:color w:val="auto"/>
              </w:rPr>
            </w:pPr>
          </w:p>
        </w:tc>
        <w:tc>
          <w:tcPr>
            <w:tcW w:w="880" w:type="dxa"/>
            <w:vAlign w:val="bottom"/>
            <w:tcBorders>
              <w:bottom w:val="single" w:sz="8" w:color="61656A"/>
            </w:tcBorders>
          </w:tcPr>
          <w:p>
            <w:pPr>
              <w:jc w:val="right"/>
              <w:ind w:right="228"/>
              <w:spacing w:after="0"/>
              <w:rPr>
                <w:sz w:val="20"/>
                <w:szCs w:val="20"/>
                <w:color w:val="auto"/>
              </w:rPr>
            </w:pPr>
            <w:r>
              <w:rPr>
                <w:rFonts w:ascii="Arial" w:cs="Arial" w:eastAsia="Arial" w:hAnsi="Arial"/>
                <w:sz w:val="14"/>
                <w:szCs w:val="14"/>
                <w:color w:val="auto"/>
              </w:rPr>
              <w:t>18</w:t>
            </w:r>
          </w:p>
        </w:tc>
        <w:tc>
          <w:tcPr>
            <w:tcW w:w="120" w:type="dxa"/>
            <w:vAlign w:val="bottom"/>
            <w:tcBorders>
              <w:bottom w:val="single" w:sz="8" w:color="61656A"/>
            </w:tcBorders>
          </w:tcPr>
          <w:p>
            <w:pPr>
              <w:spacing w:after="0"/>
              <w:rPr>
                <w:sz w:val="17"/>
                <w:szCs w:val="17"/>
                <w:color w:val="auto"/>
              </w:rPr>
            </w:pPr>
          </w:p>
        </w:tc>
        <w:tc>
          <w:tcPr>
            <w:tcW w:w="880" w:type="dxa"/>
            <w:vAlign w:val="bottom"/>
            <w:tcBorders>
              <w:bottom w:val="single" w:sz="8" w:color="61656A"/>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18</w:t>
            </w:r>
          </w:p>
        </w:tc>
      </w:tr>
      <w:tr>
        <w:trPr>
          <w:trHeight w:val="196"/>
        </w:trPr>
        <w:tc>
          <w:tcPr>
            <w:tcW w:w="356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Cross currency swap agreements</w:t>
            </w:r>
          </w:p>
        </w:tc>
        <w:tc>
          <w:tcPr>
            <w:tcW w:w="12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124</w:t>
            </w:r>
          </w:p>
        </w:tc>
        <w:tc>
          <w:tcPr>
            <w:tcW w:w="24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124</w:t>
            </w:r>
          </w:p>
        </w:tc>
        <w:tc>
          <w:tcPr>
            <w:tcW w:w="220" w:type="dxa"/>
            <w:vAlign w:val="bottom"/>
            <w:tcBorders>
              <w:bottom w:val="single" w:sz="8" w:color="61656A"/>
            </w:tcBorders>
          </w:tcPr>
          <w:p>
            <w:pPr>
              <w:spacing w:after="0"/>
              <w:rPr>
                <w:sz w:val="17"/>
                <w:szCs w:val="17"/>
                <w:color w:val="auto"/>
              </w:rPr>
            </w:pPr>
          </w:p>
        </w:tc>
        <w:tc>
          <w:tcPr>
            <w:tcW w:w="12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spacing w:after="0"/>
              <w:rPr>
                <w:sz w:val="17"/>
                <w:szCs w:val="17"/>
                <w:color w:val="auto"/>
              </w:rPr>
            </w:pPr>
          </w:p>
        </w:tc>
        <w:tc>
          <w:tcPr>
            <w:tcW w:w="880" w:type="dxa"/>
            <w:vAlign w:val="bottom"/>
            <w:tcBorders>
              <w:bottom w:val="single" w:sz="8" w:color="61656A"/>
            </w:tcBorders>
          </w:tcPr>
          <w:p>
            <w:pPr>
              <w:jc w:val="right"/>
              <w:ind w:right="2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61656A"/>
            </w:tcBorders>
          </w:tcPr>
          <w:p>
            <w:pPr>
              <w:spacing w:after="0"/>
              <w:rPr>
                <w:sz w:val="17"/>
                <w:szCs w:val="17"/>
                <w:color w:val="auto"/>
              </w:rPr>
            </w:pPr>
          </w:p>
        </w:tc>
        <w:tc>
          <w:tcPr>
            <w:tcW w:w="880" w:type="dxa"/>
            <w:vAlign w:val="bottom"/>
            <w:tcBorders>
              <w:bottom w:val="single" w:sz="8" w:color="61656A"/>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356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Investments in equity securities</w:t>
            </w:r>
          </w:p>
        </w:tc>
        <w:tc>
          <w:tcPr>
            <w:tcW w:w="12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8</w:t>
            </w: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8</w:t>
            </w:r>
          </w:p>
        </w:tc>
        <w:tc>
          <w:tcPr>
            <w:tcW w:w="220" w:type="dxa"/>
            <w:vAlign w:val="bottom"/>
            <w:tcBorders>
              <w:bottom w:val="single" w:sz="8" w:color="61656A"/>
            </w:tcBorders>
          </w:tcPr>
          <w:p>
            <w:pPr>
              <w:spacing w:after="0"/>
              <w:rPr>
                <w:sz w:val="17"/>
                <w:szCs w:val="17"/>
                <w:color w:val="auto"/>
              </w:rPr>
            </w:pPr>
          </w:p>
        </w:tc>
        <w:tc>
          <w:tcPr>
            <w:tcW w:w="12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22</w:t>
            </w:r>
          </w:p>
        </w:tc>
        <w:tc>
          <w:tcPr>
            <w:tcW w:w="260" w:type="dxa"/>
            <w:vAlign w:val="bottom"/>
            <w:tcBorders>
              <w:bottom w:val="single" w:sz="8" w:color="61656A"/>
            </w:tcBorders>
          </w:tcPr>
          <w:p>
            <w:pPr>
              <w:spacing w:after="0"/>
              <w:rPr>
                <w:sz w:val="17"/>
                <w:szCs w:val="17"/>
                <w:color w:val="auto"/>
              </w:rPr>
            </w:pPr>
          </w:p>
        </w:tc>
        <w:tc>
          <w:tcPr>
            <w:tcW w:w="880" w:type="dxa"/>
            <w:vAlign w:val="bottom"/>
            <w:tcBorders>
              <w:bottom w:val="single" w:sz="8" w:color="61656A"/>
            </w:tcBorders>
          </w:tcPr>
          <w:p>
            <w:pPr>
              <w:jc w:val="right"/>
              <w:ind w:right="2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61656A"/>
            </w:tcBorders>
          </w:tcPr>
          <w:p>
            <w:pPr>
              <w:spacing w:after="0"/>
              <w:rPr>
                <w:sz w:val="17"/>
                <w:szCs w:val="17"/>
                <w:color w:val="auto"/>
              </w:rPr>
            </w:pPr>
          </w:p>
        </w:tc>
        <w:tc>
          <w:tcPr>
            <w:tcW w:w="880" w:type="dxa"/>
            <w:vAlign w:val="bottom"/>
            <w:tcBorders>
              <w:bottom w:val="single" w:sz="8" w:color="61656A"/>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22</w:t>
            </w:r>
          </w:p>
        </w:tc>
      </w:tr>
      <w:tr>
        <w:trPr>
          <w:trHeight w:val="196"/>
        </w:trPr>
        <w:tc>
          <w:tcPr>
            <w:tcW w:w="356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Right to HWI Net Sale Proceeds</w:t>
            </w:r>
          </w:p>
        </w:tc>
        <w:tc>
          <w:tcPr>
            <w:tcW w:w="12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6</w:t>
            </w:r>
          </w:p>
        </w:tc>
        <w:tc>
          <w:tcPr>
            <w:tcW w:w="30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6</w:t>
            </w:r>
          </w:p>
        </w:tc>
        <w:tc>
          <w:tcPr>
            <w:tcW w:w="220" w:type="dxa"/>
            <w:vAlign w:val="bottom"/>
            <w:tcBorders>
              <w:bottom w:val="single" w:sz="8" w:color="D7282F"/>
            </w:tcBorders>
          </w:tcPr>
          <w:p>
            <w:pPr>
              <w:spacing w:after="0"/>
              <w:rPr>
                <w:sz w:val="17"/>
                <w:szCs w:val="17"/>
                <w:color w:val="auto"/>
              </w:rPr>
            </w:pPr>
          </w:p>
        </w:tc>
        <w:tc>
          <w:tcPr>
            <w:tcW w:w="12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D7282F"/>
            </w:tcBorders>
          </w:tcPr>
          <w:p>
            <w:pPr>
              <w:spacing w:after="0"/>
              <w:rPr>
                <w:sz w:val="17"/>
                <w:szCs w:val="17"/>
                <w:color w:val="auto"/>
              </w:rPr>
            </w:pPr>
          </w:p>
        </w:tc>
        <w:tc>
          <w:tcPr>
            <w:tcW w:w="880" w:type="dxa"/>
            <w:vAlign w:val="bottom"/>
            <w:tcBorders>
              <w:bottom w:val="single" w:sz="8" w:color="D7282F"/>
            </w:tcBorders>
          </w:tcPr>
          <w:p>
            <w:pPr>
              <w:jc w:val="right"/>
              <w:ind w:right="2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D7282F"/>
            </w:tcBorders>
          </w:tcPr>
          <w:p>
            <w:pPr>
              <w:spacing w:after="0"/>
              <w:rPr>
                <w:sz w:val="17"/>
                <w:szCs w:val="17"/>
                <w:color w:val="auto"/>
              </w:rPr>
            </w:pPr>
          </w:p>
        </w:tc>
        <w:tc>
          <w:tcPr>
            <w:tcW w:w="6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9</w:t>
            </w:r>
          </w:p>
        </w:tc>
        <w:tc>
          <w:tcPr>
            <w:tcW w:w="240" w:type="dxa"/>
            <w:vAlign w:val="bottom"/>
            <w:tcBorders>
              <w:bottom w:val="single" w:sz="8" w:color="D7282F"/>
            </w:tcBorders>
          </w:tcPr>
          <w:p>
            <w:pPr>
              <w:spacing w:after="0"/>
              <w:rPr>
                <w:sz w:val="17"/>
                <w:szCs w:val="17"/>
                <w:color w:val="auto"/>
              </w:rPr>
            </w:pPr>
          </w:p>
        </w:tc>
        <w:tc>
          <w:tcPr>
            <w:tcW w:w="14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9</w:t>
            </w:r>
          </w:p>
        </w:tc>
      </w:tr>
      <w:tr>
        <w:trPr>
          <w:trHeight w:val="199"/>
        </w:trPr>
        <w:tc>
          <w:tcPr>
            <w:tcW w:w="356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assets</w:t>
            </w:r>
          </w:p>
        </w:tc>
        <w:tc>
          <w:tcPr>
            <w:tcW w:w="1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77</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587</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6</w:t>
            </w:r>
          </w:p>
        </w:tc>
        <w:tc>
          <w:tcPr>
            <w:tcW w:w="3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670</w:t>
            </w:r>
          </w:p>
        </w:tc>
        <w:tc>
          <w:tcPr>
            <w:tcW w:w="220" w:type="dxa"/>
            <w:vAlign w:val="bottom"/>
            <w:tcBorders>
              <w:bottom w:val="single" w:sz="8" w:color="D7282F"/>
            </w:tcBorders>
          </w:tcPr>
          <w:p>
            <w:pPr>
              <w:spacing w:after="0"/>
              <w:rPr>
                <w:sz w:val="17"/>
                <w:szCs w:val="17"/>
                <w:color w:val="auto"/>
              </w:rPr>
            </w:pPr>
          </w:p>
        </w:tc>
        <w:tc>
          <w:tcPr>
            <w:tcW w:w="1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85</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D7282F"/>
            </w:tcBorders>
          </w:tcPr>
          <w:p>
            <w:pPr>
              <w:jc w:val="right"/>
              <w:ind w:right="228"/>
              <w:spacing w:after="0"/>
              <w:rPr>
                <w:sz w:val="20"/>
                <w:szCs w:val="20"/>
                <w:color w:val="auto"/>
              </w:rPr>
            </w:pPr>
            <w:r>
              <w:rPr>
                <w:rFonts w:ascii="Arial" w:cs="Arial" w:eastAsia="Arial" w:hAnsi="Arial"/>
                <w:sz w:val="14"/>
                <w:szCs w:val="14"/>
                <w:b w:val="1"/>
                <w:bCs w:val="1"/>
                <w:color w:val="auto"/>
              </w:rPr>
              <w:t>270</w:t>
            </w:r>
          </w:p>
        </w:tc>
        <w:tc>
          <w:tcPr>
            <w:tcW w:w="1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6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9</w:t>
            </w:r>
          </w:p>
        </w:tc>
        <w:tc>
          <w:tcPr>
            <w:tcW w:w="240" w:type="dxa"/>
            <w:vAlign w:val="bottom"/>
            <w:tcBorders>
              <w:bottom w:val="single" w:sz="8" w:color="D7282F"/>
            </w:tcBorders>
          </w:tcPr>
          <w:p>
            <w:pPr>
              <w:spacing w:after="0"/>
              <w:rPr>
                <w:sz w:val="17"/>
                <w:szCs w:val="17"/>
                <w:color w:val="auto"/>
              </w:rPr>
            </w:pPr>
          </w:p>
        </w:tc>
        <w:tc>
          <w:tcPr>
            <w:tcW w:w="1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364</w:t>
            </w:r>
          </w:p>
        </w:tc>
      </w:tr>
      <w:tr>
        <w:trPr>
          <w:trHeight w:val="196"/>
        </w:trPr>
        <w:tc>
          <w:tcPr>
            <w:tcW w:w="356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Liabilities</w:t>
            </w:r>
          </w:p>
        </w:tc>
        <w:tc>
          <w:tcPr>
            <w:tcW w:w="12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spacing w:after="0"/>
              <w:rPr>
                <w:sz w:val="17"/>
                <w:szCs w:val="17"/>
                <w:color w:val="auto"/>
              </w:rPr>
            </w:pP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spacing w:after="0"/>
              <w:rPr>
                <w:sz w:val="17"/>
                <w:szCs w:val="17"/>
                <w:color w:val="auto"/>
              </w:rPr>
            </w:pPr>
          </w:p>
        </w:tc>
        <w:tc>
          <w:tcPr>
            <w:tcW w:w="30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spacing w:after="0"/>
              <w:rPr>
                <w:sz w:val="17"/>
                <w:szCs w:val="17"/>
                <w:color w:val="auto"/>
              </w:rPr>
            </w:pPr>
          </w:p>
        </w:tc>
        <w:tc>
          <w:tcPr>
            <w:tcW w:w="220" w:type="dxa"/>
            <w:vAlign w:val="bottom"/>
            <w:tcBorders>
              <w:bottom w:val="single" w:sz="8" w:color="61656A"/>
            </w:tcBorders>
          </w:tcPr>
          <w:p>
            <w:pPr>
              <w:spacing w:after="0"/>
              <w:rPr>
                <w:sz w:val="17"/>
                <w:szCs w:val="17"/>
                <w:color w:val="auto"/>
              </w:rPr>
            </w:pPr>
          </w:p>
        </w:tc>
        <w:tc>
          <w:tcPr>
            <w:tcW w:w="12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spacing w:after="0"/>
              <w:rPr>
                <w:sz w:val="17"/>
                <w:szCs w:val="17"/>
                <w:color w:val="auto"/>
              </w:rPr>
            </w:pPr>
          </w:p>
        </w:tc>
        <w:tc>
          <w:tcPr>
            <w:tcW w:w="260" w:type="dxa"/>
            <w:vAlign w:val="bottom"/>
            <w:tcBorders>
              <w:bottom w:val="single" w:sz="8" w:color="61656A"/>
            </w:tcBorders>
          </w:tcPr>
          <w:p>
            <w:pPr>
              <w:spacing w:after="0"/>
              <w:rPr>
                <w:sz w:val="17"/>
                <w:szCs w:val="17"/>
                <w:color w:val="auto"/>
              </w:rPr>
            </w:pPr>
          </w:p>
        </w:tc>
        <w:tc>
          <w:tcPr>
            <w:tcW w:w="880" w:type="dxa"/>
            <w:vAlign w:val="bottom"/>
            <w:tcBorders>
              <w:bottom w:val="single" w:sz="8" w:color="61656A"/>
            </w:tcBorders>
          </w:tcPr>
          <w:p>
            <w:pPr>
              <w:spacing w:after="0"/>
              <w:rPr>
                <w:sz w:val="17"/>
                <w:szCs w:val="17"/>
                <w:color w:val="auto"/>
              </w:rPr>
            </w:pPr>
          </w:p>
        </w:tc>
        <w:tc>
          <w:tcPr>
            <w:tcW w:w="120" w:type="dxa"/>
            <w:vAlign w:val="bottom"/>
            <w:tcBorders>
              <w:bottom w:val="single" w:sz="8" w:color="61656A"/>
            </w:tcBorders>
          </w:tcPr>
          <w:p>
            <w:pPr>
              <w:spacing w:after="0"/>
              <w:rPr>
                <w:sz w:val="17"/>
                <w:szCs w:val="17"/>
                <w:color w:val="auto"/>
              </w:rPr>
            </w:pPr>
          </w:p>
        </w:tc>
        <w:tc>
          <w:tcPr>
            <w:tcW w:w="64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14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spacing w:after="0"/>
              <w:rPr>
                <w:sz w:val="17"/>
                <w:szCs w:val="17"/>
                <w:color w:val="auto"/>
              </w:rPr>
            </w:pPr>
          </w:p>
        </w:tc>
      </w:tr>
      <w:tr>
        <w:trPr>
          <w:trHeight w:val="193"/>
        </w:trPr>
        <w:tc>
          <w:tcPr>
            <w:tcW w:w="356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Foreign currency exchange contracts</w:t>
            </w:r>
          </w:p>
        </w:tc>
        <w:tc>
          <w:tcPr>
            <w:tcW w:w="1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15</w:t>
            </w:r>
          </w:p>
        </w:tc>
        <w:tc>
          <w:tcPr>
            <w:tcW w:w="2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15</w:t>
            </w:r>
          </w:p>
        </w:tc>
        <w:tc>
          <w:tcPr>
            <w:tcW w:w="220" w:type="dxa"/>
            <w:vAlign w:val="bottom"/>
            <w:tcBorders>
              <w:bottom w:val="single" w:sz="8" w:color="61656A"/>
            </w:tcBorders>
          </w:tcPr>
          <w:p>
            <w:pPr>
              <w:spacing w:after="0"/>
              <w:rPr>
                <w:sz w:val="16"/>
                <w:szCs w:val="16"/>
                <w:color w:val="auto"/>
              </w:rPr>
            </w:pPr>
          </w:p>
        </w:tc>
        <w:tc>
          <w:tcPr>
            <w:tcW w:w="1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61656A"/>
            </w:tcBorders>
          </w:tcPr>
          <w:p>
            <w:pPr>
              <w:jc w:val="right"/>
              <w:ind w:right="228"/>
              <w:spacing w:after="0"/>
              <w:rPr>
                <w:sz w:val="20"/>
                <w:szCs w:val="20"/>
                <w:color w:val="auto"/>
              </w:rPr>
            </w:pPr>
            <w:r>
              <w:rPr>
                <w:rFonts w:ascii="Arial" w:cs="Arial" w:eastAsia="Arial" w:hAnsi="Arial"/>
                <w:sz w:val="14"/>
                <w:szCs w:val="14"/>
                <w:color w:val="auto"/>
              </w:rPr>
              <w:t>9</w:t>
            </w:r>
          </w:p>
        </w:tc>
        <w:tc>
          <w:tcPr>
            <w:tcW w:w="1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61656A"/>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9</w:t>
            </w:r>
          </w:p>
        </w:tc>
      </w:tr>
      <w:tr>
        <w:trPr>
          <w:trHeight w:val="196"/>
        </w:trPr>
        <w:tc>
          <w:tcPr>
            <w:tcW w:w="356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Interest rate swap agreements</w:t>
            </w:r>
          </w:p>
        </w:tc>
        <w:tc>
          <w:tcPr>
            <w:tcW w:w="12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139</w:t>
            </w:r>
          </w:p>
        </w:tc>
        <w:tc>
          <w:tcPr>
            <w:tcW w:w="24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139</w:t>
            </w:r>
          </w:p>
        </w:tc>
        <w:tc>
          <w:tcPr>
            <w:tcW w:w="220" w:type="dxa"/>
            <w:vAlign w:val="bottom"/>
            <w:tcBorders>
              <w:bottom w:val="single" w:sz="8" w:color="61656A"/>
            </w:tcBorders>
          </w:tcPr>
          <w:p>
            <w:pPr>
              <w:spacing w:after="0"/>
              <w:rPr>
                <w:sz w:val="17"/>
                <w:szCs w:val="17"/>
                <w:color w:val="auto"/>
              </w:rPr>
            </w:pPr>
          </w:p>
        </w:tc>
        <w:tc>
          <w:tcPr>
            <w:tcW w:w="12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spacing w:after="0"/>
              <w:rPr>
                <w:sz w:val="17"/>
                <w:szCs w:val="17"/>
                <w:color w:val="auto"/>
              </w:rPr>
            </w:pPr>
          </w:p>
        </w:tc>
        <w:tc>
          <w:tcPr>
            <w:tcW w:w="880" w:type="dxa"/>
            <w:vAlign w:val="bottom"/>
            <w:tcBorders>
              <w:bottom w:val="single" w:sz="8" w:color="61656A"/>
            </w:tcBorders>
          </w:tcPr>
          <w:p>
            <w:pPr>
              <w:jc w:val="right"/>
              <w:ind w:right="228"/>
              <w:spacing w:after="0"/>
              <w:rPr>
                <w:sz w:val="20"/>
                <w:szCs w:val="20"/>
                <w:color w:val="auto"/>
              </w:rPr>
            </w:pPr>
            <w:r>
              <w:rPr>
                <w:rFonts w:ascii="Arial" w:cs="Arial" w:eastAsia="Arial" w:hAnsi="Arial"/>
                <w:sz w:val="14"/>
                <w:szCs w:val="14"/>
                <w:color w:val="auto"/>
              </w:rPr>
              <w:t>184</w:t>
            </w:r>
          </w:p>
        </w:tc>
        <w:tc>
          <w:tcPr>
            <w:tcW w:w="120" w:type="dxa"/>
            <w:vAlign w:val="bottom"/>
            <w:tcBorders>
              <w:bottom w:val="single" w:sz="8" w:color="61656A"/>
            </w:tcBorders>
          </w:tcPr>
          <w:p>
            <w:pPr>
              <w:spacing w:after="0"/>
              <w:rPr>
                <w:sz w:val="17"/>
                <w:szCs w:val="17"/>
                <w:color w:val="auto"/>
              </w:rPr>
            </w:pPr>
          </w:p>
        </w:tc>
        <w:tc>
          <w:tcPr>
            <w:tcW w:w="880" w:type="dxa"/>
            <w:vAlign w:val="bottom"/>
            <w:tcBorders>
              <w:bottom w:val="single" w:sz="8" w:color="61656A"/>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184</w:t>
            </w:r>
          </w:p>
        </w:tc>
      </w:tr>
      <w:tr>
        <w:trPr>
          <w:trHeight w:val="196"/>
        </w:trPr>
        <w:tc>
          <w:tcPr>
            <w:tcW w:w="356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Commodity contracts</w:t>
            </w:r>
          </w:p>
        </w:tc>
        <w:tc>
          <w:tcPr>
            <w:tcW w:w="12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61656A"/>
            </w:tcBorders>
          </w:tcPr>
          <w:p>
            <w:pPr>
              <w:spacing w:after="0"/>
              <w:rPr>
                <w:sz w:val="17"/>
                <w:szCs w:val="17"/>
                <w:color w:val="auto"/>
              </w:rPr>
            </w:pPr>
          </w:p>
        </w:tc>
        <w:tc>
          <w:tcPr>
            <w:tcW w:w="820" w:type="dxa"/>
            <w:vAlign w:val="bottom"/>
            <w:tcBorders>
              <w:bottom w:val="single" w:sz="8" w:color="61656A"/>
            </w:tcBorders>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spacing w:after="0"/>
              <w:rPr>
                <w:sz w:val="17"/>
                <w:szCs w:val="17"/>
                <w:color w:val="auto"/>
              </w:rPr>
            </w:pPr>
          </w:p>
        </w:tc>
        <w:tc>
          <w:tcPr>
            <w:tcW w:w="880" w:type="dxa"/>
            <w:vAlign w:val="bottom"/>
            <w:tcBorders>
              <w:bottom w:val="single" w:sz="8" w:color="61656A"/>
            </w:tcBorders>
          </w:tcPr>
          <w:p>
            <w:pPr>
              <w:jc w:val="right"/>
              <w:ind w:right="228"/>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61656A"/>
            </w:tcBorders>
          </w:tcPr>
          <w:p>
            <w:pPr>
              <w:spacing w:after="0"/>
              <w:rPr>
                <w:sz w:val="17"/>
                <w:szCs w:val="17"/>
                <w:color w:val="auto"/>
              </w:rPr>
            </w:pPr>
          </w:p>
        </w:tc>
        <w:tc>
          <w:tcPr>
            <w:tcW w:w="880" w:type="dxa"/>
            <w:vAlign w:val="bottom"/>
            <w:tcBorders>
              <w:bottom w:val="single" w:sz="8" w:color="61656A"/>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w:t>
            </w:r>
          </w:p>
        </w:tc>
      </w:tr>
      <w:tr>
        <w:trPr>
          <w:trHeight w:val="196"/>
        </w:trPr>
        <w:tc>
          <w:tcPr>
            <w:tcW w:w="356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Cross currency swap agreements</w:t>
            </w:r>
          </w:p>
        </w:tc>
        <w:tc>
          <w:tcPr>
            <w:tcW w:w="12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56</w:t>
            </w:r>
          </w:p>
        </w:tc>
        <w:tc>
          <w:tcPr>
            <w:tcW w:w="24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56</w:t>
            </w:r>
          </w:p>
        </w:tc>
        <w:tc>
          <w:tcPr>
            <w:tcW w:w="220" w:type="dxa"/>
            <w:vAlign w:val="bottom"/>
            <w:tcBorders>
              <w:bottom w:val="single" w:sz="8" w:color="D7282F"/>
            </w:tcBorders>
          </w:tcPr>
          <w:p>
            <w:pPr>
              <w:spacing w:after="0"/>
              <w:rPr>
                <w:sz w:val="17"/>
                <w:szCs w:val="17"/>
                <w:color w:val="auto"/>
              </w:rPr>
            </w:pPr>
          </w:p>
        </w:tc>
        <w:tc>
          <w:tcPr>
            <w:tcW w:w="12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D7282F"/>
            </w:tcBorders>
          </w:tcPr>
          <w:p>
            <w:pPr>
              <w:spacing w:after="0"/>
              <w:rPr>
                <w:sz w:val="17"/>
                <w:szCs w:val="17"/>
                <w:color w:val="auto"/>
              </w:rPr>
            </w:pPr>
          </w:p>
        </w:tc>
        <w:tc>
          <w:tcPr>
            <w:tcW w:w="880" w:type="dxa"/>
            <w:vAlign w:val="bottom"/>
            <w:tcBorders>
              <w:bottom w:val="single" w:sz="8" w:color="D7282F"/>
            </w:tcBorders>
          </w:tcPr>
          <w:p>
            <w:pPr>
              <w:jc w:val="right"/>
              <w:ind w:right="228"/>
              <w:spacing w:after="0"/>
              <w:rPr>
                <w:sz w:val="20"/>
                <w:szCs w:val="20"/>
                <w:color w:val="auto"/>
              </w:rPr>
            </w:pPr>
            <w:r>
              <w:rPr>
                <w:rFonts w:ascii="Arial" w:cs="Arial" w:eastAsia="Arial" w:hAnsi="Arial"/>
                <w:sz w:val="14"/>
                <w:szCs w:val="14"/>
                <w:color w:val="auto"/>
              </w:rPr>
              <w:t>145</w:t>
            </w:r>
          </w:p>
        </w:tc>
        <w:tc>
          <w:tcPr>
            <w:tcW w:w="120" w:type="dxa"/>
            <w:vAlign w:val="bottom"/>
            <w:tcBorders>
              <w:bottom w:val="single" w:sz="8" w:color="D7282F"/>
            </w:tcBorders>
          </w:tcPr>
          <w:p>
            <w:pPr>
              <w:spacing w:after="0"/>
              <w:rPr>
                <w:sz w:val="17"/>
                <w:szCs w:val="17"/>
                <w:color w:val="auto"/>
              </w:rPr>
            </w:pPr>
          </w:p>
        </w:tc>
        <w:tc>
          <w:tcPr>
            <w:tcW w:w="880" w:type="dxa"/>
            <w:vAlign w:val="bottom"/>
            <w:tcBorders>
              <w:bottom w:val="single" w:sz="8" w:color="D7282F"/>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145</w:t>
            </w:r>
          </w:p>
        </w:tc>
      </w:tr>
      <w:tr>
        <w:trPr>
          <w:trHeight w:val="199"/>
        </w:trPr>
        <w:tc>
          <w:tcPr>
            <w:tcW w:w="356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liabilities</w:t>
            </w:r>
          </w:p>
        </w:tc>
        <w:tc>
          <w:tcPr>
            <w:tcW w:w="1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210</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210</w:t>
            </w:r>
          </w:p>
        </w:tc>
        <w:tc>
          <w:tcPr>
            <w:tcW w:w="220" w:type="dxa"/>
            <w:vAlign w:val="bottom"/>
            <w:tcBorders>
              <w:bottom w:val="single" w:sz="8" w:color="D7282F"/>
            </w:tcBorders>
          </w:tcPr>
          <w:p>
            <w:pPr>
              <w:spacing w:after="0"/>
              <w:rPr>
                <w:sz w:val="17"/>
                <w:szCs w:val="17"/>
                <w:color w:val="auto"/>
              </w:rPr>
            </w:pPr>
          </w:p>
        </w:tc>
        <w:tc>
          <w:tcPr>
            <w:tcW w:w="1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D7282F"/>
            </w:tcBorders>
          </w:tcPr>
          <w:p>
            <w:pPr>
              <w:jc w:val="right"/>
              <w:ind w:right="228"/>
              <w:spacing w:after="0"/>
              <w:rPr>
                <w:sz w:val="20"/>
                <w:szCs w:val="20"/>
                <w:color w:val="auto"/>
              </w:rPr>
            </w:pPr>
            <w:r>
              <w:rPr>
                <w:rFonts w:ascii="Arial" w:cs="Arial" w:eastAsia="Arial" w:hAnsi="Arial"/>
                <w:sz w:val="14"/>
                <w:szCs w:val="14"/>
                <w:b w:val="1"/>
                <w:bCs w:val="1"/>
                <w:color w:val="auto"/>
              </w:rPr>
              <w:t>339</w:t>
            </w:r>
          </w:p>
        </w:tc>
        <w:tc>
          <w:tcPr>
            <w:tcW w:w="1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880" w:type="dxa"/>
            <w:vAlign w:val="bottom"/>
            <w:tcBorders>
              <w:bottom w:val="single" w:sz="8" w:color="D7282F"/>
            </w:tcBorders>
            <w:gridSpan w:val="2"/>
          </w:tcPr>
          <w:p>
            <w:pPr>
              <w:jc w:val="right"/>
              <w:ind w:right="300"/>
              <w:spacing w:after="0"/>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339</w:t>
            </w:r>
          </w:p>
        </w:tc>
      </w:tr>
    </w:tbl>
    <w:p>
      <w:pPr>
        <w:spacing w:after="0" w:line="18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Company values foreign currency exchange contracts, interest rate swap agreements, cross currency swap agreements, and commodity contracts using broker quotations, or market transactions in either the listed or over-the-counter markets. As such, these derivative instruments are classified within level 2. The Company also holds investments in commercial paper, certificates of deposits, time deposits, and corporate debt securities that are designated as available for sale. These investments are valued using published prices based on observable market data. As such, these investments are classified within level 2.</w:t>
      </w:r>
    </w:p>
    <w:p>
      <w:pPr>
        <w:spacing w:after="0" w:line="64"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The Company holds certain available for sale investments in U.S. government securities and investments in equity securities. The Company values these investments utilizing published prices based on quoted market pricing, which are classified within level 1.</w:t>
      </w:r>
    </w:p>
    <w:p>
      <w:pPr>
        <w:spacing w:after="0" w:line="6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carrying value of cash and cash equivalents, trade accounts and notes receivables, payables, commercial paper, and other short-term borrowings contained in the Consolidated Balance Sheet approximates fair value.</w:t>
      </w:r>
    </w:p>
    <w:p>
      <w:pPr>
        <w:spacing w:after="0" w:line="6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 xml:space="preserve">As part of the NARCO Buyout (see Note 19 </w:t>
      </w:r>
      <w:r>
        <w:rPr>
          <w:rFonts w:ascii="Arial" w:cs="Arial" w:eastAsia="Arial" w:hAnsi="Arial"/>
          <w:sz w:val="16"/>
          <w:szCs w:val="16"/>
          <w:u w:val="single" w:color="auto"/>
          <w:color w:val="0000FF"/>
        </w:rPr>
        <w:t>Commitments and Contingencies</w:t>
      </w:r>
      <w:r>
        <w:rPr>
          <w:rFonts w:ascii="Arial" w:cs="Arial" w:eastAsia="Arial" w:hAnsi="Arial"/>
          <w:sz w:val="16"/>
          <w:szCs w:val="16"/>
          <w:color w:val="auto"/>
        </w:rPr>
        <w:t xml:space="preserve"> for definition), Honeywell holds a right to proceeds from the definitive sale agreement pursuant to which HarbisonWalker International Holdings, Inc. (HWI), the reorganized and renamed entity that emerged from the NARCO Bankruptcy, was acquired by an affiliate of Platinum Equity, LLC (HWI Sale). The right to these proceeds is considered a financial instrument. The significant input for the valuation of this right is unobservable, and as such, is classified within level 3. The HWI Sale closed on February 16, 2023. The balance of the remaining proceeds from the HWI Sale (HWI Net Sale Proceeds) as of December 31, 2024, and 2023, was $6 million and $9 million, respectively, based on the receipt of an additional $3 million in HWI Net Sales Proceeds during the twelve months ended December 31, 2024.</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Company’s financial assets and liabilities that were not carried at fair value: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260" w:type="dxa"/>
            <w:vAlign w:val="bottom"/>
          </w:tcPr>
          <w:p>
            <w:pPr>
              <w:spacing w:after="0"/>
              <w:rPr>
                <w:sz w:val="17"/>
                <w:szCs w:val="17"/>
                <w:color w:val="auto"/>
              </w:rPr>
            </w:pPr>
          </w:p>
        </w:tc>
        <w:tc>
          <w:tcPr>
            <w:tcW w:w="100" w:type="dxa"/>
            <w:vAlign w:val="bottom"/>
            <w:tcBorders>
              <w:bottom w:val="single" w:sz="8" w:color="D7282F"/>
            </w:tcBorders>
          </w:tcPr>
          <w:p>
            <w:pPr>
              <w:spacing w:after="0"/>
              <w:rPr>
                <w:sz w:val="17"/>
                <w:szCs w:val="17"/>
                <w:color w:val="auto"/>
              </w:rPr>
            </w:pPr>
          </w:p>
        </w:tc>
        <w:tc>
          <w:tcPr>
            <w:tcW w:w="1780" w:type="dxa"/>
            <w:vAlign w:val="bottom"/>
            <w:tcBorders>
              <w:bottom w:val="single" w:sz="8" w:color="D7282F"/>
            </w:tcBorders>
            <w:gridSpan w:val="3"/>
          </w:tcPr>
          <w:p>
            <w:pPr>
              <w:jc w:val="right"/>
              <w:ind w:right="228"/>
              <w:spacing w:after="0"/>
              <w:rPr>
                <w:sz w:val="20"/>
                <w:szCs w:val="20"/>
                <w:color w:val="auto"/>
              </w:rPr>
            </w:pPr>
            <w:r>
              <w:rPr>
                <w:rFonts w:ascii="Arial" w:cs="Arial" w:eastAsia="Arial" w:hAnsi="Arial"/>
                <w:sz w:val="14"/>
                <w:szCs w:val="14"/>
                <w:b w:val="1"/>
                <w:bCs w:val="1"/>
                <w:color w:val="auto"/>
              </w:rPr>
              <w:t>December 31, 2024</w:t>
            </w:r>
          </w:p>
        </w:tc>
        <w:tc>
          <w:tcPr>
            <w:tcW w:w="220" w:type="dxa"/>
            <w:vAlign w:val="bottom"/>
          </w:tcPr>
          <w:p>
            <w:pPr>
              <w:spacing w:after="0"/>
              <w:rPr>
                <w:sz w:val="17"/>
                <w:szCs w:val="17"/>
                <w:color w:val="auto"/>
              </w:rPr>
            </w:pPr>
          </w:p>
        </w:tc>
        <w:tc>
          <w:tcPr>
            <w:tcW w:w="120" w:type="dxa"/>
            <w:vAlign w:val="bottom"/>
            <w:tcBorders>
              <w:bottom w:val="single" w:sz="8" w:color="D7282F"/>
            </w:tcBorders>
          </w:tcPr>
          <w:p>
            <w:pPr>
              <w:spacing w:after="0"/>
              <w:rPr>
                <w:sz w:val="17"/>
                <w:szCs w:val="17"/>
                <w:color w:val="auto"/>
              </w:rPr>
            </w:pPr>
          </w:p>
        </w:tc>
        <w:tc>
          <w:tcPr>
            <w:tcW w:w="1760" w:type="dxa"/>
            <w:vAlign w:val="bottom"/>
            <w:tcBorders>
              <w:bottom w:val="single" w:sz="8" w:color="D7282F"/>
            </w:tcBorders>
            <w:gridSpan w:val="3"/>
          </w:tcPr>
          <w:p>
            <w:pPr>
              <w:jc w:val="right"/>
              <w:ind w:right="228"/>
              <w:spacing w:after="0"/>
              <w:rPr>
                <w:sz w:val="20"/>
                <w:szCs w:val="20"/>
                <w:color w:val="auto"/>
              </w:rPr>
            </w:pPr>
            <w:r>
              <w:rPr>
                <w:rFonts w:ascii="Arial" w:cs="Arial" w:eastAsia="Arial" w:hAnsi="Arial"/>
                <w:sz w:val="14"/>
                <w:szCs w:val="14"/>
                <w:b w:val="1"/>
                <w:bCs w:val="1"/>
                <w:color w:val="auto"/>
              </w:rPr>
              <w:t>December 31, 2023</w:t>
            </w:r>
          </w:p>
        </w:tc>
      </w:tr>
      <w:tr>
        <w:trPr>
          <w:trHeight w:val="174"/>
        </w:trPr>
        <w:tc>
          <w:tcPr>
            <w:tcW w:w="7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ind w:right="148"/>
              <w:spacing w:after="0"/>
              <w:rPr>
                <w:sz w:val="20"/>
                <w:szCs w:val="20"/>
                <w:color w:val="auto"/>
              </w:rPr>
            </w:pPr>
            <w:r>
              <w:rPr>
                <w:rFonts w:ascii="Arial" w:cs="Arial" w:eastAsia="Arial" w:hAnsi="Arial"/>
                <w:sz w:val="14"/>
                <w:szCs w:val="14"/>
                <w:b w:val="1"/>
                <w:bCs w:val="1"/>
                <w:color w:val="auto"/>
              </w:rPr>
              <w:t>Carrying</w:t>
            </w:r>
          </w:p>
        </w:tc>
        <w:tc>
          <w:tcPr>
            <w:tcW w:w="300" w:type="dxa"/>
            <w:vAlign w:val="bottom"/>
          </w:tcPr>
          <w:p>
            <w:pPr>
              <w:spacing w:after="0"/>
              <w:rPr>
                <w:sz w:val="15"/>
                <w:szCs w:val="15"/>
                <w:color w:val="auto"/>
              </w:rPr>
            </w:pPr>
          </w:p>
        </w:tc>
        <w:tc>
          <w:tcPr>
            <w:tcW w:w="8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5"/>
                <w:szCs w:val="15"/>
                <w:color w:val="auto"/>
              </w:rPr>
            </w:pPr>
          </w:p>
        </w:tc>
        <w:tc>
          <w:tcPr>
            <w:tcW w:w="800" w:type="dxa"/>
            <w:vAlign w:val="bottom"/>
          </w:tcPr>
          <w:p>
            <w:pPr>
              <w:jc w:val="right"/>
              <w:ind w:right="128"/>
              <w:spacing w:after="0"/>
              <w:rPr>
                <w:sz w:val="20"/>
                <w:szCs w:val="20"/>
                <w:color w:val="auto"/>
              </w:rPr>
            </w:pPr>
            <w:r>
              <w:rPr>
                <w:rFonts w:ascii="Arial" w:cs="Arial" w:eastAsia="Arial" w:hAnsi="Arial"/>
                <w:sz w:val="14"/>
                <w:szCs w:val="14"/>
                <w:b w:val="1"/>
                <w:bCs w:val="1"/>
                <w:color w:val="auto"/>
              </w:rPr>
              <w:t>Carrying</w:t>
            </w:r>
          </w:p>
        </w:tc>
        <w:tc>
          <w:tcPr>
            <w:tcW w:w="300" w:type="dxa"/>
            <w:vAlign w:val="bottom"/>
          </w:tcPr>
          <w:p>
            <w:pPr>
              <w:spacing w:after="0"/>
              <w:rPr>
                <w:sz w:val="15"/>
                <w:szCs w:val="15"/>
                <w:color w:val="auto"/>
              </w:rPr>
            </w:pPr>
          </w:p>
        </w:tc>
        <w:tc>
          <w:tcPr>
            <w:tcW w:w="660" w:type="dxa"/>
            <w:vAlign w:val="bottom"/>
          </w:tcPr>
          <w:p>
            <w:pPr>
              <w:jc w:val="right"/>
              <w:ind w:right="208"/>
              <w:spacing w:after="0"/>
              <w:rPr>
                <w:sz w:val="20"/>
                <w:szCs w:val="20"/>
                <w:color w:val="auto"/>
              </w:rPr>
            </w:pPr>
            <w:r>
              <w:rPr>
                <w:rFonts w:ascii="Arial" w:cs="Arial" w:eastAsia="Arial" w:hAnsi="Arial"/>
                <w:sz w:val="14"/>
                <w:szCs w:val="14"/>
                <w:b w:val="1"/>
                <w:bCs w:val="1"/>
                <w:color w:val="auto"/>
              </w:rPr>
              <w:t>Fair</w:t>
            </w:r>
          </w:p>
        </w:tc>
      </w:tr>
      <w:tr>
        <w:trPr>
          <w:trHeight w:val="185"/>
        </w:trPr>
        <w:tc>
          <w:tcPr>
            <w:tcW w:w="7260" w:type="dxa"/>
            <w:vAlign w:val="bottom"/>
            <w:tcBorders>
              <w:bottom w:val="single" w:sz="8" w:color="D7282F"/>
            </w:tcBorders>
          </w:tcPr>
          <w:p>
            <w:pPr>
              <w:spacing w:after="0"/>
              <w:rPr>
                <w:sz w:val="16"/>
                <w:szCs w:val="16"/>
                <w:color w:val="auto"/>
              </w:rPr>
            </w:pPr>
          </w:p>
        </w:tc>
        <w:tc>
          <w:tcPr>
            <w:tcW w:w="100" w:type="dxa"/>
            <w:vAlign w:val="bottom"/>
            <w:tcBorders>
              <w:bottom w:val="single" w:sz="8" w:color="D7282F"/>
            </w:tcBorders>
          </w:tcPr>
          <w:p>
            <w:pPr>
              <w:spacing w:after="0"/>
              <w:rPr>
                <w:sz w:val="16"/>
                <w:szCs w:val="16"/>
                <w:color w:val="auto"/>
              </w:rPr>
            </w:pPr>
          </w:p>
        </w:tc>
        <w:tc>
          <w:tcPr>
            <w:tcW w:w="820" w:type="dxa"/>
            <w:vAlign w:val="bottom"/>
            <w:tcBorders>
              <w:bottom w:val="single" w:sz="8" w:color="D7282F"/>
            </w:tcBorders>
          </w:tcPr>
          <w:p>
            <w:pPr>
              <w:jc w:val="right"/>
              <w:ind w:right="248"/>
              <w:spacing w:after="0"/>
              <w:rPr>
                <w:sz w:val="20"/>
                <w:szCs w:val="20"/>
                <w:color w:val="auto"/>
              </w:rPr>
            </w:pPr>
            <w:r>
              <w:rPr>
                <w:rFonts w:ascii="Arial" w:cs="Arial" w:eastAsia="Arial" w:hAnsi="Arial"/>
                <w:sz w:val="14"/>
                <w:szCs w:val="14"/>
                <w:b w:val="1"/>
                <w:bCs w:val="1"/>
                <w:color w:val="auto"/>
              </w:rPr>
              <w:t>Value</w:t>
            </w:r>
          </w:p>
        </w:tc>
        <w:tc>
          <w:tcPr>
            <w:tcW w:w="300" w:type="dxa"/>
            <w:vAlign w:val="bottom"/>
            <w:tcBorders>
              <w:bottom w:val="single" w:sz="8" w:color="D7282F"/>
            </w:tcBorders>
          </w:tcPr>
          <w:p>
            <w:pPr>
              <w:spacing w:after="0"/>
              <w:rPr>
                <w:sz w:val="16"/>
                <w:szCs w:val="16"/>
                <w:color w:val="auto"/>
              </w:rPr>
            </w:pPr>
          </w:p>
        </w:tc>
        <w:tc>
          <w:tcPr>
            <w:tcW w:w="880" w:type="dxa"/>
            <w:vAlign w:val="bottom"/>
            <w:tcBorders>
              <w:bottom w:val="single" w:sz="8" w:color="D7282F"/>
            </w:tcBorders>
            <w:gridSpan w:val="2"/>
          </w:tcPr>
          <w:p>
            <w:pPr>
              <w:ind w:left="60"/>
              <w:spacing w:after="0"/>
              <w:rPr>
                <w:sz w:val="20"/>
                <w:szCs w:val="20"/>
                <w:color w:val="auto"/>
              </w:rPr>
            </w:pPr>
            <w:r>
              <w:rPr>
                <w:rFonts w:ascii="Arial" w:cs="Arial" w:eastAsia="Arial" w:hAnsi="Arial"/>
                <w:sz w:val="14"/>
                <w:szCs w:val="14"/>
                <w:b w:val="1"/>
                <w:bCs w:val="1"/>
                <w:color w:val="auto"/>
              </w:rPr>
              <w:t>Value</w:t>
            </w:r>
          </w:p>
        </w:tc>
        <w:tc>
          <w:tcPr>
            <w:tcW w:w="120" w:type="dxa"/>
            <w:vAlign w:val="bottom"/>
            <w:tcBorders>
              <w:bottom w:val="single" w:sz="8" w:color="D7282F"/>
            </w:tcBorders>
          </w:tcPr>
          <w:p>
            <w:pPr>
              <w:spacing w:after="0"/>
              <w:rPr>
                <w:sz w:val="16"/>
                <w:szCs w:val="16"/>
                <w:color w:val="auto"/>
              </w:rPr>
            </w:pPr>
          </w:p>
        </w:tc>
        <w:tc>
          <w:tcPr>
            <w:tcW w:w="800" w:type="dxa"/>
            <w:vAlign w:val="bottom"/>
            <w:tcBorders>
              <w:bottom w:val="single" w:sz="8" w:color="D7282F"/>
            </w:tcBorders>
          </w:tcPr>
          <w:p>
            <w:pPr>
              <w:jc w:val="right"/>
              <w:ind w:right="248"/>
              <w:spacing w:after="0"/>
              <w:rPr>
                <w:sz w:val="20"/>
                <w:szCs w:val="20"/>
                <w:color w:val="auto"/>
              </w:rPr>
            </w:pPr>
            <w:r>
              <w:rPr>
                <w:rFonts w:ascii="Arial" w:cs="Arial" w:eastAsia="Arial" w:hAnsi="Arial"/>
                <w:sz w:val="14"/>
                <w:szCs w:val="14"/>
                <w:b w:val="1"/>
                <w:bCs w:val="1"/>
                <w:color w:val="auto"/>
              </w:rPr>
              <w:t>Value</w:t>
            </w:r>
          </w:p>
        </w:tc>
        <w:tc>
          <w:tcPr>
            <w:tcW w:w="300" w:type="dxa"/>
            <w:vAlign w:val="bottom"/>
            <w:tcBorders>
              <w:bottom w:val="single" w:sz="8" w:color="D7282F"/>
            </w:tcBorders>
          </w:tcPr>
          <w:p>
            <w:pPr>
              <w:spacing w:after="0"/>
              <w:rPr>
                <w:sz w:val="16"/>
                <w:szCs w:val="16"/>
                <w:color w:val="auto"/>
              </w:rPr>
            </w:pPr>
          </w:p>
        </w:tc>
        <w:tc>
          <w:tcPr>
            <w:tcW w:w="66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Value</w:t>
            </w:r>
          </w:p>
        </w:tc>
      </w:tr>
      <w:tr>
        <w:trPr>
          <w:trHeight w:val="195"/>
        </w:trPr>
        <w:tc>
          <w:tcPr>
            <w:tcW w:w="726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Assets</w:t>
            </w:r>
          </w:p>
        </w:tc>
        <w:tc>
          <w:tcPr>
            <w:tcW w:w="100" w:type="dxa"/>
            <w:vAlign w:val="bottom"/>
            <w:tcBorders>
              <w:bottom w:val="single" w:sz="8" w:color="61656A"/>
            </w:tcBorders>
          </w:tcPr>
          <w:p>
            <w:pPr>
              <w:spacing w:after="0"/>
              <w:rPr>
                <w:sz w:val="16"/>
                <w:szCs w:val="16"/>
                <w:color w:val="auto"/>
              </w:rPr>
            </w:pPr>
          </w:p>
        </w:tc>
        <w:tc>
          <w:tcPr>
            <w:tcW w:w="820" w:type="dxa"/>
            <w:vAlign w:val="bottom"/>
            <w:tcBorders>
              <w:bottom w:val="single" w:sz="8" w:color="61656A"/>
            </w:tcBorders>
          </w:tcPr>
          <w:p>
            <w:pPr>
              <w:spacing w:after="0"/>
              <w:rPr>
                <w:sz w:val="16"/>
                <w:szCs w:val="16"/>
                <w:color w:val="auto"/>
              </w:rPr>
            </w:pPr>
          </w:p>
        </w:tc>
        <w:tc>
          <w:tcPr>
            <w:tcW w:w="300" w:type="dxa"/>
            <w:vAlign w:val="bottom"/>
            <w:tcBorders>
              <w:bottom w:val="single" w:sz="8" w:color="61656A"/>
            </w:tcBorders>
          </w:tcPr>
          <w:p>
            <w:pPr>
              <w:spacing w:after="0"/>
              <w:rPr>
                <w:sz w:val="16"/>
                <w:szCs w:val="16"/>
                <w:color w:val="auto"/>
              </w:rPr>
            </w:pPr>
          </w:p>
        </w:tc>
        <w:tc>
          <w:tcPr>
            <w:tcW w:w="66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120" w:type="dxa"/>
            <w:vAlign w:val="bottom"/>
            <w:tcBorders>
              <w:bottom w:val="single" w:sz="8" w:color="61656A"/>
            </w:tcBorders>
          </w:tcPr>
          <w:p>
            <w:pPr>
              <w:spacing w:after="0"/>
              <w:rPr>
                <w:sz w:val="16"/>
                <w:szCs w:val="16"/>
                <w:color w:val="auto"/>
              </w:rPr>
            </w:pPr>
          </w:p>
        </w:tc>
        <w:tc>
          <w:tcPr>
            <w:tcW w:w="800" w:type="dxa"/>
            <w:vAlign w:val="bottom"/>
            <w:tcBorders>
              <w:bottom w:val="single" w:sz="8" w:color="61656A"/>
            </w:tcBorders>
          </w:tcPr>
          <w:p>
            <w:pPr>
              <w:spacing w:after="0"/>
              <w:rPr>
                <w:sz w:val="16"/>
                <w:szCs w:val="16"/>
                <w:color w:val="auto"/>
              </w:rPr>
            </w:pPr>
          </w:p>
        </w:tc>
        <w:tc>
          <w:tcPr>
            <w:tcW w:w="300" w:type="dxa"/>
            <w:vAlign w:val="bottom"/>
            <w:tcBorders>
              <w:bottom w:val="single" w:sz="8" w:color="61656A"/>
            </w:tcBorders>
          </w:tcPr>
          <w:p>
            <w:pPr>
              <w:spacing w:after="0"/>
              <w:rPr>
                <w:sz w:val="16"/>
                <w:szCs w:val="16"/>
                <w:color w:val="auto"/>
              </w:rPr>
            </w:pPr>
          </w:p>
        </w:tc>
        <w:tc>
          <w:tcPr>
            <w:tcW w:w="660" w:type="dxa"/>
            <w:vAlign w:val="bottom"/>
            <w:tcBorders>
              <w:bottom w:val="single" w:sz="8" w:color="61656A"/>
            </w:tcBorders>
          </w:tcPr>
          <w:p>
            <w:pPr>
              <w:spacing w:after="0"/>
              <w:rPr>
                <w:sz w:val="16"/>
                <w:szCs w:val="16"/>
                <w:color w:val="auto"/>
              </w:rPr>
            </w:pPr>
          </w:p>
        </w:tc>
      </w:tr>
      <w:tr>
        <w:trPr>
          <w:trHeight w:val="193"/>
        </w:trPr>
        <w:tc>
          <w:tcPr>
            <w:tcW w:w="726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Long-term receivables</w:t>
            </w:r>
          </w:p>
        </w:tc>
        <w:tc>
          <w:tcPr>
            <w:tcW w:w="1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723</w:t>
            </w:r>
          </w:p>
        </w:tc>
        <w:tc>
          <w:tcPr>
            <w:tcW w:w="3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666</w:t>
            </w:r>
          </w:p>
        </w:tc>
        <w:tc>
          <w:tcPr>
            <w:tcW w:w="220" w:type="dxa"/>
            <w:vAlign w:val="bottom"/>
            <w:tcBorders>
              <w:bottom w:val="single" w:sz="8" w:color="61656A"/>
            </w:tcBorders>
          </w:tcPr>
          <w:p>
            <w:pPr>
              <w:spacing w:after="0"/>
              <w:rPr>
                <w:sz w:val="16"/>
                <w:szCs w:val="16"/>
                <w:color w:val="auto"/>
              </w:rPr>
            </w:pPr>
          </w:p>
        </w:tc>
        <w:tc>
          <w:tcPr>
            <w:tcW w:w="1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232</w:t>
            </w:r>
          </w:p>
        </w:tc>
        <w:tc>
          <w:tcPr>
            <w:tcW w:w="3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173</w:t>
            </w:r>
          </w:p>
        </w:tc>
      </w:tr>
      <w:tr>
        <w:trPr>
          <w:trHeight w:val="199"/>
        </w:trPr>
        <w:tc>
          <w:tcPr>
            <w:tcW w:w="726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Liabilities</w:t>
            </w:r>
          </w:p>
        </w:tc>
        <w:tc>
          <w:tcPr>
            <w:tcW w:w="100" w:type="dxa"/>
            <w:vAlign w:val="bottom"/>
            <w:tcBorders>
              <w:bottom w:val="single" w:sz="8" w:color="61656A"/>
            </w:tcBorders>
          </w:tcPr>
          <w:p>
            <w:pPr>
              <w:spacing w:after="0"/>
              <w:rPr>
                <w:sz w:val="17"/>
                <w:szCs w:val="17"/>
                <w:color w:val="auto"/>
              </w:rPr>
            </w:pPr>
          </w:p>
        </w:tc>
        <w:tc>
          <w:tcPr>
            <w:tcW w:w="820" w:type="dxa"/>
            <w:vAlign w:val="bottom"/>
            <w:tcBorders>
              <w:bottom w:val="single" w:sz="8" w:color="61656A"/>
            </w:tcBorders>
          </w:tcPr>
          <w:p>
            <w:pPr>
              <w:spacing w:after="0"/>
              <w:rPr>
                <w:sz w:val="17"/>
                <w:szCs w:val="17"/>
                <w:color w:val="auto"/>
              </w:rPr>
            </w:pPr>
          </w:p>
        </w:tc>
        <w:tc>
          <w:tcPr>
            <w:tcW w:w="300" w:type="dxa"/>
            <w:vAlign w:val="bottom"/>
            <w:tcBorders>
              <w:bottom w:val="single" w:sz="8" w:color="61656A"/>
            </w:tcBorders>
          </w:tcPr>
          <w:p>
            <w:pPr>
              <w:spacing w:after="0"/>
              <w:rPr>
                <w:sz w:val="17"/>
                <w:szCs w:val="17"/>
                <w:color w:val="auto"/>
              </w:rPr>
            </w:pPr>
          </w:p>
        </w:tc>
        <w:tc>
          <w:tcPr>
            <w:tcW w:w="660" w:type="dxa"/>
            <w:vAlign w:val="bottom"/>
            <w:tcBorders>
              <w:bottom w:val="single" w:sz="8" w:color="61656A"/>
            </w:tcBorders>
          </w:tcPr>
          <w:p>
            <w:pPr>
              <w:spacing w:after="0"/>
              <w:rPr>
                <w:sz w:val="17"/>
                <w:szCs w:val="17"/>
                <w:color w:val="auto"/>
              </w:rPr>
            </w:pPr>
          </w:p>
        </w:tc>
        <w:tc>
          <w:tcPr>
            <w:tcW w:w="220" w:type="dxa"/>
            <w:vAlign w:val="bottom"/>
            <w:tcBorders>
              <w:bottom w:val="single" w:sz="8" w:color="61656A"/>
            </w:tcBorders>
          </w:tcPr>
          <w:p>
            <w:pPr>
              <w:spacing w:after="0"/>
              <w:rPr>
                <w:sz w:val="17"/>
                <w:szCs w:val="17"/>
                <w:color w:val="auto"/>
              </w:rPr>
            </w:pPr>
          </w:p>
        </w:tc>
        <w:tc>
          <w:tcPr>
            <w:tcW w:w="12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spacing w:after="0"/>
              <w:rPr>
                <w:sz w:val="17"/>
                <w:szCs w:val="17"/>
                <w:color w:val="auto"/>
              </w:rPr>
            </w:pPr>
          </w:p>
        </w:tc>
        <w:tc>
          <w:tcPr>
            <w:tcW w:w="300" w:type="dxa"/>
            <w:vAlign w:val="bottom"/>
            <w:tcBorders>
              <w:bottom w:val="single" w:sz="8" w:color="61656A"/>
            </w:tcBorders>
          </w:tcPr>
          <w:p>
            <w:pPr>
              <w:spacing w:after="0"/>
              <w:rPr>
                <w:sz w:val="17"/>
                <w:szCs w:val="17"/>
                <w:color w:val="auto"/>
              </w:rPr>
            </w:pPr>
          </w:p>
        </w:tc>
        <w:tc>
          <w:tcPr>
            <w:tcW w:w="660" w:type="dxa"/>
            <w:vAlign w:val="bottom"/>
            <w:tcBorders>
              <w:bottom w:val="single" w:sz="8" w:color="61656A"/>
            </w:tcBorders>
          </w:tcPr>
          <w:p>
            <w:pPr>
              <w:spacing w:after="0"/>
              <w:rPr>
                <w:sz w:val="17"/>
                <w:szCs w:val="17"/>
                <w:color w:val="auto"/>
              </w:rPr>
            </w:pPr>
          </w:p>
        </w:tc>
      </w:tr>
      <w:tr>
        <w:trPr>
          <w:trHeight w:val="193"/>
        </w:trPr>
        <w:tc>
          <w:tcPr>
            <w:tcW w:w="726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Long-term debt and related current maturities</w:t>
            </w:r>
          </w:p>
        </w:tc>
        <w:tc>
          <w:tcPr>
            <w:tcW w:w="1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26,826</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25,503</w:t>
            </w:r>
          </w:p>
        </w:tc>
        <w:tc>
          <w:tcPr>
            <w:tcW w:w="220" w:type="dxa"/>
            <w:vAlign w:val="bottom"/>
            <w:tcBorders>
              <w:bottom w:val="single" w:sz="8" w:color="D7282F"/>
            </w:tcBorders>
          </w:tcPr>
          <w:p>
            <w:pPr>
              <w:spacing w:after="0"/>
              <w:rPr>
                <w:sz w:val="16"/>
                <w:szCs w:val="16"/>
                <w:color w:val="auto"/>
              </w:rPr>
            </w:pPr>
          </w:p>
        </w:tc>
        <w:tc>
          <w:tcPr>
            <w:tcW w:w="1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18,358</w:t>
            </w:r>
          </w:p>
        </w:tc>
        <w:tc>
          <w:tcPr>
            <w:tcW w:w="3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17,706</w:t>
            </w:r>
          </w:p>
        </w:tc>
      </w:tr>
    </w:tbl>
    <w:p>
      <w:pPr>
        <w:spacing w:after="0" w:line="188"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The Company determined the fair value of the long-term receivables by utilizing transactions in the listed markets for identical or similar assets. As such, the fair value of these receivables is considered level 2.</w:t>
      </w:r>
    </w:p>
    <w:p>
      <w:pPr>
        <w:spacing w:after="0" w:line="6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Company determined the fair value of the long-term debt and related current maturities utilizing transactions in the listed markets for identical or similar liabilities. As such, the fair value of the long-term debt and related current maturities is considered level 2.</w:t>
      </w:r>
    </w:p>
    <w:p>
      <w:pPr>
        <w:spacing w:after="0" w:line="400" w:lineRule="exact"/>
        <w:rPr>
          <w:sz w:val="20"/>
          <w:szCs w:val="20"/>
          <w:color w:val="auto"/>
        </w:rPr>
      </w:pPr>
    </w:p>
    <w:p>
      <w:pPr>
        <w:ind w:left="400" w:hanging="392"/>
        <w:spacing w:after="0"/>
        <w:tabs>
          <w:tab w:leader="none" w:pos="400" w:val="left"/>
        </w:tabs>
        <w:numPr>
          <w:ilvl w:val="0"/>
          <w:numId w:val="146"/>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88" w:name="page89"/>
    <w:bookmarkEnd w:id="88"/>
    <w:p>
      <w:pPr>
        <w:ind w:left="20"/>
        <w:spacing w:after="0"/>
        <w:tabs>
          <w:tab w:leader="none" w:pos="784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FINANCIAL STATEMENTS AND SUPPLEMENTARY DATA</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29"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As of December 31, 2024, the Company measured the disposal group of the personal protective equipment business at fair value, less costs to sell. The fair value of the disposal group was determined using significant unobservable inputs based on expected proceeds to be received upon the sale of the business.</w:t>
      </w:r>
    </w:p>
    <w:p>
      <w:pPr>
        <w:spacing w:after="0"/>
        <w:rPr>
          <w:sz w:val="20"/>
          <w:szCs w:val="20"/>
          <w:color w:val="auto"/>
        </w:rPr>
      </w:pPr>
      <w:r>
        <w:rPr>
          <w:rFonts w:ascii="Arial" w:cs="Arial" w:eastAsia="Arial" w:hAnsi="Arial"/>
          <w:sz w:val="16"/>
          <w:szCs w:val="16"/>
          <w:color w:val="auto"/>
        </w:rPr>
        <w:t xml:space="preserve">See Note 2 </w:t>
      </w:r>
      <w:r>
        <w:rPr>
          <w:rFonts w:ascii="Arial" w:cs="Arial" w:eastAsia="Arial" w:hAnsi="Arial"/>
          <w:sz w:val="16"/>
          <w:szCs w:val="16"/>
          <w:u w:val="single" w:color="auto"/>
          <w:color w:val="0000FF"/>
        </w:rPr>
        <w:t>Acquisitions, Divestitures, and Assets and Liabilities Held for Sale</w:t>
      </w:r>
      <w:r>
        <w:rPr>
          <w:rFonts w:ascii="Arial" w:cs="Arial" w:eastAsia="Arial" w:hAnsi="Arial"/>
          <w:sz w:val="16"/>
          <w:szCs w:val="16"/>
          <w:color w:val="auto"/>
        </w:rPr>
        <w:t xml:space="preserve"> for more information on the disposal group.</w:t>
      </w:r>
    </w:p>
    <w:p>
      <w:pPr>
        <w:spacing w:after="0" w:line="272" w:lineRule="exact"/>
        <w:rPr>
          <w:sz w:val="20"/>
          <w:szCs w:val="20"/>
          <w:color w:val="auto"/>
        </w:rPr>
      </w:pPr>
    </w:p>
    <w:p>
      <w:pPr>
        <w:spacing w:after="0"/>
        <w:rPr>
          <w:sz w:val="20"/>
          <w:szCs w:val="20"/>
          <w:color w:val="auto"/>
        </w:rPr>
      </w:pPr>
      <w:r>
        <w:rPr>
          <w:rFonts w:ascii="Arial" w:cs="Arial" w:eastAsia="Arial" w:hAnsi="Arial"/>
          <w:sz w:val="29"/>
          <w:szCs w:val="29"/>
          <w:color w:val="D7282F"/>
        </w:rPr>
        <w:t>NOTE 13. ACCRUED LIABILITIES</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420" w:type="dxa"/>
            <w:vAlign w:val="bottom"/>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1640" w:type="dxa"/>
            <w:vAlign w:val="bottom"/>
            <w:tcBorders>
              <w:bottom w:val="single" w:sz="8" w:color="D7282F"/>
            </w:tcBorders>
            <w:gridSpan w:val="3"/>
          </w:tcPr>
          <w:p>
            <w:pPr>
              <w:jc w:val="right"/>
              <w:ind w:right="368"/>
              <w:spacing w:after="0"/>
              <w:rPr>
                <w:sz w:val="20"/>
                <w:szCs w:val="20"/>
                <w:color w:val="auto"/>
              </w:rPr>
            </w:pPr>
            <w:r>
              <w:rPr>
                <w:rFonts w:ascii="Arial" w:cs="Arial" w:eastAsia="Arial" w:hAnsi="Arial"/>
                <w:sz w:val="14"/>
                <w:szCs w:val="14"/>
                <w:b w:val="1"/>
                <w:bCs w:val="1"/>
                <w:color w:val="auto"/>
              </w:rPr>
              <w:t>December 31,</w:t>
            </w:r>
          </w:p>
        </w:tc>
      </w:tr>
      <w:tr>
        <w:trPr>
          <w:trHeight w:val="250"/>
        </w:trPr>
        <w:tc>
          <w:tcPr>
            <w:tcW w:w="9420" w:type="dxa"/>
            <w:vAlign w:val="bottom"/>
            <w:tcBorders>
              <w:bottom w:val="single" w:sz="8" w:color="D7282F"/>
            </w:tcBorders>
          </w:tcPr>
          <w:p>
            <w:pPr>
              <w:spacing w:after="0"/>
              <w:rPr>
                <w:sz w:val="21"/>
                <w:szCs w:val="21"/>
                <w:color w:val="auto"/>
              </w:rPr>
            </w:pPr>
          </w:p>
        </w:tc>
        <w:tc>
          <w:tcPr>
            <w:tcW w:w="180" w:type="dxa"/>
            <w:vAlign w:val="bottom"/>
            <w:tcBorders>
              <w:bottom w:val="single" w:sz="8" w:color="D7282F"/>
            </w:tcBorders>
          </w:tcPr>
          <w:p>
            <w:pPr>
              <w:spacing w:after="0"/>
              <w:rPr>
                <w:sz w:val="21"/>
                <w:szCs w:val="21"/>
                <w:color w:val="auto"/>
              </w:rPr>
            </w:pPr>
          </w:p>
        </w:tc>
        <w:tc>
          <w:tcPr>
            <w:tcW w:w="740" w:type="dxa"/>
            <w:vAlign w:val="bottom"/>
            <w:tcBorders>
              <w:bottom w:val="single" w:sz="8" w:color="D7282F"/>
            </w:tcBorders>
          </w:tcPr>
          <w:p>
            <w:pPr>
              <w:jc w:val="right"/>
              <w:ind w:right="288"/>
              <w:spacing w:after="0"/>
              <w:rPr>
                <w:sz w:val="20"/>
                <w:szCs w:val="20"/>
                <w:color w:val="auto"/>
              </w:rPr>
            </w:pPr>
            <w:r>
              <w:rPr>
                <w:rFonts w:ascii="Arial" w:cs="Arial" w:eastAsia="Arial" w:hAnsi="Arial"/>
                <w:sz w:val="14"/>
                <w:szCs w:val="14"/>
                <w:b w:val="1"/>
                <w:bCs w:val="1"/>
                <w:color w:val="auto"/>
              </w:rPr>
              <w:t>2024</w:t>
            </w:r>
          </w:p>
        </w:tc>
        <w:tc>
          <w:tcPr>
            <w:tcW w:w="300" w:type="dxa"/>
            <w:vAlign w:val="bottom"/>
            <w:tcBorders>
              <w:bottom w:val="single" w:sz="8" w:color="D7282F"/>
            </w:tcBorders>
          </w:tcPr>
          <w:p>
            <w:pPr>
              <w:spacing w:after="0"/>
              <w:rPr>
                <w:sz w:val="21"/>
                <w:szCs w:val="21"/>
                <w:color w:val="auto"/>
              </w:rPr>
            </w:pPr>
          </w:p>
        </w:tc>
        <w:tc>
          <w:tcPr>
            <w:tcW w:w="60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2023</w:t>
            </w:r>
          </w:p>
        </w:tc>
      </w:tr>
      <w:tr>
        <w:trPr>
          <w:trHeight w:val="193"/>
        </w:trPr>
        <w:tc>
          <w:tcPr>
            <w:tcW w:w="942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Customer advances and deferred income</w:t>
            </w:r>
          </w:p>
        </w:tc>
        <w:tc>
          <w:tcPr>
            <w:tcW w:w="1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3,506</w:t>
            </w:r>
          </w:p>
        </w:tc>
        <w:tc>
          <w:tcPr>
            <w:tcW w:w="3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3,499</w:t>
            </w:r>
          </w:p>
        </w:tc>
      </w:tr>
      <w:tr>
        <w:trPr>
          <w:trHeight w:val="196"/>
        </w:trPr>
        <w:tc>
          <w:tcPr>
            <w:tcW w:w="942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Compensation, benefit and other employee related</w:t>
            </w:r>
          </w:p>
        </w:tc>
        <w:tc>
          <w:tcPr>
            <w:tcW w:w="18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1,366</w:t>
            </w:r>
          </w:p>
        </w:tc>
        <w:tc>
          <w:tcPr>
            <w:tcW w:w="30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1,322</w:t>
            </w:r>
          </w:p>
        </w:tc>
      </w:tr>
      <w:tr>
        <w:trPr>
          <w:trHeight w:val="196"/>
        </w:trPr>
        <w:tc>
          <w:tcPr>
            <w:tcW w:w="942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Income taxes</w:t>
            </w:r>
          </w:p>
        </w:tc>
        <w:tc>
          <w:tcPr>
            <w:tcW w:w="18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961</w:t>
            </w:r>
          </w:p>
        </w:tc>
        <w:tc>
          <w:tcPr>
            <w:tcW w:w="30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680</w:t>
            </w:r>
          </w:p>
        </w:tc>
      </w:tr>
      <w:tr>
        <w:trPr>
          <w:trHeight w:val="196"/>
        </w:trPr>
        <w:tc>
          <w:tcPr>
            <w:tcW w:w="942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Repositioning</w:t>
            </w:r>
          </w:p>
        </w:tc>
        <w:tc>
          <w:tcPr>
            <w:tcW w:w="18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185</w:t>
            </w:r>
          </w:p>
        </w:tc>
        <w:tc>
          <w:tcPr>
            <w:tcW w:w="30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279</w:t>
            </w:r>
          </w:p>
        </w:tc>
      </w:tr>
      <w:tr>
        <w:trPr>
          <w:trHeight w:val="196"/>
        </w:trPr>
        <w:tc>
          <w:tcPr>
            <w:tcW w:w="942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Environmental costs</w:t>
            </w:r>
          </w:p>
        </w:tc>
        <w:tc>
          <w:tcPr>
            <w:tcW w:w="18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244</w:t>
            </w:r>
          </w:p>
        </w:tc>
        <w:tc>
          <w:tcPr>
            <w:tcW w:w="30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227</w:t>
            </w:r>
          </w:p>
        </w:tc>
      </w:tr>
      <w:tr>
        <w:trPr>
          <w:trHeight w:val="196"/>
        </w:trPr>
        <w:tc>
          <w:tcPr>
            <w:tcW w:w="942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Accrued interest</w:t>
            </w:r>
          </w:p>
        </w:tc>
        <w:tc>
          <w:tcPr>
            <w:tcW w:w="18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379</w:t>
            </w:r>
          </w:p>
        </w:tc>
        <w:tc>
          <w:tcPr>
            <w:tcW w:w="30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217</w:t>
            </w:r>
          </w:p>
        </w:tc>
      </w:tr>
      <w:tr>
        <w:trPr>
          <w:trHeight w:val="196"/>
        </w:trPr>
        <w:tc>
          <w:tcPr>
            <w:tcW w:w="942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Operating lease liabilities</w:t>
            </w:r>
          </w:p>
        </w:tc>
        <w:tc>
          <w:tcPr>
            <w:tcW w:w="18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199</w:t>
            </w:r>
          </w:p>
        </w:tc>
        <w:tc>
          <w:tcPr>
            <w:tcW w:w="30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196</w:t>
            </w:r>
          </w:p>
        </w:tc>
      </w:tr>
      <w:tr>
        <w:trPr>
          <w:trHeight w:val="196"/>
        </w:trPr>
        <w:tc>
          <w:tcPr>
            <w:tcW w:w="942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Product warranties and performance guarantees</w:t>
            </w:r>
          </w:p>
        </w:tc>
        <w:tc>
          <w:tcPr>
            <w:tcW w:w="18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202</w:t>
            </w:r>
          </w:p>
        </w:tc>
        <w:tc>
          <w:tcPr>
            <w:tcW w:w="30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182</w:t>
            </w:r>
          </w:p>
        </w:tc>
      </w:tr>
      <w:tr>
        <w:trPr>
          <w:trHeight w:val="196"/>
        </w:trPr>
        <w:tc>
          <w:tcPr>
            <w:tcW w:w="942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Other taxes</w:t>
            </w:r>
          </w:p>
        </w:tc>
        <w:tc>
          <w:tcPr>
            <w:tcW w:w="18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292</w:t>
            </w:r>
          </w:p>
        </w:tc>
        <w:tc>
          <w:tcPr>
            <w:tcW w:w="30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176</w:t>
            </w:r>
          </w:p>
        </w:tc>
      </w:tr>
      <w:tr>
        <w:trPr>
          <w:trHeight w:val="196"/>
        </w:trPr>
        <w:tc>
          <w:tcPr>
            <w:tcW w:w="942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Asbestos-related liabilities</w:t>
            </w:r>
          </w:p>
        </w:tc>
        <w:tc>
          <w:tcPr>
            <w:tcW w:w="18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157</w:t>
            </w:r>
          </w:p>
        </w:tc>
        <w:tc>
          <w:tcPr>
            <w:tcW w:w="30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154</w:t>
            </w:r>
          </w:p>
        </w:tc>
      </w:tr>
      <w:tr>
        <w:trPr>
          <w:trHeight w:val="196"/>
        </w:trPr>
        <w:tc>
          <w:tcPr>
            <w:tcW w:w="942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Insurance</w:t>
            </w:r>
          </w:p>
        </w:tc>
        <w:tc>
          <w:tcPr>
            <w:tcW w:w="18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60</w:t>
            </w:r>
          </w:p>
        </w:tc>
        <w:tc>
          <w:tcPr>
            <w:tcW w:w="30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69</w:t>
            </w:r>
          </w:p>
        </w:tc>
      </w:tr>
      <w:tr>
        <w:trPr>
          <w:trHeight w:val="196"/>
        </w:trPr>
        <w:tc>
          <w:tcPr>
            <w:tcW w:w="942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Other (primarily operating expenses)</w:t>
            </w:r>
          </w:p>
        </w:tc>
        <w:tc>
          <w:tcPr>
            <w:tcW w:w="18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797</w:t>
            </w:r>
          </w:p>
        </w:tc>
        <w:tc>
          <w:tcPr>
            <w:tcW w:w="30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808</w:t>
            </w:r>
          </w:p>
        </w:tc>
      </w:tr>
      <w:tr>
        <w:trPr>
          <w:trHeight w:val="199"/>
        </w:trPr>
        <w:tc>
          <w:tcPr>
            <w:tcW w:w="942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Accrued liabilities</w:t>
            </w:r>
          </w:p>
        </w:tc>
        <w:tc>
          <w:tcPr>
            <w:tcW w:w="1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8,348</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7,809</w:t>
            </w:r>
          </w:p>
        </w:tc>
      </w:tr>
    </w:tbl>
    <w:p>
      <w:pPr>
        <w:spacing w:after="0" w:line="198" w:lineRule="exact"/>
        <w:rPr>
          <w:sz w:val="20"/>
          <w:szCs w:val="20"/>
          <w:color w:val="auto"/>
        </w:rPr>
      </w:pPr>
    </w:p>
    <w:p>
      <w:pPr>
        <w:ind w:left="460" w:right="20" w:hanging="324"/>
        <w:spacing w:after="0" w:line="182" w:lineRule="auto"/>
        <w:tabs>
          <w:tab w:leader="none" w:pos="460" w:val="left"/>
        </w:tabs>
        <w:numPr>
          <w:ilvl w:val="0"/>
          <w:numId w:val="147"/>
        </w:numPr>
        <w:rPr>
          <w:rFonts w:ascii="Arial" w:cs="Arial" w:eastAsia="Arial" w:hAnsi="Arial"/>
          <w:sz w:val="24"/>
          <w:szCs w:val="24"/>
          <w:color w:val="auto"/>
          <w:vertAlign w:val="superscript"/>
        </w:rPr>
      </w:pPr>
      <w:r>
        <w:rPr>
          <w:rFonts w:ascii="Arial" w:cs="Arial" w:eastAsia="Arial" w:hAnsi="Arial"/>
          <w:sz w:val="12"/>
          <w:szCs w:val="12"/>
          <w:color w:val="auto"/>
        </w:rPr>
        <w:t xml:space="preserve">As of December 31, 2024, Total Accrued liabilities excludes $110 million that are included in Liabilities held for sale in the Consolidated Balance Sheet. Refer to Note 2 </w:t>
      </w:r>
      <w:r>
        <w:rPr>
          <w:rFonts w:ascii="Arial" w:cs="Arial" w:eastAsia="Arial" w:hAnsi="Arial"/>
          <w:sz w:val="12"/>
          <w:szCs w:val="12"/>
          <w:u w:val="single" w:color="auto"/>
          <w:color w:val="0000FF"/>
        </w:rPr>
        <w:t>Acquisitions, Divestitures,</w:t>
      </w:r>
      <w:r>
        <w:rPr>
          <w:rFonts w:ascii="Arial" w:cs="Arial" w:eastAsia="Arial" w:hAnsi="Arial"/>
          <w:sz w:val="12"/>
          <w:szCs w:val="12"/>
          <w:color w:val="auto"/>
        </w:rPr>
        <w:t xml:space="preserve"> </w:t>
      </w:r>
      <w:r>
        <w:rPr>
          <w:rFonts w:ascii="Arial" w:cs="Arial" w:eastAsia="Arial" w:hAnsi="Arial"/>
          <w:sz w:val="12"/>
          <w:szCs w:val="12"/>
          <w:u w:val="single" w:color="auto"/>
          <w:color w:val="0000FF"/>
        </w:rPr>
        <w:t>and Assets and Liabilities Held for Sale</w:t>
      </w:r>
      <w:r>
        <w:rPr>
          <w:rFonts w:ascii="Arial" w:cs="Arial" w:eastAsia="Arial" w:hAnsi="Arial"/>
          <w:sz w:val="12"/>
          <w:szCs w:val="12"/>
          <w:color w:val="000000"/>
        </w:rPr>
        <w:t>.</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9"/>
          <w:szCs w:val="29"/>
          <w:color w:val="D7282F"/>
        </w:rPr>
        <w:t>NOTE 14. OTHER LIABILITIES</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420" w:type="dxa"/>
            <w:vAlign w:val="bottom"/>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1640" w:type="dxa"/>
            <w:vAlign w:val="bottom"/>
            <w:tcBorders>
              <w:bottom w:val="single" w:sz="8" w:color="D7282F"/>
            </w:tcBorders>
            <w:gridSpan w:val="3"/>
          </w:tcPr>
          <w:p>
            <w:pPr>
              <w:jc w:val="right"/>
              <w:ind w:right="368"/>
              <w:spacing w:after="0"/>
              <w:rPr>
                <w:sz w:val="20"/>
                <w:szCs w:val="20"/>
                <w:color w:val="auto"/>
              </w:rPr>
            </w:pPr>
            <w:r>
              <w:rPr>
                <w:rFonts w:ascii="Arial" w:cs="Arial" w:eastAsia="Arial" w:hAnsi="Arial"/>
                <w:sz w:val="14"/>
                <w:szCs w:val="14"/>
                <w:b w:val="1"/>
                <w:bCs w:val="1"/>
                <w:color w:val="auto"/>
              </w:rPr>
              <w:t>December 31,</w:t>
            </w:r>
          </w:p>
        </w:tc>
      </w:tr>
      <w:tr>
        <w:trPr>
          <w:trHeight w:val="250"/>
        </w:trPr>
        <w:tc>
          <w:tcPr>
            <w:tcW w:w="9420" w:type="dxa"/>
            <w:vAlign w:val="bottom"/>
            <w:tcBorders>
              <w:bottom w:val="single" w:sz="8" w:color="D7282F"/>
            </w:tcBorders>
          </w:tcPr>
          <w:p>
            <w:pPr>
              <w:spacing w:after="0"/>
              <w:rPr>
                <w:sz w:val="21"/>
                <w:szCs w:val="21"/>
                <w:color w:val="auto"/>
              </w:rPr>
            </w:pPr>
          </w:p>
        </w:tc>
        <w:tc>
          <w:tcPr>
            <w:tcW w:w="180" w:type="dxa"/>
            <w:vAlign w:val="bottom"/>
            <w:tcBorders>
              <w:bottom w:val="single" w:sz="8" w:color="D7282F"/>
            </w:tcBorders>
          </w:tcPr>
          <w:p>
            <w:pPr>
              <w:spacing w:after="0"/>
              <w:rPr>
                <w:sz w:val="21"/>
                <w:szCs w:val="21"/>
                <w:color w:val="auto"/>
              </w:rPr>
            </w:pPr>
          </w:p>
        </w:tc>
        <w:tc>
          <w:tcPr>
            <w:tcW w:w="740" w:type="dxa"/>
            <w:vAlign w:val="bottom"/>
            <w:tcBorders>
              <w:bottom w:val="single" w:sz="8" w:color="D7282F"/>
            </w:tcBorders>
          </w:tcPr>
          <w:p>
            <w:pPr>
              <w:jc w:val="right"/>
              <w:ind w:right="288"/>
              <w:spacing w:after="0"/>
              <w:rPr>
                <w:sz w:val="20"/>
                <w:szCs w:val="20"/>
                <w:color w:val="auto"/>
              </w:rPr>
            </w:pPr>
            <w:r>
              <w:rPr>
                <w:rFonts w:ascii="Arial" w:cs="Arial" w:eastAsia="Arial" w:hAnsi="Arial"/>
                <w:sz w:val="14"/>
                <w:szCs w:val="14"/>
                <w:b w:val="1"/>
                <w:bCs w:val="1"/>
                <w:color w:val="auto"/>
              </w:rPr>
              <w:t>2024</w:t>
            </w:r>
          </w:p>
        </w:tc>
        <w:tc>
          <w:tcPr>
            <w:tcW w:w="300" w:type="dxa"/>
            <w:vAlign w:val="bottom"/>
            <w:tcBorders>
              <w:bottom w:val="single" w:sz="8" w:color="D7282F"/>
            </w:tcBorders>
          </w:tcPr>
          <w:p>
            <w:pPr>
              <w:spacing w:after="0"/>
              <w:rPr>
                <w:sz w:val="21"/>
                <w:szCs w:val="21"/>
                <w:color w:val="auto"/>
              </w:rPr>
            </w:pPr>
          </w:p>
        </w:tc>
        <w:tc>
          <w:tcPr>
            <w:tcW w:w="60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2023</w:t>
            </w:r>
          </w:p>
        </w:tc>
      </w:tr>
      <w:tr>
        <w:trPr>
          <w:trHeight w:val="193"/>
        </w:trPr>
        <w:tc>
          <w:tcPr>
            <w:tcW w:w="942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Income taxes</w:t>
            </w:r>
          </w:p>
        </w:tc>
        <w:tc>
          <w:tcPr>
            <w:tcW w:w="1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1,433</w:t>
            </w:r>
          </w:p>
        </w:tc>
        <w:tc>
          <w:tcPr>
            <w:tcW w:w="3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1,742</w:t>
            </w:r>
          </w:p>
        </w:tc>
      </w:tr>
      <w:tr>
        <w:trPr>
          <w:trHeight w:val="196"/>
        </w:trPr>
        <w:tc>
          <w:tcPr>
            <w:tcW w:w="942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Pension and other employee related</w:t>
            </w:r>
          </w:p>
        </w:tc>
        <w:tc>
          <w:tcPr>
            <w:tcW w:w="18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1,261</w:t>
            </w:r>
          </w:p>
        </w:tc>
        <w:tc>
          <w:tcPr>
            <w:tcW w:w="30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1,342</w:t>
            </w:r>
          </w:p>
        </w:tc>
      </w:tr>
      <w:tr>
        <w:trPr>
          <w:trHeight w:val="196"/>
        </w:trPr>
        <w:tc>
          <w:tcPr>
            <w:tcW w:w="942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Deferred income</w:t>
            </w:r>
          </w:p>
        </w:tc>
        <w:tc>
          <w:tcPr>
            <w:tcW w:w="18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1,190</w:t>
            </w:r>
          </w:p>
        </w:tc>
        <w:tc>
          <w:tcPr>
            <w:tcW w:w="30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1,171</w:t>
            </w:r>
          </w:p>
        </w:tc>
      </w:tr>
      <w:tr>
        <w:trPr>
          <w:trHeight w:val="196"/>
        </w:trPr>
        <w:tc>
          <w:tcPr>
            <w:tcW w:w="942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Operating lease liabilities</w:t>
            </w:r>
          </w:p>
        </w:tc>
        <w:tc>
          <w:tcPr>
            <w:tcW w:w="18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927</w:t>
            </w:r>
          </w:p>
        </w:tc>
        <w:tc>
          <w:tcPr>
            <w:tcW w:w="30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897</w:t>
            </w:r>
          </w:p>
        </w:tc>
      </w:tr>
      <w:tr>
        <w:trPr>
          <w:trHeight w:val="196"/>
        </w:trPr>
        <w:tc>
          <w:tcPr>
            <w:tcW w:w="942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Environmental costs</w:t>
            </w:r>
          </w:p>
        </w:tc>
        <w:tc>
          <w:tcPr>
            <w:tcW w:w="18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434</w:t>
            </w:r>
          </w:p>
        </w:tc>
        <w:tc>
          <w:tcPr>
            <w:tcW w:w="30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414</w:t>
            </w:r>
          </w:p>
        </w:tc>
      </w:tr>
      <w:tr>
        <w:trPr>
          <w:trHeight w:val="196"/>
        </w:trPr>
        <w:tc>
          <w:tcPr>
            <w:tcW w:w="942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Insurance</w:t>
            </w:r>
          </w:p>
        </w:tc>
        <w:tc>
          <w:tcPr>
            <w:tcW w:w="18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244</w:t>
            </w:r>
          </w:p>
        </w:tc>
        <w:tc>
          <w:tcPr>
            <w:tcW w:w="30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248</w:t>
            </w:r>
          </w:p>
        </w:tc>
      </w:tr>
      <w:tr>
        <w:trPr>
          <w:trHeight w:val="196"/>
        </w:trPr>
        <w:tc>
          <w:tcPr>
            <w:tcW w:w="942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Product warranties and performance guarantees</w:t>
            </w:r>
          </w:p>
        </w:tc>
        <w:tc>
          <w:tcPr>
            <w:tcW w:w="18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35</w:t>
            </w:r>
          </w:p>
        </w:tc>
        <w:tc>
          <w:tcPr>
            <w:tcW w:w="30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37</w:t>
            </w:r>
          </w:p>
        </w:tc>
      </w:tr>
      <w:tr>
        <w:trPr>
          <w:trHeight w:val="196"/>
        </w:trPr>
        <w:tc>
          <w:tcPr>
            <w:tcW w:w="942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Asset retirement obligations</w:t>
            </w:r>
          </w:p>
        </w:tc>
        <w:tc>
          <w:tcPr>
            <w:tcW w:w="18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16</w:t>
            </w:r>
          </w:p>
        </w:tc>
        <w:tc>
          <w:tcPr>
            <w:tcW w:w="30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17</w:t>
            </w:r>
          </w:p>
        </w:tc>
      </w:tr>
      <w:tr>
        <w:trPr>
          <w:trHeight w:val="196"/>
        </w:trPr>
        <w:tc>
          <w:tcPr>
            <w:tcW w:w="942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Other</w:t>
            </w:r>
          </w:p>
        </w:tc>
        <w:tc>
          <w:tcPr>
            <w:tcW w:w="18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536</w:t>
            </w:r>
          </w:p>
        </w:tc>
        <w:tc>
          <w:tcPr>
            <w:tcW w:w="30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397</w:t>
            </w:r>
          </w:p>
        </w:tc>
      </w:tr>
      <w:tr>
        <w:trPr>
          <w:trHeight w:val="199"/>
        </w:trPr>
        <w:tc>
          <w:tcPr>
            <w:tcW w:w="942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Other liabilities</w:t>
            </w:r>
          </w:p>
        </w:tc>
        <w:tc>
          <w:tcPr>
            <w:tcW w:w="1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6,076</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6,265</w:t>
            </w:r>
          </w:p>
        </w:tc>
      </w:tr>
    </w:tbl>
    <w:p>
      <w:pPr>
        <w:spacing w:after="0" w:line="198" w:lineRule="exact"/>
        <w:rPr>
          <w:sz w:val="20"/>
          <w:szCs w:val="20"/>
          <w:color w:val="auto"/>
        </w:rPr>
      </w:pPr>
    </w:p>
    <w:p>
      <w:pPr>
        <w:ind w:left="460" w:right="20" w:hanging="324"/>
        <w:spacing w:after="0" w:line="180" w:lineRule="auto"/>
        <w:tabs>
          <w:tab w:leader="none" w:pos="460" w:val="left"/>
        </w:tabs>
        <w:numPr>
          <w:ilvl w:val="0"/>
          <w:numId w:val="148"/>
        </w:numPr>
        <w:rPr>
          <w:rFonts w:ascii="Arial" w:cs="Arial" w:eastAsia="Arial" w:hAnsi="Arial"/>
          <w:sz w:val="25"/>
          <w:szCs w:val="25"/>
          <w:color w:val="auto"/>
          <w:vertAlign w:val="superscript"/>
        </w:rPr>
      </w:pPr>
      <w:r>
        <w:rPr>
          <w:rFonts w:ascii="Arial" w:cs="Arial" w:eastAsia="Arial" w:hAnsi="Arial"/>
          <w:sz w:val="13"/>
          <w:szCs w:val="13"/>
          <w:color w:val="auto"/>
        </w:rPr>
        <w:t xml:space="preserve">As of December 31, 2024, Total Other liabilities excludes $22 million that are included in Liabilities held for sale in the Consolidated Balance Sheet. Refer to Note 2 </w:t>
      </w:r>
      <w:r>
        <w:rPr>
          <w:rFonts w:ascii="Arial" w:cs="Arial" w:eastAsia="Arial" w:hAnsi="Arial"/>
          <w:sz w:val="13"/>
          <w:szCs w:val="13"/>
          <w:u w:val="single" w:color="auto"/>
          <w:color w:val="0000FF"/>
        </w:rPr>
        <w:t>Acquisitions, Divestitures,</w:t>
      </w:r>
      <w:r>
        <w:rPr>
          <w:rFonts w:ascii="Arial" w:cs="Arial" w:eastAsia="Arial" w:hAnsi="Arial"/>
          <w:sz w:val="13"/>
          <w:szCs w:val="13"/>
          <w:color w:val="auto"/>
        </w:rPr>
        <w:t xml:space="preserve"> </w:t>
      </w:r>
      <w:r>
        <w:rPr>
          <w:rFonts w:ascii="Arial" w:cs="Arial" w:eastAsia="Arial" w:hAnsi="Arial"/>
          <w:sz w:val="13"/>
          <w:szCs w:val="13"/>
          <w:u w:val="single" w:color="auto"/>
          <w:color w:val="0000FF"/>
        </w:rPr>
        <w:t>and Assets and Liabilities Held for Sale</w:t>
      </w:r>
      <w:r>
        <w:rPr>
          <w:rFonts w:ascii="Arial" w:cs="Arial" w:eastAsia="Arial" w:hAnsi="Arial"/>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00" w:hanging="392"/>
        <w:spacing w:after="0"/>
        <w:tabs>
          <w:tab w:leader="none" w:pos="400" w:val="left"/>
        </w:tabs>
        <w:numPr>
          <w:ilvl w:val="0"/>
          <w:numId w:val="149"/>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89" w:name="page90"/>
    <w:bookmarkEnd w:id="89"/>
    <w:p>
      <w:pPr>
        <w:ind w:left="20"/>
        <w:spacing w:after="0"/>
        <w:tabs>
          <w:tab w:leader="none" w:pos="784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FINANCIAL STATEMENTS AND SUPPLEMENTARY DATA</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29"/>
          <w:szCs w:val="29"/>
          <w:color w:val="D7282F"/>
        </w:rPr>
        <w:t>NOTE 15. STOCK-BASED COMPENSATION PLANS</w:t>
      </w:r>
    </w:p>
    <w:p>
      <w:pPr>
        <w:spacing w:after="0" w:line="25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2016 Stock Incentive Plan of Honeywell International Inc. and its Affiliates (2016 Plan) and 2016 Stock Plan for Non-Employee Directors of Honeywell International Inc. (2016 Directors Plan) were both approved by the shareowners at the Annual Meeting of Shareowners effective on April 25, 2016. As of December 31, 2024, there were 27.1 million and 0.8 million shares of Honeywell common stock available for future grants under terms of the 2016 Plan and 2016 Directors Plan, respectively.</w:t>
      </w:r>
    </w:p>
    <w:p>
      <w:pPr>
        <w:spacing w:after="0" w:line="20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STOCK OPTIONS</w:t>
      </w:r>
    </w:p>
    <w:p>
      <w:pPr>
        <w:spacing w:after="0" w:line="14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exercise price, term, and other conditions applicable to each option granted under the Company's stock plans are generally determined by the Management Development and Compensation Committee of the Board. The exercise price of stock options is set on the grant date and may not be less than the fair market value per share of the Company's stock on that date. The fair value is recognized as an expense over the employee’s requisite service period (generally the vesting period of the award). Options generally vest over a four-year period and expire after 10 years.</w:t>
      </w:r>
    </w:p>
    <w:p>
      <w:pPr>
        <w:spacing w:after="0" w:line="6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fair value of each option award is estimated on the date of grant using the Black-Scholes option-pricing model. Expected volatility is based on implied volatilities from traded options on our common stock and historical volatility of the Company's common stock. The Company used a Monte Carlo simulation model to derive an expected term which represents an estimate of the time options are expected to remain outstanding. Such model uses historical data to estimate option exercise activity and post-vest termination behavior. The risk-free rate for periods within the contractual life of the option is based on the U.S. treasury yield curve in effect at the time of grant.</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impact to the Consolidated Statement of Operations from stock options: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480" w:type="dxa"/>
            <w:vAlign w:val="bottom"/>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2600" w:type="dxa"/>
            <w:vAlign w:val="bottom"/>
            <w:tcBorders>
              <w:bottom w:val="single" w:sz="8" w:color="D7282F"/>
            </w:tcBorders>
            <w:gridSpan w:val="5"/>
          </w:tcPr>
          <w:p>
            <w:pPr>
              <w:jc w:val="right"/>
              <w:ind w:right="388"/>
              <w:spacing w:after="0"/>
              <w:rPr>
                <w:sz w:val="20"/>
                <w:szCs w:val="20"/>
                <w:color w:val="auto"/>
              </w:rPr>
            </w:pPr>
            <w:r>
              <w:rPr>
                <w:rFonts w:ascii="Arial" w:cs="Arial" w:eastAsia="Arial" w:hAnsi="Arial"/>
                <w:sz w:val="14"/>
                <w:szCs w:val="14"/>
                <w:b w:val="1"/>
                <w:bCs w:val="1"/>
                <w:color w:val="auto"/>
              </w:rPr>
              <w:t>Years Ended December 31,</w:t>
            </w:r>
          </w:p>
        </w:tc>
      </w:tr>
      <w:tr>
        <w:trPr>
          <w:trHeight w:val="250"/>
        </w:trPr>
        <w:tc>
          <w:tcPr>
            <w:tcW w:w="8480" w:type="dxa"/>
            <w:vAlign w:val="bottom"/>
            <w:tcBorders>
              <w:bottom w:val="single" w:sz="8" w:color="D7282F"/>
            </w:tcBorders>
          </w:tcPr>
          <w:p>
            <w:pPr>
              <w:spacing w:after="0"/>
              <w:rPr>
                <w:sz w:val="21"/>
                <w:szCs w:val="21"/>
                <w:color w:val="auto"/>
              </w:rPr>
            </w:pPr>
          </w:p>
        </w:tc>
        <w:tc>
          <w:tcPr>
            <w:tcW w:w="160" w:type="dxa"/>
            <w:vAlign w:val="bottom"/>
            <w:tcBorders>
              <w:bottom w:val="single" w:sz="8" w:color="D7282F"/>
            </w:tcBorders>
          </w:tcPr>
          <w:p>
            <w:pPr>
              <w:spacing w:after="0"/>
              <w:rPr>
                <w:sz w:val="21"/>
                <w:szCs w:val="21"/>
                <w:color w:val="auto"/>
              </w:rPr>
            </w:pPr>
          </w:p>
        </w:tc>
        <w:tc>
          <w:tcPr>
            <w:tcW w:w="700" w:type="dxa"/>
            <w:vAlign w:val="bottom"/>
            <w:tcBorders>
              <w:bottom w:val="single" w:sz="8" w:color="D7282F"/>
            </w:tcBorders>
          </w:tcPr>
          <w:p>
            <w:pPr>
              <w:jc w:val="right"/>
              <w:ind w:right="248"/>
              <w:spacing w:after="0"/>
              <w:rPr>
                <w:sz w:val="20"/>
                <w:szCs w:val="20"/>
                <w:color w:val="auto"/>
              </w:rPr>
            </w:pPr>
            <w:r>
              <w:rPr>
                <w:rFonts w:ascii="Arial" w:cs="Arial" w:eastAsia="Arial" w:hAnsi="Arial"/>
                <w:sz w:val="14"/>
                <w:szCs w:val="14"/>
                <w:b w:val="1"/>
                <w:bCs w:val="1"/>
                <w:color w:val="auto"/>
              </w:rPr>
              <w:t>2024</w:t>
            </w:r>
          </w:p>
        </w:tc>
        <w:tc>
          <w:tcPr>
            <w:tcW w:w="300" w:type="dxa"/>
            <w:vAlign w:val="bottom"/>
            <w:tcBorders>
              <w:bottom w:val="single" w:sz="8" w:color="D7282F"/>
            </w:tcBorders>
          </w:tcPr>
          <w:p>
            <w:pPr>
              <w:spacing w:after="0"/>
              <w:rPr>
                <w:sz w:val="21"/>
                <w:szCs w:val="21"/>
                <w:color w:val="auto"/>
              </w:rPr>
            </w:pPr>
          </w:p>
        </w:tc>
        <w:tc>
          <w:tcPr>
            <w:tcW w:w="700" w:type="dxa"/>
            <w:vAlign w:val="bottom"/>
            <w:tcBorders>
              <w:bottom w:val="single" w:sz="8" w:color="D7282F"/>
            </w:tcBorders>
          </w:tcPr>
          <w:p>
            <w:pPr>
              <w:jc w:val="right"/>
              <w:ind w:right="248"/>
              <w:spacing w:after="0"/>
              <w:rPr>
                <w:sz w:val="20"/>
                <w:szCs w:val="20"/>
                <w:color w:val="auto"/>
              </w:rPr>
            </w:pPr>
            <w:r>
              <w:rPr>
                <w:rFonts w:ascii="Arial" w:cs="Arial" w:eastAsia="Arial" w:hAnsi="Arial"/>
                <w:sz w:val="14"/>
                <w:szCs w:val="14"/>
                <w:b w:val="1"/>
                <w:bCs w:val="1"/>
                <w:color w:val="auto"/>
              </w:rPr>
              <w:t>2023</w:t>
            </w:r>
          </w:p>
        </w:tc>
        <w:tc>
          <w:tcPr>
            <w:tcW w:w="300" w:type="dxa"/>
            <w:vAlign w:val="bottom"/>
            <w:tcBorders>
              <w:bottom w:val="single" w:sz="8" w:color="D7282F"/>
            </w:tcBorders>
          </w:tcPr>
          <w:p>
            <w:pPr>
              <w:spacing w:after="0"/>
              <w:rPr>
                <w:sz w:val="21"/>
                <w:szCs w:val="21"/>
                <w:color w:val="auto"/>
              </w:rPr>
            </w:pPr>
          </w:p>
        </w:tc>
        <w:tc>
          <w:tcPr>
            <w:tcW w:w="60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2022</w:t>
            </w:r>
          </w:p>
        </w:tc>
      </w:tr>
      <w:tr>
        <w:trPr>
          <w:trHeight w:val="193"/>
        </w:trPr>
        <w:tc>
          <w:tcPr>
            <w:tcW w:w="8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Compensation expense</w:t>
            </w:r>
          </w:p>
        </w:tc>
        <w:tc>
          <w:tcPr>
            <w:tcW w:w="1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52</w:t>
            </w:r>
          </w:p>
        </w:tc>
        <w:tc>
          <w:tcPr>
            <w:tcW w:w="3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48</w:t>
            </w:r>
          </w:p>
        </w:tc>
        <w:tc>
          <w:tcPr>
            <w:tcW w:w="3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45</w:t>
            </w:r>
          </w:p>
        </w:tc>
      </w:tr>
      <w:tr>
        <w:trPr>
          <w:trHeight w:val="196"/>
        </w:trPr>
        <w:tc>
          <w:tcPr>
            <w:tcW w:w="84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Future income tax benefit recognized</w:t>
            </w:r>
          </w:p>
        </w:tc>
        <w:tc>
          <w:tcPr>
            <w:tcW w:w="16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12</w:t>
            </w:r>
          </w:p>
        </w:tc>
        <w:tc>
          <w:tcPr>
            <w:tcW w:w="30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11</w:t>
            </w:r>
          </w:p>
        </w:tc>
        <w:tc>
          <w:tcPr>
            <w:tcW w:w="30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10</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fair value per share information, including related weighted average assumptions, used to determine compensation cost: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100" w:type="dxa"/>
            <w:vAlign w:val="bottom"/>
          </w:tcPr>
          <w:p>
            <w:pPr>
              <w:spacing w:after="0"/>
              <w:rPr>
                <w:sz w:val="17"/>
                <w:szCs w:val="17"/>
                <w:color w:val="auto"/>
              </w:rPr>
            </w:pPr>
          </w:p>
        </w:tc>
        <w:tc>
          <w:tcPr>
            <w:tcW w:w="200" w:type="dxa"/>
            <w:vAlign w:val="bottom"/>
            <w:tcBorders>
              <w:bottom w:val="single" w:sz="8" w:color="D7282F"/>
            </w:tcBorders>
          </w:tcPr>
          <w:p>
            <w:pPr>
              <w:spacing w:after="0"/>
              <w:rPr>
                <w:sz w:val="17"/>
                <w:szCs w:val="17"/>
                <w:color w:val="auto"/>
              </w:rPr>
            </w:pPr>
          </w:p>
        </w:tc>
        <w:tc>
          <w:tcPr>
            <w:tcW w:w="2320" w:type="dxa"/>
            <w:vAlign w:val="bottom"/>
            <w:tcBorders>
              <w:bottom w:val="single" w:sz="8" w:color="D7282F"/>
            </w:tcBorders>
            <w:gridSpan w:val="4"/>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620" w:type="dxa"/>
            <w:vAlign w:val="bottom"/>
            <w:tcBorders>
              <w:bottom w:val="single" w:sz="8" w:color="D7282F"/>
            </w:tcBorders>
          </w:tcPr>
          <w:p>
            <w:pPr>
              <w:spacing w:after="0"/>
              <w:rPr>
                <w:sz w:val="17"/>
                <w:szCs w:val="17"/>
                <w:color w:val="auto"/>
              </w:rPr>
            </w:pPr>
          </w:p>
        </w:tc>
      </w:tr>
      <w:tr>
        <w:trPr>
          <w:trHeight w:val="237"/>
        </w:trPr>
        <w:tc>
          <w:tcPr>
            <w:tcW w:w="8100" w:type="dxa"/>
            <w:vAlign w:val="bottom"/>
            <w:tcBorders>
              <w:bottom w:val="single" w:sz="8" w:color="D7282F"/>
            </w:tcBorders>
          </w:tcPr>
          <w:p>
            <w:pPr>
              <w:spacing w:after="0"/>
              <w:rPr>
                <w:sz w:val="20"/>
                <w:szCs w:val="20"/>
                <w:color w:val="auto"/>
              </w:rPr>
            </w:pPr>
          </w:p>
        </w:tc>
        <w:tc>
          <w:tcPr>
            <w:tcW w:w="200" w:type="dxa"/>
            <w:vAlign w:val="bottom"/>
            <w:tcBorders>
              <w:bottom w:val="single" w:sz="8" w:color="D7282F"/>
            </w:tcBorders>
          </w:tcPr>
          <w:p>
            <w:pPr>
              <w:spacing w:after="0"/>
              <w:rPr>
                <w:sz w:val="20"/>
                <w:szCs w:val="20"/>
                <w:color w:val="auto"/>
              </w:rPr>
            </w:pPr>
          </w:p>
        </w:tc>
        <w:tc>
          <w:tcPr>
            <w:tcW w:w="820" w:type="dxa"/>
            <w:vAlign w:val="bottom"/>
            <w:tcBorders>
              <w:bottom w:val="single" w:sz="8" w:color="D7282F"/>
            </w:tcBorders>
          </w:tcPr>
          <w:p>
            <w:pPr>
              <w:jc w:val="right"/>
              <w:ind w:right="328"/>
              <w:spacing w:after="0"/>
              <w:rPr>
                <w:sz w:val="20"/>
                <w:szCs w:val="20"/>
                <w:color w:val="auto"/>
              </w:rPr>
            </w:pPr>
            <w:r>
              <w:rPr>
                <w:rFonts w:ascii="Arial" w:cs="Arial" w:eastAsia="Arial" w:hAnsi="Arial"/>
                <w:sz w:val="14"/>
                <w:szCs w:val="14"/>
                <w:b w:val="1"/>
                <w:bCs w:val="1"/>
                <w:color w:val="auto"/>
              </w:rPr>
              <w:t>2024</w:t>
            </w:r>
          </w:p>
        </w:tc>
        <w:tc>
          <w:tcPr>
            <w:tcW w:w="300" w:type="dxa"/>
            <w:vAlign w:val="bottom"/>
            <w:tcBorders>
              <w:bottom w:val="single" w:sz="8" w:color="D7282F"/>
            </w:tcBorders>
          </w:tcPr>
          <w:p>
            <w:pPr>
              <w:spacing w:after="0"/>
              <w:rPr>
                <w:sz w:val="20"/>
                <w:szCs w:val="20"/>
                <w:color w:val="auto"/>
              </w:rPr>
            </w:pPr>
          </w:p>
        </w:tc>
        <w:tc>
          <w:tcPr>
            <w:tcW w:w="820" w:type="dxa"/>
            <w:vAlign w:val="bottom"/>
            <w:tcBorders>
              <w:bottom w:val="single" w:sz="8" w:color="D7282F"/>
            </w:tcBorders>
          </w:tcPr>
          <w:p>
            <w:pPr>
              <w:jc w:val="right"/>
              <w:ind w:right="328"/>
              <w:spacing w:after="0"/>
              <w:rPr>
                <w:sz w:val="20"/>
                <w:szCs w:val="20"/>
                <w:color w:val="auto"/>
              </w:rPr>
            </w:pPr>
            <w:r>
              <w:rPr>
                <w:rFonts w:ascii="Arial" w:cs="Arial" w:eastAsia="Arial" w:hAnsi="Arial"/>
                <w:sz w:val="14"/>
                <w:szCs w:val="14"/>
                <w:b w:val="1"/>
                <w:bCs w:val="1"/>
                <w:color w:val="auto"/>
              </w:rPr>
              <w:t>2023</w:t>
            </w:r>
          </w:p>
        </w:tc>
        <w:tc>
          <w:tcPr>
            <w:tcW w:w="380" w:type="dxa"/>
            <w:vAlign w:val="bottom"/>
            <w:tcBorders>
              <w:bottom w:val="single" w:sz="8" w:color="D7282F"/>
            </w:tcBorders>
          </w:tcPr>
          <w:p>
            <w:pPr>
              <w:spacing w:after="0"/>
              <w:rPr>
                <w:sz w:val="20"/>
                <w:szCs w:val="20"/>
                <w:color w:val="auto"/>
              </w:rPr>
            </w:pPr>
          </w:p>
        </w:tc>
        <w:tc>
          <w:tcPr>
            <w:tcW w:w="62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2022</w:t>
            </w:r>
          </w:p>
        </w:tc>
      </w:tr>
      <w:tr>
        <w:trPr>
          <w:trHeight w:val="193"/>
        </w:trPr>
        <w:tc>
          <w:tcPr>
            <w:tcW w:w="81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Weighted average fair value per share of options granted during the year</w:t>
            </w:r>
            <w:r>
              <w:rPr>
                <w:rFonts w:ascii="Arial" w:cs="Arial" w:eastAsia="Arial" w:hAnsi="Arial"/>
                <w:sz w:val="9"/>
                <w:szCs w:val="9"/>
                <w:color w:val="auto"/>
              </w:rPr>
              <w:t>1</w:t>
            </w:r>
          </w:p>
        </w:tc>
        <w:tc>
          <w:tcPr>
            <w:tcW w:w="20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61656A"/>
            </w:tcBorders>
          </w:tcPr>
          <w:p>
            <w:pPr>
              <w:jc w:val="right"/>
              <w:ind w:right="228"/>
              <w:spacing w:after="0"/>
              <w:rPr>
                <w:sz w:val="20"/>
                <w:szCs w:val="20"/>
                <w:color w:val="auto"/>
              </w:rPr>
            </w:pPr>
            <w:r>
              <w:rPr>
                <w:rFonts w:ascii="Arial" w:cs="Arial" w:eastAsia="Arial" w:hAnsi="Arial"/>
                <w:sz w:val="14"/>
                <w:szCs w:val="14"/>
                <w:color w:val="auto"/>
              </w:rPr>
              <w:t>37.88</w:t>
            </w:r>
          </w:p>
        </w:tc>
        <w:tc>
          <w:tcPr>
            <w:tcW w:w="30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61656A"/>
            </w:tcBorders>
          </w:tcPr>
          <w:p>
            <w:pPr>
              <w:jc w:val="right"/>
              <w:ind w:right="228"/>
              <w:spacing w:after="0"/>
              <w:rPr>
                <w:sz w:val="20"/>
                <w:szCs w:val="20"/>
                <w:color w:val="auto"/>
              </w:rPr>
            </w:pPr>
            <w:r>
              <w:rPr>
                <w:rFonts w:ascii="Arial" w:cs="Arial" w:eastAsia="Arial" w:hAnsi="Arial"/>
                <w:sz w:val="14"/>
                <w:szCs w:val="14"/>
                <w:color w:val="auto"/>
              </w:rPr>
              <w:t>38.84</w:t>
            </w:r>
          </w:p>
        </w:tc>
        <w:tc>
          <w:tcPr>
            <w:tcW w:w="3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31.22</w:t>
            </w:r>
          </w:p>
        </w:tc>
      </w:tr>
      <w:tr>
        <w:trPr>
          <w:trHeight w:val="196"/>
        </w:trPr>
        <w:tc>
          <w:tcPr>
            <w:tcW w:w="81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Assumptions</w:t>
            </w:r>
          </w:p>
        </w:tc>
        <w:tc>
          <w:tcPr>
            <w:tcW w:w="200" w:type="dxa"/>
            <w:vAlign w:val="bottom"/>
            <w:tcBorders>
              <w:bottom w:val="single" w:sz="8" w:color="61656A"/>
            </w:tcBorders>
          </w:tcPr>
          <w:p>
            <w:pPr>
              <w:spacing w:after="0"/>
              <w:rPr>
                <w:sz w:val="17"/>
                <w:szCs w:val="17"/>
                <w:color w:val="auto"/>
              </w:rPr>
            </w:pPr>
          </w:p>
        </w:tc>
        <w:tc>
          <w:tcPr>
            <w:tcW w:w="820" w:type="dxa"/>
            <w:vAlign w:val="bottom"/>
            <w:tcBorders>
              <w:bottom w:val="single" w:sz="8" w:color="61656A"/>
            </w:tcBorders>
          </w:tcPr>
          <w:p>
            <w:pPr>
              <w:spacing w:after="0"/>
              <w:rPr>
                <w:sz w:val="17"/>
                <w:szCs w:val="17"/>
                <w:color w:val="auto"/>
              </w:rPr>
            </w:pPr>
          </w:p>
        </w:tc>
        <w:tc>
          <w:tcPr>
            <w:tcW w:w="300" w:type="dxa"/>
            <w:vAlign w:val="bottom"/>
            <w:tcBorders>
              <w:bottom w:val="single" w:sz="8" w:color="61656A"/>
            </w:tcBorders>
          </w:tcPr>
          <w:p>
            <w:pPr>
              <w:spacing w:after="0"/>
              <w:rPr>
                <w:sz w:val="17"/>
                <w:szCs w:val="17"/>
                <w:color w:val="auto"/>
              </w:rPr>
            </w:pPr>
          </w:p>
        </w:tc>
        <w:tc>
          <w:tcPr>
            <w:tcW w:w="820" w:type="dxa"/>
            <w:vAlign w:val="bottom"/>
            <w:tcBorders>
              <w:bottom w:val="single" w:sz="8" w:color="61656A"/>
            </w:tcBorders>
          </w:tcPr>
          <w:p>
            <w:pPr>
              <w:spacing w:after="0"/>
              <w:rPr>
                <w:sz w:val="17"/>
                <w:szCs w:val="17"/>
                <w:color w:val="auto"/>
              </w:rPr>
            </w:pPr>
          </w:p>
        </w:tc>
        <w:tc>
          <w:tcPr>
            <w:tcW w:w="38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spacing w:after="0"/>
              <w:rPr>
                <w:sz w:val="17"/>
                <w:szCs w:val="17"/>
                <w:color w:val="auto"/>
              </w:rPr>
            </w:pPr>
          </w:p>
        </w:tc>
      </w:tr>
      <w:tr>
        <w:trPr>
          <w:trHeight w:val="196"/>
        </w:trPr>
        <w:tc>
          <w:tcPr>
            <w:tcW w:w="81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Expected annual dividend yield</w:t>
            </w:r>
          </w:p>
        </w:tc>
        <w:tc>
          <w:tcPr>
            <w:tcW w:w="200" w:type="dxa"/>
            <w:vAlign w:val="bottom"/>
            <w:tcBorders>
              <w:bottom w:val="single" w:sz="8" w:color="61656A"/>
            </w:tcBorders>
          </w:tcPr>
          <w:p>
            <w:pPr>
              <w:spacing w:after="0"/>
              <w:rPr>
                <w:sz w:val="17"/>
                <w:szCs w:val="17"/>
                <w:color w:val="auto"/>
              </w:rPr>
            </w:pPr>
          </w:p>
        </w:tc>
        <w:tc>
          <w:tcPr>
            <w:tcW w:w="8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2.60 %</w:t>
            </w:r>
          </w:p>
        </w:tc>
        <w:tc>
          <w:tcPr>
            <w:tcW w:w="300" w:type="dxa"/>
            <w:vAlign w:val="bottom"/>
            <w:tcBorders>
              <w:bottom w:val="single" w:sz="8" w:color="61656A"/>
            </w:tcBorders>
          </w:tcPr>
          <w:p>
            <w:pPr>
              <w:spacing w:after="0"/>
              <w:rPr>
                <w:sz w:val="17"/>
                <w:szCs w:val="17"/>
                <w:color w:val="auto"/>
              </w:rPr>
            </w:pPr>
          </w:p>
        </w:tc>
        <w:tc>
          <w:tcPr>
            <w:tcW w:w="8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2.50 %</w:t>
            </w:r>
          </w:p>
        </w:tc>
        <w:tc>
          <w:tcPr>
            <w:tcW w:w="38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2.58 %</w:t>
            </w:r>
          </w:p>
        </w:tc>
      </w:tr>
      <w:tr>
        <w:trPr>
          <w:trHeight w:val="196"/>
        </w:trPr>
        <w:tc>
          <w:tcPr>
            <w:tcW w:w="81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Expected volatility</w:t>
            </w:r>
          </w:p>
        </w:tc>
        <w:tc>
          <w:tcPr>
            <w:tcW w:w="200" w:type="dxa"/>
            <w:vAlign w:val="bottom"/>
            <w:tcBorders>
              <w:bottom w:val="single" w:sz="8" w:color="61656A"/>
            </w:tcBorders>
          </w:tcPr>
          <w:p>
            <w:pPr>
              <w:spacing w:after="0"/>
              <w:rPr>
                <w:sz w:val="17"/>
                <w:szCs w:val="17"/>
                <w:color w:val="auto"/>
              </w:rPr>
            </w:pPr>
          </w:p>
        </w:tc>
        <w:tc>
          <w:tcPr>
            <w:tcW w:w="8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21.45 %</w:t>
            </w:r>
          </w:p>
        </w:tc>
        <w:tc>
          <w:tcPr>
            <w:tcW w:w="300" w:type="dxa"/>
            <w:vAlign w:val="bottom"/>
            <w:tcBorders>
              <w:bottom w:val="single" w:sz="8" w:color="61656A"/>
            </w:tcBorders>
          </w:tcPr>
          <w:p>
            <w:pPr>
              <w:spacing w:after="0"/>
              <w:rPr>
                <w:sz w:val="17"/>
                <w:szCs w:val="17"/>
                <w:color w:val="auto"/>
              </w:rPr>
            </w:pPr>
          </w:p>
        </w:tc>
        <w:tc>
          <w:tcPr>
            <w:tcW w:w="8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22.42 %</w:t>
            </w:r>
          </w:p>
        </w:tc>
        <w:tc>
          <w:tcPr>
            <w:tcW w:w="38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23.05 %</w:t>
            </w:r>
          </w:p>
        </w:tc>
      </w:tr>
      <w:tr>
        <w:trPr>
          <w:trHeight w:val="196"/>
        </w:trPr>
        <w:tc>
          <w:tcPr>
            <w:tcW w:w="81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Risk-free rate of return</w:t>
            </w:r>
          </w:p>
        </w:tc>
        <w:tc>
          <w:tcPr>
            <w:tcW w:w="200" w:type="dxa"/>
            <w:vAlign w:val="bottom"/>
            <w:tcBorders>
              <w:bottom w:val="single" w:sz="8" w:color="61656A"/>
            </w:tcBorders>
          </w:tcPr>
          <w:p>
            <w:pPr>
              <w:spacing w:after="0"/>
              <w:rPr>
                <w:sz w:val="17"/>
                <w:szCs w:val="17"/>
                <w:color w:val="auto"/>
              </w:rPr>
            </w:pPr>
          </w:p>
        </w:tc>
        <w:tc>
          <w:tcPr>
            <w:tcW w:w="8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4.08 %</w:t>
            </w:r>
          </w:p>
        </w:tc>
        <w:tc>
          <w:tcPr>
            <w:tcW w:w="300" w:type="dxa"/>
            <w:vAlign w:val="bottom"/>
            <w:tcBorders>
              <w:bottom w:val="single" w:sz="8" w:color="61656A"/>
            </w:tcBorders>
          </w:tcPr>
          <w:p>
            <w:pPr>
              <w:spacing w:after="0"/>
              <w:rPr>
                <w:sz w:val="17"/>
                <w:szCs w:val="17"/>
                <w:color w:val="auto"/>
              </w:rPr>
            </w:pPr>
          </w:p>
        </w:tc>
        <w:tc>
          <w:tcPr>
            <w:tcW w:w="8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3.94 %</w:t>
            </w:r>
          </w:p>
        </w:tc>
        <w:tc>
          <w:tcPr>
            <w:tcW w:w="38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1.97 %</w:t>
            </w:r>
          </w:p>
        </w:tc>
      </w:tr>
      <w:tr>
        <w:trPr>
          <w:trHeight w:val="196"/>
        </w:trPr>
        <w:tc>
          <w:tcPr>
            <w:tcW w:w="810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Expected option term (years)</w:t>
            </w:r>
          </w:p>
        </w:tc>
        <w:tc>
          <w:tcPr>
            <w:tcW w:w="200" w:type="dxa"/>
            <w:vAlign w:val="bottom"/>
            <w:tcBorders>
              <w:bottom w:val="single" w:sz="8" w:color="D7282F"/>
            </w:tcBorders>
          </w:tcPr>
          <w:p>
            <w:pPr>
              <w:spacing w:after="0"/>
              <w:rPr>
                <w:sz w:val="17"/>
                <w:szCs w:val="17"/>
                <w:color w:val="auto"/>
              </w:rPr>
            </w:pPr>
          </w:p>
        </w:tc>
        <w:tc>
          <w:tcPr>
            <w:tcW w:w="82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color w:val="auto"/>
              </w:rPr>
              <w:t>4.87</w:t>
            </w:r>
          </w:p>
        </w:tc>
        <w:tc>
          <w:tcPr>
            <w:tcW w:w="300" w:type="dxa"/>
            <w:vAlign w:val="bottom"/>
            <w:tcBorders>
              <w:bottom w:val="single" w:sz="8" w:color="D7282F"/>
            </w:tcBorders>
          </w:tcPr>
          <w:p>
            <w:pPr>
              <w:spacing w:after="0"/>
              <w:rPr>
                <w:sz w:val="17"/>
                <w:szCs w:val="17"/>
                <w:color w:val="auto"/>
              </w:rPr>
            </w:pPr>
          </w:p>
        </w:tc>
        <w:tc>
          <w:tcPr>
            <w:tcW w:w="82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color w:val="auto"/>
              </w:rPr>
              <w:t>4.86</w:t>
            </w:r>
          </w:p>
        </w:tc>
        <w:tc>
          <w:tcPr>
            <w:tcW w:w="38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color w:val="auto"/>
              </w:rPr>
              <w:t>4.74</w:t>
            </w:r>
          </w:p>
        </w:tc>
      </w:tr>
    </w:tbl>
    <w:p>
      <w:pPr>
        <w:spacing w:after="0" w:line="117" w:lineRule="exact"/>
        <w:rPr>
          <w:sz w:val="20"/>
          <w:szCs w:val="20"/>
          <w:color w:val="auto"/>
        </w:rPr>
      </w:pPr>
    </w:p>
    <w:p>
      <w:pPr>
        <w:ind w:left="480" w:hanging="344"/>
        <w:spacing w:after="0"/>
        <w:tabs>
          <w:tab w:leader="none" w:pos="480" w:val="left"/>
        </w:tabs>
        <w:numPr>
          <w:ilvl w:val="0"/>
          <w:numId w:val="150"/>
        </w:numPr>
        <w:rPr>
          <w:rFonts w:ascii="Arial" w:cs="Arial" w:eastAsia="Arial" w:hAnsi="Arial"/>
          <w:sz w:val="13"/>
          <w:szCs w:val="13"/>
          <w:color w:val="auto"/>
        </w:rPr>
      </w:pPr>
      <w:r>
        <w:rPr>
          <w:rFonts w:ascii="Arial" w:cs="Arial" w:eastAsia="Arial" w:hAnsi="Arial"/>
          <w:sz w:val="13"/>
          <w:szCs w:val="13"/>
          <w:color w:val="auto"/>
        </w:rPr>
        <w:t>Estimated on date of grant using Black-Scholes option-pricing model.</w:t>
      </w:r>
    </w:p>
    <w:p>
      <w:pPr>
        <w:spacing w:after="0" w:line="200" w:lineRule="exact"/>
        <w:rPr>
          <w:sz w:val="20"/>
          <w:szCs w:val="20"/>
          <w:color w:val="auto"/>
        </w:rPr>
      </w:pPr>
    </w:p>
    <w:p>
      <w:pPr>
        <w:spacing w:after="0" w:line="358" w:lineRule="exact"/>
        <w:rPr>
          <w:sz w:val="20"/>
          <w:szCs w:val="20"/>
          <w:color w:val="auto"/>
        </w:rPr>
      </w:pPr>
    </w:p>
    <w:p>
      <w:pPr>
        <w:ind w:left="400" w:hanging="392"/>
        <w:spacing w:after="0"/>
        <w:tabs>
          <w:tab w:leader="none" w:pos="400" w:val="left"/>
        </w:tabs>
        <w:numPr>
          <w:ilvl w:val="0"/>
          <w:numId w:val="151"/>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90" w:name="page91"/>
    <w:bookmarkEnd w:id="90"/>
    <w:p>
      <w:pPr>
        <w:ind w:left="20"/>
        <w:spacing w:after="0"/>
        <w:tabs>
          <w:tab w:leader="none" w:pos="784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FINANCIAL STATEMENTS AND SUPPLEMENTARY DATA</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information about stock option activity for the three years ended December 31, 2024:</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20" w:type="dxa"/>
            <w:vAlign w:val="bottom"/>
          </w:tcPr>
          <w:p>
            <w:pPr>
              <w:jc w:val="center"/>
              <w:ind w:left="8068"/>
              <w:spacing w:after="0"/>
              <w:rPr>
                <w:sz w:val="20"/>
                <w:szCs w:val="20"/>
                <w:color w:val="auto"/>
              </w:rPr>
            </w:pPr>
            <w:r>
              <w:rPr>
                <w:rFonts w:ascii="Arial" w:cs="Arial" w:eastAsia="Arial" w:hAnsi="Arial"/>
                <w:sz w:val="14"/>
                <w:szCs w:val="14"/>
                <w:b w:val="1"/>
                <w:bCs w:val="1"/>
                <w:color w:val="auto"/>
              </w:rPr>
              <w:t>Number of</w:t>
            </w: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48"/>
        </w:trPr>
        <w:tc>
          <w:tcPr>
            <w:tcW w:w="9020" w:type="dxa"/>
            <w:vAlign w:val="bottom"/>
          </w:tcPr>
          <w:p>
            <w:pPr>
              <w:jc w:val="center"/>
              <w:ind w:left="8028"/>
              <w:spacing w:after="0" w:line="149" w:lineRule="exact"/>
              <w:rPr>
                <w:sz w:val="20"/>
                <w:szCs w:val="20"/>
                <w:color w:val="auto"/>
              </w:rPr>
            </w:pPr>
            <w:r>
              <w:rPr>
                <w:rFonts w:ascii="Arial" w:cs="Arial" w:eastAsia="Arial" w:hAnsi="Arial"/>
                <w:sz w:val="14"/>
                <w:szCs w:val="14"/>
                <w:b w:val="1"/>
                <w:bCs w:val="1"/>
                <w:color w:val="auto"/>
              </w:rPr>
              <w:t>Options</w:t>
            </w: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9020" w:type="dxa"/>
            <w:vAlign w:val="bottom"/>
            <w:tcBorders>
              <w:bottom w:val="single" w:sz="8" w:color="D7282F"/>
            </w:tcBorders>
          </w:tcPr>
          <w:p>
            <w:pPr>
              <w:jc w:val="center"/>
              <w:ind w:left="8068"/>
              <w:spacing w:after="0"/>
              <w:rPr>
                <w:sz w:val="20"/>
                <w:szCs w:val="20"/>
                <w:color w:val="auto"/>
              </w:rPr>
            </w:pPr>
            <w:r>
              <w:rPr>
                <w:rFonts w:ascii="Arial" w:cs="Arial" w:eastAsia="Arial" w:hAnsi="Arial"/>
                <w:sz w:val="14"/>
                <w:szCs w:val="14"/>
                <w:b w:val="1"/>
                <w:bCs w:val="1"/>
                <w:color w:val="auto"/>
              </w:rPr>
              <w:t>(in millions)</w:t>
            </w:r>
          </w:p>
        </w:tc>
        <w:tc>
          <w:tcPr>
            <w:tcW w:w="480" w:type="dxa"/>
            <w:vAlign w:val="bottom"/>
            <w:tcBorders>
              <w:bottom w:val="single" w:sz="8" w:color="D7282F"/>
            </w:tcBorders>
          </w:tcPr>
          <w:p>
            <w:pPr>
              <w:spacing w:after="0"/>
              <w:rPr>
                <w:sz w:val="16"/>
                <w:szCs w:val="16"/>
                <w:color w:val="auto"/>
              </w:rPr>
            </w:pPr>
          </w:p>
        </w:tc>
        <w:tc>
          <w:tcPr>
            <w:tcW w:w="260" w:type="dxa"/>
            <w:vAlign w:val="bottom"/>
            <w:tcBorders>
              <w:bottom w:val="single" w:sz="8" w:color="D7282F"/>
            </w:tcBorders>
          </w:tcPr>
          <w:p>
            <w:pPr>
              <w:spacing w:after="0"/>
              <w:rPr>
                <w:sz w:val="16"/>
                <w:szCs w:val="16"/>
                <w:color w:val="auto"/>
              </w:rPr>
            </w:pPr>
          </w:p>
        </w:tc>
        <w:tc>
          <w:tcPr>
            <w:tcW w:w="1480" w:type="dxa"/>
            <w:vAlign w:val="bottom"/>
            <w:tcBorders>
              <w:bottom w:val="single" w:sz="8" w:color="D7282F"/>
            </w:tcBorders>
          </w:tcPr>
          <w:p>
            <w:pPr>
              <w:jc w:val="right"/>
              <w:ind w:right="248"/>
              <w:spacing w:after="0"/>
              <w:rPr>
                <w:sz w:val="20"/>
                <w:szCs w:val="20"/>
                <w:color w:val="auto"/>
              </w:rPr>
            </w:pPr>
            <w:r>
              <w:rPr>
                <w:rFonts w:ascii="Arial" w:cs="Arial" w:eastAsia="Arial" w:hAnsi="Arial"/>
                <w:sz w:val="14"/>
                <w:szCs w:val="14"/>
                <w:b w:val="1"/>
                <w:bCs w:val="1"/>
                <w:color w:val="auto"/>
              </w:rPr>
              <w:t>Exercise Price</w:t>
            </w:r>
          </w:p>
        </w:tc>
        <w:tc>
          <w:tcPr>
            <w:tcW w:w="0" w:type="dxa"/>
            <w:vAlign w:val="bottom"/>
          </w:tcPr>
          <w:p>
            <w:pPr>
              <w:spacing w:after="0"/>
              <w:rPr>
                <w:sz w:val="1"/>
                <w:szCs w:val="1"/>
                <w:color w:val="auto"/>
              </w:rPr>
            </w:pPr>
          </w:p>
        </w:tc>
      </w:tr>
      <w:tr>
        <w:trPr>
          <w:trHeight w:val="195"/>
        </w:trPr>
        <w:tc>
          <w:tcPr>
            <w:tcW w:w="902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Outstanding at December 31, 2021</w:t>
            </w:r>
          </w:p>
        </w:tc>
        <w:tc>
          <w:tcPr>
            <w:tcW w:w="4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15.9</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4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135.31</w:t>
            </w:r>
          </w:p>
        </w:tc>
        <w:tc>
          <w:tcPr>
            <w:tcW w:w="0" w:type="dxa"/>
            <w:vAlign w:val="bottom"/>
          </w:tcPr>
          <w:p>
            <w:pPr>
              <w:spacing w:after="0"/>
              <w:rPr>
                <w:sz w:val="1"/>
                <w:szCs w:val="1"/>
                <w:color w:val="auto"/>
              </w:rPr>
            </w:pPr>
          </w:p>
        </w:tc>
      </w:tr>
      <w:tr>
        <w:trPr>
          <w:trHeight w:val="193"/>
        </w:trPr>
        <w:tc>
          <w:tcPr>
            <w:tcW w:w="902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Granted</w:t>
            </w:r>
          </w:p>
        </w:tc>
        <w:tc>
          <w:tcPr>
            <w:tcW w:w="4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2.1</w:t>
            </w:r>
          </w:p>
        </w:tc>
        <w:tc>
          <w:tcPr>
            <w:tcW w:w="260" w:type="dxa"/>
            <w:vAlign w:val="bottom"/>
            <w:tcBorders>
              <w:bottom w:val="single" w:sz="8" w:color="61656A"/>
            </w:tcBorders>
          </w:tcPr>
          <w:p>
            <w:pPr>
              <w:spacing w:after="0"/>
              <w:rPr>
                <w:sz w:val="16"/>
                <w:szCs w:val="16"/>
                <w:color w:val="auto"/>
              </w:rPr>
            </w:pPr>
          </w:p>
        </w:tc>
        <w:tc>
          <w:tcPr>
            <w:tcW w:w="14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189.53</w:t>
            </w:r>
          </w:p>
        </w:tc>
        <w:tc>
          <w:tcPr>
            <w:tcW w:w="0" w:type="dxa"/>
            <w:vAlign w:val="bottom"/>
          </w:tcPr>
          <w:p>
            <w:pPr>
              <w:spacing w:after="0"/>
              <w:rPr>
                <w:sz w:val="1"/>
                <w:szCs w:val="1"/>
                <w:color w:val="auto"/>
              </w:rPr>
            </w:pPr>
          </w:p>
        </w:tc>
      </w:tr>
      <w:tr>
        <w:trPr>
          <w:trHeight w:val="196"/>
        </w:trPr>
        <w:tc>
          <w:tcPr>
            <w:tcW w:w="902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Exercised</w:t>
            </w:r>
          </w:p>
        </w:tc>
        <w:tc>
          <w:tcPr>
            <w:tcW w:w="48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(3.0)</w:t>
            </w:r>
          </w:p>
        </w:tc>
        <w:tc>
          <w:tcPr>
            <w:tcW w:w="260" w:type="dxa"/>
            <w:vAlign w:val="bottom"/>
            <w:tcBorders>
              <w:bottom w:val="single" w:sz="8" w:color="61656A"/>
            </w:tcBorders>
          </w:tcPr>
          <w:p>
            <w:pPr>
              <w:spacing w:after="0"/>
              <w:rPr>
                <w:sz w:val="17"/>
                <w:szCs w:val="17"/>
                <w:color w:val="auto"/>
              </w:rPr>
            </w:pPr>
          </w:p>
        </w:tc>
        <w:tc>
          <w:tcPr>
            <w:tcW w:w="14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103.89</w:t>
            </w:r>
          </w:p>
        </w:tc>
        <w:tc>
          <w:tcPr>
            <w:tcW w:w="0" w:type="dxa"/>
            <w:vAlign w:val="bottom"/>
          </w:tcPr>
          <w:p>
            <w:pPr>
              <w:spacing w:after="0"/>
              <w:rPr>
                <w:sz w:val="1"/>
                <w:szCs w:val="1"/>
                <w:color w:val="auto"/>
              </w:rPr>
            </w:pPr>
          </w:p>
        </w:tc>
      </w:tr>
      <w:tr>
        <w:trPr>
          <w:trHeight w:val="196"/>
        </w:trPr>
        <w:tc>
          <w:tcPr>
            <w:tcW w:w="902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Lapsed or canceled</w:t>
            </w:r>
          </w:p>
        </w:tc>
        <w:tc>
          <w:tcPr>
            <w:tcW w:w="4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(0.9)</w:t>
            </w:r>
          </w:p>
        </w:tc>
        <w:tc>
          <w:tcPr>
            <w:tcW w:w="260" w:type="dxa"/>
            <w:vAlign w:val="bottom"/>
            <w:tcBorders>
              <w:bottom w:val="single" w:sz="8" w:color="D7282F"/>
            </w:tcBorders>
          </w:tcPr>
          <w:p>
            <w:pPr>
              <w:spacing w:after="0"/>
              <w:rPr>
                <w:sz w:val="17"/>
                <w:szCs w:val="17"/>
                <w:color w:val="auto"/>
              </w:rPr>
            </w:pPr>
          </w:p>
        </w:tc>
        <w:tc>
          <w:tcPr>
            <w:tcW w:w="14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186.35</w:t>
            </w:r>
          </w:p>
        </w:tc>
        <w:tc>
          <w:tcPr>
            <w:tcW w:w="0" w:type="dxa"/>
            <w:vAlign w:val="bottom"/>
          </w:tcPr>
          <w:p>
            <w:pPr>
              <w:spacing w:after="0"/>
              <w:rPr>
                <w:sz w:val="1"/>
                <w:szCs w:val="1"/>
                <w:color w:val="auto"/>
              </w:rPr>
            </w:pPr>
          </w:p>
        </w:tc>
      </w:tr>
      <w:tr>
        <w:trPr>
          <w:trHeight w:val="199"/>
        </w:trPr>
        <w:tc>
          <w:tcPr>
            <w:tcW w:w="902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Outstanding at December 31, 2022</w:t>
            </w:r>
          </w:p>
        </w:tc>
        <w:tc>
          <w:tcPr>
            <w:tcW w:w="4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14.1</w:t>
            </w:r>
          </w:p>
        </w:tc>
        <w:tc>
          <w:tcPr>
            <w:tcW w:w="260" w:type="dxa"/>
            <w:vAlign w:val="bottom"/>
            <w:tcBorders>
              <w:bottom w:val="single" w:sz="8" w:color="D7282F"/>
            </w:tcBorders>
          </w:tcPr>
          <w:p>
            <w:pPr>
              <w:spacing w:after="0"/>
              <w:rPr>
                <w:sz w:val="17"/>
                <w:szCs w:val="17"/>
                <w:color w:val="auto"/>
              </w:rPr>
            </w:pPr>
          </w:p>
        </w:tc>
        <w:tc>
          <w:tcPr>
            <w:tcW w:w="14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147.14</w:t>
            </w:r>
          </w:p>
        </w:tc>
        <w:tc>
          <w:tcPr>
            <w:tcW w:w="0" w:type="dxa"/>
            <w:vAlign w:val="bottom"/>
          </w:tcPr>
          <w:p>
            <w:pPr>
              <w:spacing w:after="0"/>
              <w:rPr>
                <w:sz w:val="1"/>
                <w:szCs w:val="1"/>
                <w:color w:val="auto"/>
              </w:rPr>
            </w:pPr>
          </w:p>
        </w:tc>
      </w:tr>
      <w:tr>
        <w:trPr>
          <w:trHeight w:val="193"/>
        </w:trPr>
        <w:tc>
          <w:tcPr>
            <w:tcW w:w="902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Granted</w:t>
            </w:r>
          </w:p>
        </w:tc>
        <w:tc>
          <w:tcPr>
            <w:tcW w:w="4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1.6</w:t>
            </w:r>
          </w:p>
        </w:tc>
        <w:tc>
          <w:tcPr>
            <w:tcW w:w="260" w:type="dxa"/>
            <w:vAlign w:val="bottom"/>
            <w:tcBorders>
              <w:bottom w:val="single" w:sz="8" w:color="61656A"/>
            </w:tcBorders>
          </w:tcPr>
          <w:p>
            <w:pPr>
              <w:spacing w:after="0"/>
              <w:rPr>
                <w:sz w:val="16"/>
                <w:szCs w:val="16"/>
                <w:color w:val="auto"/>
              </w:rPr>
            </w:pPr>
          </w:p>
        </w:tc>
        <w:tc>
          <w:tcPr>
            <w:tcW w:w="14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195.27</w:t>
            </w:r>
          </w:p>
        </w:tc>
        <w:tc>
          <w:tcPr>
            <w:tcW w:w="0" w:type="dxa"/>
            <w:vAlign w:val="bottom"/>
          </w:tcPr>
          <w:p>
            <w:pPr>
              <w:spacing w:after="0"/>
              <w:rPr>
                <w:sz w:val="1"/>
                <w:szCs w:val="1"/>
                <w:color w:val="auto"/>
              </w:rPr>
            </w:pPr>
          </w:p>
        </w:tc>
      </w:tr>
      <w:tr>
        <w:trPr>
          <w:trHeight w:val="196"/>
        </w:trPr>
        <w:tc>
          <w:tcPr>
            <w:tcW w:w="902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Exercised</w:t>
            </w:r>
          </w:p>
        </w:tc>
        <w:tc>
          <w:tcPr>
            <w:tcW w:w="48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(1.7)</w:t>
            </w:r>
          </w:p>
        </w:tc>
        <w:tc>
          <w:tcPr>
            <w:tcW w:w="260" w:type="dxa"/>
            <w:vAlign w:val="bottom"/>
            <w:tcBorders>
              <w:bottom w:val="single" w:sz="8" w:color="61656A"/>
            </w:tcBorders>
          </w:tcPr>
          <w:p>
            <w:pPr>
              <w:spacing w:after="0"/>
              <w:rPr>
                <w:sz w:val="17"/>
                <w:szCs w:val="17"/>
                <w:color w:val="auto"/>
              </w:rPr>
            </w:pPr>
          </w:p>
        </w:tc>
        <w:tc>
          <w:tcPr>
            <w:tcW w:w="14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123.12</w:t>
            </w:r>
          </w:p>
        </w:tc>
        <w:tc>
          <w:tcPr>
            <w:tcW w:w="0" w:type="dxa"/>
            <w:vAlign w:val="bottom"/>
          </w:tcPr>
          <w:p>
            <w:pPr>
              <w:spacing w:after="0"/>
              <w:rPr>
                <w:sz w:val="1"/>
                <w:szCs w:val="1"/>
                <w:color w:val="auto"/>
              </w:rPr>
            </w:pPr>
          </w:p>
        </w:tc>
      </w:tr>
      <w:tr>
        <w:trPr>
          <w:trHeight w:val="196"/>
        </w:trPr>
        <w:tc>
          <w:tcPr>
            <w:tcW w:w="902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Lapsed or canceled</w:t>
            </w:r>
          </w:p>
        </w:tc>
        <w:tc>
          <w:tcPr>
            <w:tcW w:w="4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(0.6)</w:t>
            </w:r>
          </w:p>
        </w:tc>
        <w:tc>
          <w:tcPr>
            <w:tcW w:w="260" w:type="dxa"/>
            <w:vAlign w:val="bottom"/>
            <w:tcBorders>
              <w:bottom w:val="single" w:sz="8" w:color="D7282F"/>
            </w:tcBorders>
          </w:tcPr>
          <w:p>
            <w:pPr>
              <w:spacing w:after="0"/>
              <w:rPr>
                <w:sz w:val="17"/>
                <w:szCs w:val="17"/>
                <w:color w:val="auto"/>
              </w:rPr>
            </w:pPr>
          </w:p>
        </w:tc>
        <w:tc>
          <w:tcPr>
            <w:tcW w:w="14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192.22</w:t>
            </w:r>
          </w:p>
        </w:tc>
        <w:tc>
          <w:tcPr>
            <w:tcW w:w="0" w:type="dxa"/>
            <w:vAlign w:val="bottom"/>
          </w:tcPr>
          <w:p>
            <w:pPr>
              <w:spacing w:after="0"/>
              <w:rPr>
                <w:sz w:val="1"/>
                <w:szCs w:val="1"/>
                <w:color w:val="auto"/>
              </w:rPr>
            </w:pPr>
          </w:p>
        </w:tc>
      </w:tr>
      <w:tr>
        <w:trPr>
          <w:trHeight w:val="199"/>
        </w:trPr>
        <w:tc>
          <w:tcPr>
            <w:tcW w:w="902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Outstanding at December 31, 2023</w:t>
            </w:r>
          </w:p>
        </w:tc>
        <w:tc>
          <w:tcPr>
            <w:tcW w:w="4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13.4</w:t>
            </w:r>
          </w:p>
        </w:tc>
        <w:tc>
          <w:tcPr>
            <w:tcW w:w="260" w:type="dxa"/>
            <w:vAlign w:val="bottom"/>
            <w:tcBorders>
              <w:bottom w:val="single" w:sz="8" w:color="D7282F"/>
            </w:tcBorders>
          </w:tcPr>
          <w:p>
            <w:pPr>
              <w:spacing w:after="0"/>
              <w:rPr>
                <w:sz w:val="17"/>
                <w:szCs w:val="17"/>
                <w:color w:val="auto"/>
              </w:rPr>
            </w:pPr>
          </w:p>
        </w:tc>
        <w:tc>
          <w:tcPr>
            <w:tcW w:w="14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153.86</w:t>
            </w:r>
          </w:p>
        </w:tc>
        <w:tc>
          <w:tcPr>
            <w:tcW w:w="0" w:type="dxa"/>
            <w:vAlign w:val="bottom"/>
          </w:tcPr>
          <w:p>
            <w:pPr>
              <w:spacing w:after="0"/>
              <w:rPr>
                <w:sz w:val="1"/>
                <w:szCs w:val="1"/>
                <w:color w:val="auto"/>
              </w:rPr>
            </w:pPr>
          </w:p>
        </w:tc>
      </w:tr>
      <w:tr>
        <w:trPr>
          <w:trHeight w:val="193"/>
        </w:trPr>
        <w:tc>
          <w:tcPr>
            <w:tcW w:w="902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Granted</w:t>
            </w:r>
          </w:p>
        </w:tc>
        <w:tc>
          <w:tcPr>
            <w:tcW w:w="4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1.6</w:t>
            </w:r>
          </w:p>
        </w:tc>
        <w:tc>
          <w:tcPr>
            <w:tcW w:w="260" w:type="dxa"/>
            <w:vAlign w:val="bottom"/>
            <w:tcBorders>
              <w:bottom w:val="single" w:sz="8" w:color="61656A"/>
            </w:tcBorders>
          </w:tcPr>
          <w:p>
            <w:pPr>
              <w:spacing w:after="0"/>
              <w:rPr>
                <w:sz w:val="16"/>
                <w:szCs w:val="16"/>
                <w:color w:val="auto"/>
              </w:rPr>
            </w:pPr>
          </w:p>
        </w:tc>
        <w:tc>
          <w:tcPr>
            <w:tcW w:w="14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198.20</w:t>
            </w:r>
          </w:p>
        </w:tc>
        <w:tc>
          <w:tcPr>
            <w:tcW w:w="0" w:type="dxa"/>
            <w:vAlign w:val="bottom"/>
          </w:tcPr>
          <w:p>
            <w:pPr>
              <w:spacing w:after="0"/>
              <w:rPr>
                <w:sz w:val="1"/>
                <w:szCs w:val="1"/>
                <w:color w:val="auto"/>
              </w:rPr>
            </w:pPr>
          </w:p>
        </w:tc>
      </w:tr>
      <w:tr>
        <w:trPr>
          <w:trHeight w:val="196"/>
        </w:trPr>
        <w:tc>
          <w:tcPr>
            <w:tcW w:w="902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Exercised</w:t>
            </w:r>
          </w:p>
        </w:tc>
        <w:tc>
          <w:tcPr>
            <w:tcW w:w="48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(4.2)</w:t>
            </w:r>
          </w:p>
        </w:tc>
        <w:tc>
          <w:tcPr>
            <w:tcW w:w="260" w:type="dxa"/>
            <w:vAlign w:val="bottom"/>
            <w:tcBorders>
              <w:bottom w:val="single" w:sz="8" w:color="61656A"/>
            </w:tcBorders>
          </w:tcPr>
          <w:p>
            <w:pPr>
              <w:spacing w:after="0"/>
              <w:rPr>
                <w:sz w:val="17"/>
                <w:szCs w:val="17"/>
                <w:color w:val="auto"/>
              </w:rPr>
            </w:pPr>
          </w:p>
        </w:tc>
        <w:tc>
          <w:tcPr>
            <w:tcW w:w="14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125.30</w:t>
            </w:r>
          </w:p>
        </w:tc>
        <w:tc>
          <w:tcPr>
            <w:tcW w:w="0" w:type="dxa"/>
            <w:vAlign w:val="bottom"/>
          </w:tcPr>
          <w:p>
            <w:pPr>
              <w:spacing w:after="0"/>
              <w:rPr>
                <w:sz w:val="1"/>
                <w:szCs w:val="1"/>
                <w:color w:val="auto"/>
              </w:rPr>
            </w:pPr>
          </w:p>
        </w:tc>
      </w:tr>
      <w:tr>
        <w:trPr>
          <w:trHeight w:val="196"/>
        </w:trPr>
        <w:tc>
          <w:tcPr>
            <w:tcW w:w="902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Lapsed or canceled</w:t>
            </w:r>
          </w:p>
        </w:tc>
        <w:tc>
          <w:tcPr>
            <w:tcW w:w="4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(0.4)</w:t>
            </w:r>
          </w:p>
        </w:tc>
        <w:tc>
          <w:tcPr>
            <w:tcW w:w="260" w:type="dxa"/>
            <w:vAlign w:val="bottom"/>
            <w:tcBorders>
              <w:bottom w:val="single" w:sz="8" w:color="D7282F"/>
            </w:tcBorders>
          </w:tcPr>
          <w:p>
            <w:pPr>
              <w:spacing w:after="0"/>
              <w:rPr>
                <w:sz w:val="17"/>
                <w:szCs w:val="17"/>
                <w:color w:val="auto"/>
              </w:rPr>
            </w:pPr>
          </w:p>
        </w:tc>
        <w:tc>
          <w:tcPr>
            <w:tcW w:w="14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195.71</w:t>
            </w:r>
          </w:p>
        </w:tc>
        <w:tc>
          <w:tcPr>
            <w:tcW w:w="0" w:type="dxa"/>
            <w:vAlign w:val="bottom"/>
          </w:tcPr>
          <w:p>
            <w:pPr>
              <w:spacing w:after="0"/>
              <w:rPr>
                <w:sz w:val="1"/>
                <w:szCs w:val="1"/>
                <w:color w:val="auto"/>
              </w:rPr>
            </w:pPr>
          </w:p>
        </w:tc>
      </w:tr>
      <w:tr>
        <w:trPr>
          <w:trHeight w:val="199"/>
        </w:trPr>
        <w:tc>
          <w:tcPr>
            <w:tcW w:w="902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Outstanding at December 31, 2024</w:t>
            </w:r>
          </w:p>
        </w:tc>
        <w:tc>
          <w:tcPr>
            <w:tcW w:w="4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10.4</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4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170.29</w:t>
            </w:r>
          </w:p>
        </w:tc>
        <w:tc>
          <w:tcPr>
            <w:tcW w:w="0" w:type="dxa"/>
            <w:vAlign w:val="bottom"/>
          </w:tcPr>
          <w:p>
            <w:pPr>
              <w:spacing w:after="0"/>
              <w:rPr>
                <w:sz w:val="1"/>
                <w:szCs w:val="1"/>
                <w:color w:val="auto"/>
              </w:rPr>
            </w:pPr>
          </w:p>
        </w:tc>
      </w:tr>
      <w:tr>
        <w:trPr>
          <w:trHeight w:val="196"/>
        </w:trPr>
        <w:tc>
          <w:tcPr>
            <w:tcW w:w="902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Vested and expected to vest at December 31, 2024</w:t>
            </w:r>
            <w:r>
              <w:rPr>
                <w:rFonts w:ascii="Arial" w:cs="Arial" w:eastAsia="Arial" w:hAnsi="Arial"/>
                <w:sz w:val="9"/>
                <w:szCs w:val="9"/>
                <w:b w:val="1"/>
                <w:bCs w:val="1"/>
                <w:color w:val="auto"/>
              </w:rPr>
              <w:t>1</w:t>
            </w:r>
          </w:p>
        </w:tc>
        <w:tc>
          <w:tcPr>
            <w:tcW w:w="4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9.5</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4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168.07</w:t>
            </w:r>
          </w:p>
        </w:tc>
        <w:tc>
          <w:tcPr>
            <w:tcW w:w="0" w:type="dxa"/>
            <w:vAlign w:val="bottom"/>
          </w:tcPr>
          <w:p>
            <w:pPr>
              <w:spacing w:after="0"/>
              <w:rPr>
                <w:sz w:val="1"/>
                <w:szCs w:val="1"/>
                <w:color w:val="auto"/>
              </w:rPr>
            </w:pPr>
          </w:p>
        </w:tc>
      </w:tr>
      <w:tr>
        <w:trPr>
          <w:trHeight w:val="196"/>
        </w:trPr>
        <w:tc>
          <w:tcPr>
            <w:tcW w:w="902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Exercisable at December 31, 2024</w:t>
            </w:r>
          </w:p>
        </w:tc>
        <w:tc>
          <w:tcPr>
            <w:tcW w:w="4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6.9</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4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157.58</w:t>
            </w:r>
          </w:p>
        </w:tc>
        <w:tc>
          <w:tcPr>
            <w:tcW w:w="0" w:type="dxa"/>
            <w:vAlign w:val="bottom"/>
          </w:tcPr>
          <w:p>
            <w:pPr>
              <w:spacing w:after="0"/>
              <w:rPr>
                <w:sz w:val="1"/>
                <w:szCs w:val="1"/>
                <w:color w:val="auto"/>
              </w:rPr>
            </w:pPr>
          </w:p>
        </w:tc>
      </w:tr>
    </w:tbl>
    <w:p>
      <w:pPr>
        <w:spacing w:after="0" w:line="158" w:lineRule="exact"/>
        <w:rPr>
          <w:sz w:val="20"/>
          <w:szCs w:val="20"/>
          <w:color w:val="auto"/>
        </w:rPr>
      </w:pPr>
    </w:p>
    <w:p>
      <w:pPr>
        <w:ind w:left="480" w:right="20" w:hanging="344"/>
        <w:spacing w:after="0" w:line="181" w:lineRule="auto"/>
        <w:tabs>
          <w:tab w:leader="none" w:pos="480" w:val="left"/>
        </w:tabs>
        <w:numPr>
          <w:ilvl w:val="0"/>
          <w:numId w:val="152"/>
        </w:numPr>
        <w:rPr>
          <w:rFonts w:ascii="Arial" w:cs="Arial" w:eastAsia="Arial" w:hAnsi="Arial"/>
          <w:sz w:val="22"/>
          <w:szCs w:val="22"/>
          <w:color w:val="auto"/>
          <w:vertAlign w:val="superscript"/>
        </w:rPr>
      </w:pPr>
      <w:r>
        <w:rPr>
          <w:rFonts w:ascii="Arial" w:cs="Arial" w:eastAsia="Arial" w:hAnsi="Arial"/>
          <w:sz w:val="11"/>
          <w:szCs w:val="11"/>
          <w:color w:val="auto"/>
        </w:rPr>
        <w:t>Represents the sum of vested options of 6.9 million and expected to vest options of 2.6 million. Expected to vest options are derived by applying the pre-vesting forfeiture rate assumption to total outstanding unvested options of 3.4 million.</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information about stock options outstanding and exercisable as of December 31, 2024:</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740" w:type="dxa"/>
            <w:vAlign w:val="bottom"/>
          </w:tcPr>
          <w:p>
            <w:pPr>
              <w:spacing w:after="0"/>
              <w:rPr>
                <w:sz w:val="17"/>
                <w:szCs w:val="17"/>
                <w:color w:val="auto"/>
              </w:rPr>
            </w:pPr>
          </w:p>
        </w:tc>
        <w:tc>
          <w:tcPr>
            <w:tcW w:w="1340" w:type="dxa"/>
            <w:vAlign w:val="bottom"/>
            <w:tcBorders>
              <w:bottom w:val="single" w:sz="8" w:color="D7282F"/>
            </w:tcBorders>
          </w:tcPr>
          <w:p>
            <w:pPr>
              <w:spacing w:after="0"/>
              <w:rPr>
                <w:sz w:val="17"/>
                <w:szCs w:val="17"/>
                <w:color w:val="auto"/>
              </w:rPr>
            </w:pPr>
          </w:p>
        </w:tc>
        <w:tc>
          <w:tcPr>
            <w:tcW w:w="2180" w:type="dxa"/>
            <w:vAlign w:val="bottom"/>
            <w:tcBorders>
              <w:bottom w:val="single" w:sz="8" w:color="D7282F"/>
            </w:tcBorders>
            <w:gridSpan w:val="3"/>
          </w:tcPr>
          <w:p>
            <w:pPr>
              <w:jc w:val="right"/>
              <w:ind w:right="408"/>
              <w:spacing w:after="0"/>
              <w:rPr>
                <w:sz w:val="20"/>
                <w:szCs w:val="20"/>
                <w:color w:val="auto"/>
              </w:rPr>
            </w:pPr>
            <w:r>
              <w:rPr>
                <w:rFonts w:ascii="Arial" w:cs="Arial" w:eastAsia="Arial" w:hAnsi="Arial"/>
                <w:sz w:val="14"/>
                <w:szCs w:val="14"/>
                <w:b w:val="1"/>
                <w:bCs w:val="1"/>
                <w:color w:val="auto"/>
              </w:rPr>
              <w:t>Options Outstanding</w:t>
            </w:r>
          </w:p>
        </w:tc>
        <w:tc>
          <w:tcPr>
            <w:tcW w:w="260" w:type="dxa"/>
            <w:vAlign w:val="bottom"/>
            <w:tcBorders>
              <w:bottom w:val="single" w:sz="8" w:color="D7282F"/>
            </w:tcBorders>
          </w:tcPr>
          <w:p>
            <w:pPr>
              <w:spacing w:after="0"/>
              <w:rPr>
                <w:sz w:val="17"/>
                <w:szCs w:val="17"/>
                <w:color w:val="auto"/>
              </w:rPr>
            </w:pPr>
          </w:p>
        </w:tc>
        <w:tc>
          <w:tcPr>
            <w:tcW w:w="860" w:type="dxa"/>
            <w:vAlign w:val="bottom"/>
            <w:tcBorders>
              <w:bottom w:val="single" w:sz="8" w:color="D7282F"/>
            </w:tcBorders>
          </w:tcPr>
          <w:p>
            <w:pPr>
              <w:spacing w:after="0"/>
              <w:rPr>
                <w:sz w:val="17"/>
                <w:szCs w:val="17"/>
                <w:color w:val="auto"/>
              </w:rPr>
            </w:pPr>
          </w:p>
        </w:tc>
        <w:tc>
          <w:tcPr>
            <w:tcW w:w="220" w:type="dxa"/>
            <w:vAlign w:val="bottom"/>
          </w:tcPr>
          <w:p>
            <w:pPr>
              <w:spacing w:after="0"/>
              <w:rPr>
                <w:sz w:val="17"/>
                <w:szCs w:val="17"/>
                <w:color w:val="auto"/>
              </w:rPr>
            </w:pPr>
          </w:p>
        </w:tc>
        <w:tc>
          <w:tcPr>
            <w:tcW w:w="2540" w:type="dxa"/>
            <w:vAlign w:val="bottom"/>
            <w:tcBorders>
              <w:bottom w:val="single" w:sz="8" w:color="D7282F"/>
            </w:tcBorders>
            <w:gridSpan w:val="3"/>
          </w:tcPr>
          <w:p>
            <w:pPr>
              <w:jc w:val="right"/>
              <w:spacing w:after="0"/>
              <w:rPr>
                <w:sz w:val="20"/>
                <w:szCs w:val="20"/>
                <w:color w:val="auto"/>
              </w:rPr>
            </w:pPr>
            <w:r>
              <w:rPr>
                <w:rFonts w:ascii="Arial" w:cs="Arial" w:eastAsia="Arial" w:hAnsi="Arial"/>
                <w:sz w:val="14"/>
                <w:szCs w:val="14"/>
                <w:b w:val="1"/>
                <w:bCs w:val="1"/>
                <w:color w:val="auto"/>
              </w:rPr>
              <w:t>Options Exercisable</w:t>
            </w:r>
          </w:p>
        </w:tc>
        <w:tc>
          <w:tcPr>
            <w:tcW w:w="140" w:type="dxa"/>
            <w:vAlign w:val="bottom"/>
            <w:tcBorders>
              <w:bottom w:val="single" w:sz="8" w:color="D7282F"/>
            </w:tcBorders>
          </w:tcPr>
          <w:p>
            <w:pPr>
              <w:spacing w:after="0"/>
              <w:rPr>
                <w:sz w:val="17"/>
                <w:szCs w:val="17"/>
                <w:color w:val="auto"/>
              </w:rPr>
            </w:pPr>
          </w:p>
        </w:tc>
        <w:tc>
          <w:tcPr>
            <w:tcW w:w="920" w:type="dxa"/>
            <w:vAlign w:val="bottom"/>
            <w:tcBorders>
              <w:bottom w:val="single" w:sz="8" w:color="D7282F"/>
            </w:tcBorders>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7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center"/>
              <w:ind w:right="128"/>
              <w:spacing w:after="0"/>
              <w:rPr>
                <w:sz w:val="20"/>
                <w:szCs w:val="20"/>
                <w:color w:val="auto"/>
              </w:rPr>
            </w:pPr>
            <w:r>
              <w:rPr>
                <w:rFonts w:ascii="Arial" w:cs="Arial" w:eastAsia="Arial" w:hAnsi="Arial"/>
                <w:sz w:val="14"/>
                <w:szCs w:val="14"/>
                <w:b w:val="1"/>
                <w:bCs w:val="1"/>
                <w:color w:val="auto"/>
              </w:rPr>
              <w:t>Weighted</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center"/>
              <w:ind w:right="268"/>
              <w:spacing w:after="0"/>
              <w:rPr>
                <w:sz w:val="20"/>
                <w:szCs w:val="20"/>
                <w:color w:val="auto"/>
              </w:rPr>
            </w:pPr>
            <w:r>
              <w:rPr>
                <w:rFonts w:ascii="Arial" w:cs="Arial" w:eastAsia="Arial" w:hAnsi="Arial"/>
                <w:sz w:val="14"/>
                <w:szCs w:val="14"/>
                <w:b w:val="1"/>
                <w:bCs w:val="1"/>
                <w:color w:val="auto"/>
              </w:rPr>
              <w:t>Weighted</w:t>
            </w: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2740" w:type="dxa"/>
            <w:vAlign w:val="bottom"/>
          </w:tcPr>
          <w:p>
            <w:pPr>
              <w:spacing w:after="0"/>
              <w:rPr>
                <w:sz w:val="12"/>
                <w:szCs w:val="12"/>
                <w:color w:val="auto"/>
              </w:rPr>
            </w:pPr>
          </w:p>
        </w:tc>
        <w:tc>
          <w:tcPr>
            <w:tcW w:w="1340" w:type="dxa"/>
            <w:vAlign w:val="bottom"/>
            <w:vMerge w:val="restart"/>
          </w:tcPr>
          <w:p>
            <w:pPr>
              <w:jc w:val="center"/>
              <w:ind w:right="88"/>
              <w:spacing w:after="0"/>
              <w:rPr>
                <w:sz w:val="20"/>
                <w:szCs w:val="20"/>
                <w:color w:val="auto"/>
              </w:rPr>
            </w:pPr>
            <w:r>
              <w:rPr>
                <w:rFonts w:ascii="Arial" w:cs="Arial" w:eastAsia="Arial" w:hAnsi="Arial"/>
                <w:sz w:val="14"/>
                <w:szCs w:val="14"/>
                <w:b w:val="1"/>
                <w:bCs w:val="1"/>
                <w:color w:val="auto"/>
              </w:rPr>
              <w:t>Number</w:t>
            </w: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Weighted</w:t>
            </w:r>
          </w:p>
        </w:tc>
        <w:tc>
          <w:tcPr>
            <w:tcW w:w="220" w:type="dxa"/>
            <w:vAlign w:val="bottom"/>
          </w:tcPr>
          <w:p>
            <w:pPr>
              <w:spacing w:after="0"/>
              <w:rPr>
                <w:sz w:val="12"/>
                <w:szCs w:val="12"/>
                <w:color w:val="auto"/>
              </w:rPr>
            </w:pPr>
          </w:p>
        </w:tc>
        <w:tc>
          <w:tcPr>
            <w:tcW w:w="880" w:type="dxa"/>
            <w:vAlign w:val="bottom"/>
          </w:tcPr>
          <w:p>
            <w:pPr>
              <w:jc w:val="center"/>
              <w:ind w:right="128"/>
              <w:spacing w:after="0" w:line="145" w:lineRule="exact"/>
              <w:rPr>
                <w:sz w:val="20"/>
                <w:szCs w:val="20"/>
                <w:color w:val="auto"/>
              </w:rPr>
            </w:pPr>
            <w:r>
              <w:rPr>
                <w:rFonts w:ascii="Arial" w:cs="Arial" w:eastAsia="Arial" w:hAnsi="Arial"/>
                <w:sz w:val="14"/>
                <w:szCs w:val="14"/>
                <w:b w:val="1"/>
                <w:bCs w:val="1"/>
                <w:color w:val="auto"/>
              </w:rPr>
              <w:t>Average</w:t>
            </w:r>
          </w:p>
        </w:tc>
        <w:tc>
          <w:tcPr>
            <w:tcW w:w="260" w:type="dxa"/>
            <w:vAlign w:val="bottom"/>
          </w:tcPr>
          <w:p>
            <w:pPr>
              <w:spacing w:after="0"/>
              <w:rPr>
                <w:sz w:val="12"/>
                <w:szCs w:val="12"/>
                <w:color w:val="auto"/>
              </w:rPr>
            </w:pPr>
          </w:p>
        </w:tc>
        <w:tc>
          <w:tcPr>
            <w:tcW w:w="10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rPr>
              <w:t>Aggregate</w:t>
            </w:r>
          </w:p>
        </w:tc>
        <w:tc>
          <w:tcPr>
            <w:tcW w:w="12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Number</w:t>
            </w:r>
          </w:p>
        </w:tc>
        <w:tc>
          <w:tcPr>
            <w:tcW w:w="260" w:type="dxa"/>
            <w:vAlign w:val="bottom"/>
          </w:tcPr>
          <w:p>
            <w:pPr>
              <w:spacing w:after="0"/>
              <w:rPr>
                <w:sz w:val="12"/>
                <w:szCs w:val="12"/>
                <w:color w:val="auto"/>
              </w:rPr>
            </w:pPr>
          </w:p>
        </w:tc>
        <w:tc>
          <w:tcPr>
            <w:tcW w:w="1000" w:type="dxa"/>
            <w:vAlign w:val="bottom"/>
          </w:tcPr>
          <w:p>
            <w:pPr>
              <w:jc w:val="center"/>
              <w:ind w:right="248"/>
              <w:spacing w:after="0" w:line="145" w:lineRule="exact"/>
              <w:rPr>
                <w:sz w:val="20"/>
                <w:szCs w:val="20"/>
                <w:color w:val="auto"/>
              </w:rPr>
            </w:pPr>
            <w:r>
              <w:rPr>
                <w:rFonts w:ascii="Arial" w:cs="Arial" w:eastAsia="Arial" w:hAnsi="Arial"/>
                <w:sz w:val="14"/>
                <w:szCs w:val="14"/>
                <w:b w:val="1"/>
                <w:bCs w:val="1"/>
                <w:color w:val="auto"/>
              </w:rPr>
              <w:t>Average</w:t>
            </w:r>
          </w:p>
        </w:tc>
        <w:tc>
          <w:tcPr>
            <w:tcW w:w="140" w:type="dxa"/>
            <w:vAlign w:val="bottom"/>
          </w:tcPr>
          <w:p>
            <w:pPr>
              <w:spacing w:after="0"/>
              <w:rPr>
                <w:sz w:val="12"/>
                <w:szCs w:val="12"/>
                <w:color w:val="auto"/>
              </w:rPr>
            </w:pPr>
          </w:p>
        </w:tc>
        <w:tc>
          <w:tcPr>
            <w:tcW w:w="92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39"/>
        </w:trPr>
        <w:tc>
          <w:tcPr>
            <w:tcW w:w="274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jc w:val="center"/>
              <w:ind w:right="128"/>
              <w:spacing w:after="0" w:line="139" w:lineRule="exact"/>
              <w:rPr>
                <w:sz w:val="20"/>
                <w:szCs w:val="20"/>
                <w:color w:val="auto"/>
              </w:rPr>
            </w:pPr>
            <w:r>
              <w:rPr>
                <w:rFonts w:ascii="Arial" w:cs="Arial" w:eastAsia="Arial" w:hAnsi="Arial"/>
                <w:sz w:val="14"/>
                <w:szCs w:val="14"/>
                <w:b w:val="1"/>
                <w:bCs w:val="1"/>
                <w:color w:val="auto"/>
              </w:rPr>
              <w:t>Exercise</w:t>
            </w:r>
          </w:p>
        </w:tc>
        <w:tc>
          <w:tcPr>
            <w:tcW w:w="2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2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jc w:val="center"/>
              <w:ind w:right="268"/>
              <w:spacing w:after="0" w:line="139" w:lineRule="exact"/>
              <w:rPr>
                <w:sz w:val="20"/>
                <w:szCs w:val="20"/>
                <w:color w:val="auto"/>
              </w:rPr>
            </w:pPr>
            <w:r>
              <w:rPr>
                <w:rFonts w:ascii="Arial" w:cs="Arial" w:eastAsia="Arial" w:hAnsi="Arial"/>
                <w:sz w:val="14"/>
                <w:szCs w:val="14"/>
                <w:b w:val="1"/>
                <w:bCs w:val="1"/>
                <w:color w:val="auto"/>
              </w:rPr>
              <w:t>Exercise</w:t>
            </w:r>
          </w:p>
        </w:tc>
        <w:tc>
          <w:tcPr>
            <w:tcW w:w="14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7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Range of Exercise Prices</w:t>
            </w:r>
          </w:p>
        </w:tc>
        <w:tc>
          <w:tcPr>
            <w:tcW w:w="1340" w:type="dxa"/>
            <w:vAlign w:val="bottom"/>
          </w:tcPr>
          <w:p>
            <w:pPr>
              <w:jc w:val="center"/>
              <w:ind w:right="88"/>
              <w:spacing w:after="0" w:line="145" w:lineRule="exact"/>
              <w:rPr>
                <w:sz w:val="20"/>
                <w:szCs w:val="20"/>
                <w:color w:val="auto"/>
              </w:rPr>
            </w:pPr>
            <w:r>
              <w:rPr>
                <w:rFonts w:ascii="Arial" w:cs="Arial" w:eastAsia="Arial" w:hAnsi="Arial"/>
                <w:sz w:val="14"/>
                <w:szCs w:val="14"/>
                <w:b w:val="1"/>
                <w:bCs w:val="1"/>
                <w:color w:val="auto"/>
              </w:rPr>
              <w:t>Outstanding (in</w:t>
            </w:r>
          </w:p>
        </w:tc>
        <w:tc>
          <w:tcPr>
            <w:tcW w:w="10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Average</w:t>
            </w:r>
          </w:p>
        </w:tc>
        <w:tc>
          <w:tcPr>
            <w:tcW w:w="220" w:type="dxa"/>
            <w:vAlign w:val="bottom"/>
          </w:tcPr>
          <w:p>
            <w:pPr>
              <w:spacing w:after="0"/>
              <w:rPr>
                <w:sz w:val="12"/>
                <w:szCs w:val="12"/>
                <w:color w:val="auto"/>
              </w:rPr>
            </w:pPr>
          </w:p>
        </w:tc>
        <w:tc>
          <w:tcPr>
            <w:tcW w:w="880" w:type="dxa"/>
            <w:vAlign w:val="bottom"/>
          </w:tcPr>
          <w:p>
            <w:pPr>
              <w:jc w:val="center"/>
              <w:ind w:right="128"/>
              <w:spacing w:after="0" w:line="145" w:lineRule="exact"/>
              <w:rPr>
                <w:sz w:val="20"/>
                <w:szCs w:val="20"/>
                <w:color w:val="auto"/>
              </w:rPr>
            </w:pPr>
            <w:r>
              <w:rPr>
                <w:rFonts w:ascii="Arial" w:cs="Arial" w:eastAsia="Arial" w:hAnsi="Arial"/>
                <w:sz w:val="14"/>
                <w:szCs w:val="14"/>
                <w:b w:val="1"/>
                <w:bCs w:val="1"/>
                <w:color w:val="auto"/>
              </w:rPr>
              <w:t>Price Per</w:t>
            </w:r>
          </w:p>
        </w:tc>
        <w:tc>
          <w:tcPr>
            <w:tcW w:w="260" w:type="dxa"/>
            <w:vAlign w:val="bottom"/>
          </w:tcPr>
          <w:p>
            <w:pPr>
              <w:spacing w:after="0"/>
              <w:rPr>
                <w:sz w:val="12"/>
                <w:szCs w:val="12"/>
                <w:color w:val="auto"/>
              </w:rPr>
            </w:pPr>
          </w:p>
        </w:tc>
        <w:tc>
          <w:tcPr>
            <w:tcW w:w="1080" w:type="dxa"/>
            <w:vAlign w:val="bottom"/>
            <w:gridSpan w:val="2"/>
          </w:tcPr>
          <w:p>
            <w:pPr>
              <w:jc w:val="center"/>
              <w:ind w:right="360"/>
              <w:spacing w:after="0" w:line="145" w:lineRule="exact"/>
              <w:rPr>
                <w:sz w:val="20"/>
                <w:szCs w:val="20"/>
                <w:color w:val="auto"/>
              </w:rPr>
            </w:pPr>
            <w:r>
              <w:rPr>
                <w:rFonts w:ascii="Arial" w:cs="Arial" w:eastAsia="Arial" w:hAnsi="Arial"/>
                <w:sz w:val="14"/>
                <w:szCs w:val="14"/>
                <w:b w:val="1"/>
                <w:bCs w:val="1"/>
                <w:color w:val="auto"/>
              </w:rPr>
              <w:t>Intrinsic</w:t>
            </w:r>
          </w:p>
        </w:tc>
        <w:tc>
          <w:tcPr>
            <w:tcW w:w="12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Exercisable (in</w:t>
            </w:r>
          </w:p>
        </w:tc>
        <w:tc>
          <w:tcPr>
            <w:tcW w:w="260" w:type="dxa"/>
            <w:vAlign w:val="bottom"/>
          </w:tcPr>
          <w:p>
            <w:pPr>
              <w:spacing w:after="0"/>
              <w:rPr>
                <w:sz w:val="12"/>
                <w:szCs w:val="12"/>
                <w:color w:val="auto"/>
              </w:rPr>
            </w:pPr>
          </w:p>
        </w:tc>
        <w:tc>
          <w:tcPr>
            <w:tcW w:w="1000" w:type="dxa"/>
            <w:vAlign w:val="bottom"/>
          </w:tcPr>
          <w:p>
            <w:pPr>
              <w:jc w:val="center"/>
              <w:ind w:right="268"/>
              <w:spacing w:after="0" w:line="145" w:lineRule="exact"/>
              <w:rPr>
                <w:sz w:val="20"/>
                <w:szCs w:val="20"/>
                <w:color w:val="auto"/>
              </w:rPr>
            </w:pPr>
            <w:r>
              <w:rPr>
                <w:rFonts w:ascii="Arial" w:cs="Arial" w:eastAsia="Arial" w:hAnsi="Arial"/>
                <w:sz w:val="14"/>
                <w:szCs w:val="14"/>
                <w:b w:val="1"/>
                <w:bCs w:val="1"/>
                <w:color w:val="auto"/>
              </w:rPr>
              <w:t>Price Per</w:t>
            </w:r>
          </w:p>
        </w:tc>
        <w:tc>
          <w:tcPr>
            <w:tcW w:w="140" w:type="dxa"/>
            <w:vAlign w:val="bottom"/>
          </w:tcPr>
          <w:p>
            <w:pPr>
              <w:spacing w:after="0"/>
              <w:rPr>
                <w:sz w:val="12"/>
                <w:szCs w:val="12"/>
                <w:color w:val="auto"/>
              </w:rPr>
            </w:pPr>
          </w:p>
        </w:tc>
        <w:tc>
          <w:tcPr>
            <w:tcW w:w="920" w:type="dxa"/>
            <w:vAlign w:val="bottom"/>
          </w:tcPr>
          <w:p>
            <w:pPr>
              <w:jc w:val="center"/>
              <w:ind w:right="48"/>
              <w:spacing w:after="0" w:line="145" w:lineRule="exact"/>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89"/>
        </w:trPr>
        <w:tc>
          <w:tcPr>
            <w:tcW w:w="2740" w:type="dxa"/>
            <w:vAlign w:val="bottom"/>
            <w:tcBorders>
              <w:bottom w:val="single" w:sz="8" w:color="D7282F"/>
            </w:tcBorders>
            <w:vMerge w:val="continue"/>
          </w:tcPr>
          <w:p>
            <w:pPr>
              <w:spacing w:after="0"/>
              <w:rPr>
                <w:sz w:val="16"/>
                <w:szCs w:val="16"/>
                <w:color w:val="auto"/>
              </w:rPr>
            </w:pPr>
          </w:p>
        </w:tc>
        <w:tc>
          <w:tcPr>
            <w:tcW w:w="1340" w:type="dxa"/>
            <w:vAlign w:val="bottom"/>
            <w:tcBorders>
              <w:bottom w:val="single" w:sz="8" w:color="D7282F"/>
            </w:tcBorders>
          </w:tcPr>
          <w:p>
            <w:pPr>
              <w:jc w:val="center"/>
              <w:ind w:right="68"/>
              <w:spacing w:after="0"/>
              <w:rPr>
                <w:sz w:val="20"/>
                <w:szCs w:val="20"/>
                <w:color w:val="auto"/>
              </w:rPr>
            </w:pPr>
            <w:r>
              <w:rPr>
                <w:rFonts w:ascii="Arial" w:cs="Arial" w:eastAsia="Arial" w:hAnsi="Arial"/>
                <w:sz w:val="14"/>
                <w:szCs w:val="14"/>
                <w:b w:val="1"/>
                <w:bCs w:val="1"/>
                <w:color w:val="auto"/>
              </w:rPr>
              <w:t>millions)</w:t>
            </w:r>
          </w:p>
        </w:tc>
        <w:tc>
          <w:tcPr>
            <w:tcW w:w="1080" w:type="dxa"/>
            <w:vAlign w:val="bottom"/>
            <w:tcBorders>
              <w:bottom w:val="single" w:sz="8" w:color="D7282F"/>
            </w:tcBorders>
          </w:tcPr>
          <w:p>
            <w:pPr>
              <w:jc w:val="center"/>
              <w:spacing w:after="0"/>
              <w:rPr>
                <w:sz w:val="20"/>
                <w:szCs w:val="20"/>
                <w:color w:val="auto"/>
              </w:rPr>
            </w:pPr>
            <w:r>
              <w:rPr>
                <w:rFonts w:ascii="Arial" w:cs="Arial" w:eastAsia="Arial" w:hAnsi="Arial"/>
                <w:sz w:val="14"/>
                <w:szCs w:val="14"/>
                <w:b w:val="1"/>
                <w:bCs w:val="1"/>
                <w:color w:val="auto"/>
              </w:rPr>
              <w:t>Life</w:t>
            </w:r>
            <w:r>
              <w:rPr>
                <w:rFonts w:ascii="Arial" w:cs="Arial" w:eastAsia="Arial" w:hAnsi="Arial"/>
                <w:sz w:val="9"/>
                <w:szCs w:val="9"/>
                <w:b w:val="1"/>
                <w:bCs w:val="1"/>
                <w:color w:val="auto"/>
              </w:rPr>
              <w:t>1</w:t>
            </w:r>
          </w:p>
        </w:tc>
        <w:tc>
          <w:tcPr>
            <w:tcW w:w="220" w:type="dxa"/>
            <w:vAlign w:val="bottom"/>
            <w:tcBorders>
              <w:bottom w:val="single" w:sz="8" w:color="D7282F"/>
            </w:tcBorders>
          </w:tcPr>
          <w:p>
            <w:pPr>
              <w:spacing w:after="0"/>
              <w:rPr>
                <w:sz w:val="16"/>
                <w:szCs w:val="16"/>
                <w:color w:val="auto"/>
              </w:rPr>
            </w:pPr>
          </w:p>
        </w:tc>
        <w:tc>
          <w:tcPr>
            <w:tcW w:w="880" w:type="dxa"/>
            <w:vAlign w:val="bottom"/>
            <w:tcBorders>
              <w:bottom w:val="single" w:sz="8" w:color="D7282F"/>
            </w:tcBorders>
          </w:tcPr>
          <w:p>
            <w:pPr>
              <w:jc w:val="center"/>
              <w:ind w:right="128"/>
              <w:spacing w:after="0"/>
              <w:rPr>
                <w:sz w:val="20"/>
                <w:szCs w:val="20"/>
                <w:color w:val="auto"/>
              </w:rPr>
            </w:pPr>
            <w:r>
              <w:rPr>
                <w:rFonts w:ascii="Arial" w:cs="Arial" w:eastAsia="Arial" w:hAnsi="Arial"/>
                <w:sz w:val="14"/>
                <w:szCs w:val="14"/>
                <w:b w:val="1"/>
                <w:bCs w:val="1"/>
                <w:color w:val="auto"/>
              </w:rPr>
              <w:t>Share</w:t>
            </w:r>
          </w:p>
        </w:tc>
        <w:tc>
          <w:tcPr>
            <w:tcW w:w="260" w:type="dxa"/>
            <w:vAlign w:val="bottom"/>
            <w:tcBorders>
              <w:bottom w:val="single" w:sz="8" w:color="D7282F"/>
            </w:tcBorders>
          </w:tcPr>
          <w:p>
            <w:pPr>
              <w:spacing w:after="0"/>
              <w:rPr>
                <w:sz w:val="16"/>
                <w:szCs w:val="16"/>
                <w:color w:val="auto"/>
              </w:rPr>
            </w:pPr>
          </w:p>
        </w:tc>
        <w:tc>
          <w:tcPr>
            <w:tcW w:w="1080" w:type="dxa"/>
            <w:vAlign w:val="bottom"/>
            <w:tcBorders>
              <w:bottom w:val="single" w:sz="8" w:color="D7282F"/>
            </w:tcBorders>
            <w:gridSpan w:val="2"/>
          </w:tcPr>
          <w:p>
            <w:pPr>
              <w:jc w:val="center"/>
              <w:ind w:right="340"/>
              <w:spacing w:after="0"/>
              <w:rPr>
                <w:sz w:val="20"/>
                <w:szCs w:val="20"/>
                <w:color w:val="auto"/>
              </w:rPr>
            </w:pPr>
            <w:r>
              <w:rPr>
                <w:rFonts w:ascii="Arial" w:cs="Arial" w:eastAsia="Arial" w:hAnsi="Arial"/>
                <w:sz w:val="14"/>
                <w:szCs w:val="14"/>
                <w:b w:val="1"/>
                <w:bCs w:val="1"/>
                <w:color w:val="auto"/>
              </w:rPr>
              <w:t>Value</w:t>
            </w:r>
          </w:p>
        </w:tc>
        <w:tc>
          <w:tcPr>
            <w:tcW w:w="1280" w:type="dxa"/>
            <w:vAlign w:val="bottom"/>
            <w:tcBorders>
              <w:bottom w:val="single" w:sz="8" w:color="D7282F"/>
            </w:tcBorders>
          </w:tcPr>
          <w:p>
            <w:pPr>
              <w:jc w:val="center"/>
              <w:ind w:right="8"/>
              <w:spacing w:after="0"/>
              <w:rPr>
                <w:sz w:val="20"/>
                <w:szCs w:val="20"/>
                <w:color w:val="auto"/>
              </w:rPr>
            </w:pPr>
            <w:r>
              <w:rPr>
                <w:rFonts w:ascii="Arial" w:cs="Arial" w:eastAsia="Arial" w:hAnsi="Arial"/>
                <w:sz w:val="14"/>
                <w:szCs w:val="14"/>
                <w:b w:val="1"/>
                <w:bCs w:val="1"/>
                <w:color w:val="auto"/>
              </w:rPr>
              <w:t>millions)</w:t>
            </w:r>
          </w:p>
        </w:tc>
        <w:tc>
          <w:tcPr>
            <w:tcW w:w="260" w:type="dxa"/>
            <w:vAlign w:val="bottom"/>
            <w:tcBorders>
              <w:bottom w:val="single" w:sz="8" w:color="D7282F"/>
            </w:tcBorders>
          </w:tcPr>
          <w:p>
            <w:pPr>
              <w:spacing w:after="0"/>
              <w:rPr>
                <w:sz w:val="16"/>
                <w:szCs w:val="16"/>
                <w:color w:val="auto"/>
              </w:rPr>
            </w:pPr>
          </w:p>
        </w:tc>
        <w:tc>
          <w:tcPr>
            <w:tcW w:w="1000" w:type="dxa"/>
            <w:vAlign w:val="bottom"/>
            <w:tcBorders>
              <w:bottom w:val="single" w:sz="8" w:color="D7282F"/>
            </w:tcBorders>
          </w:tcPr>
          <w:p>
            <w:pPr>
              <w:jc w:val="center"/>
              <w:ind w:right="248"/>
              <w:spacing w:after="0"/>
              <w:rPr>
                <w:sz w:val="20"/>
                <w:szCs w:val="20"/>
                <w:color w:val="auto"/>
              </w:rPr>
            </w:pPr>
            <w:r>
              <w:rPr>
                <w:rFonts w:ascii="Arial" w:cs="Arial" w:eastAsia="Arial" w:hAnsi="Arial"/>
                <w:sz w:val="14"/>
                <w:szCs w:val="14"/>
                <w:b w:val="1"/>
                <w:bCs w:val="1"/>
                <w:color w:val="auto"/>
              </w:rPr>
              <w:t>Share</w:t>
            </w:r>
          </w:p>
        </w:tc>
        <w:tc>
          <w:tcPr>
            <w:tcW w:w="140" w:type="dxa"/>
            <w:vAlign w:val="bottom"/>
            <w:tcBorders>
              <w:bottom w:val="single" w:sz="8" w:color="D7282F"/>
            </w:tcBorders>
          </w:tcPr>
          <w:p>
            <w:pPr>
              <w:spacing w:after="0"/>
              <w:rPr>
                <w:sz w:val="16"/>
                <w:szCs w:val="16"/>
                <w:color w:val="auto"/>
              </w:rPr>
            </w:pPr>
          </w:p>
        </w:tc>
        <w:tc>
          <w:tcPr>
            <w:tcW w:w="920" w:type="dxa"/>
            <w:vAlign w:val="bottom"/>
            <w:tcBorders>
              <w:bottom w:val="single" w:sz="8" w:color="D7282F"/>
            </w:tcBorders>
          </w:tcPr>
          <w:p>
            <w:pPr>
              <w:jc w:val="center"/>
              <w:ind w:right="68"/>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92"/>
        </w:trPr>
        <w:tc>
          <w:tcPr>
            <w:tcW w:w="27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$90.00 –$99.99</w:t>
            </w:r>
          </w:p>
        </w:tc>
        <w:tc>
          <w:tcPr>
            <w:tcW w:w="1340" w:type="dxa"/>
            <w:vAlign w:val="bottom"/>
            <w:tcBorders>
              <w:bottom w:val="single" w:sz="8" w:color="61656A"/>
            </w:tcBorders>
          </w:tcPr>
          <w:p>
            <w:pPr>
              <w:jc w:val="right"/>
              <w:ind w:right="148"/>
              <w:spacing w:after="0"/>
              <w:rPr>
                <w:sz w:val="20"/>
                <w:szCs w:val="20"/>
                <w:color w:val="auto"/>
              </w:rPr>
            </w:pPr>
            <w:r>
              <w:rPr>
                <w:rFonts w:ascii="Arial" w:cs="Arial" w:eastAsia="Arial" w:hAnsi="Arial"/>
                <w:sz w:val="14"/>
                <w:szCs w:val="14"/>
                <w:color w:val="auto"/>
              </w:rPr>
              <w:t>0.9</w:t>
            </w:r>
          </w:p>
        </w:tc>
        <w:tc>
          <w:tcPr>
            <w:tcW w:w="108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1.13</w:t>
            </w:r>
          </w:p>
        </w:tc>
        <w:tc>
          <w:tcPr>
            <w:tcW w:w="2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98.70</w:t>
            </w:r>
          </w:p>
        </w:tc>
        <w:tc>
          <w:tcPr>
            <w:tcW w:w="2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110</w:t>
            </w:r>
          </w:p>
        </w:tc>
        <w:tc>
          <w:tcPr>
            <w:tcW w:w="220" w:type="dxa"/>
            <w:vAlign w:val="bottom"/>
            <w:tcBorders>
              <w:bottom w:val="single" w:sz="8" w:color="61656A"/>
            </w:tcBorders>
          </w:tcPr>
          <w:p>
            <w:pPr>
              <w:spacing w:after="0"/>
              <w:rPr>
                <w:sz w:val="16"/>
                <w:szCs w:val="16"/>
                <w:color w:val="auto"/>
              </w:rPr>
            </w:pPr>
          </w:p>
        </w:tc>
        <w:tc>
          <w:tcPr>
            <w:tcW w:w="12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0.9</w:t>
            </w:r>
          </w:p>
        </w:tc>
        <w:tc>
          <w:tcPr>
            <w:tcW w:w="2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61656A"/>
            </w:tcBorders>
          </w:tcPr>
          <w:p>
            <w:pPr>
              <w:jc w:val="right"/>
              <w:ind w:right="208"/>
              <w:spacing w:after="0"/>
              <w:rPr>
                <w:sz w:val="20"/>
                <w:szCs w:val="20"/>
                <w:color w:val="auto"/>
              </w:rPr>
            </w:pPr>
            <w:r>
              <w:rPr>
                <w:rFonts w:ascii="Arial" w:cs="Arial" w:eastAsia="Arial" w:hAnsi="Arial"/>
                <w:sz w:val="14"/>
                <w:szCs w:val="14"/>
                <w:color w:val="auto"/>
              </w:rPr>
              <w:t>98.70</w:t>
            </w:r>
          </w:p>
        </w:tc>
        <w:tc>
          <w:tcPr>
            <w:tcW w:w="1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110</w:t>
            </w:r>
          </w:p>
        </w:tc>
        <w:tc>
          <w:tcPr>
            <w:tcW w:w="0" w:type="dxa"/>
            <w:vAlign w:val="bottom"/>
          </w:tcPr>
          <w:p>
            <w:pPr>
              <w:spacing w:after="0"/>
              <w:rPr>
                <w:sz w:val="1"/>
                <w:szCs w:val="1"/>
                <w:color w:val="auto"/>
              </w:rPr>
            </w:pPr>
          </w:p>
        </w:tc>
      </w:tr>
      <w:tr>
        <w:trPr>
          <w:trHeight w:val="196"/>
        </w:trPr>
        <w:tc>
          <w:tcPr>
            <w:tcW w:w="27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$100.00 –$134.99</w:t>
            </w:r>
          </w:p>
        </w:tc>
        <w:tc>
          <w:tcPr>
            <w:tcW w:w="1340" w:type="dxa"/>
            <w:vAlign w:val="bottom"/>
            <w:tcBorders>
              <w:bottom w:val="single" w:sz="8" w:color="61656A"/>
            </w:tcBorders>
          </w:tcPr>
          <w:p>
            <w:pPr>
              <w:jc w:val="right"/>
              <w:ind w:right="148"/>
              <w:spacing w:after="0"/>
              <w:rPr>
                <w:sz w:val="20"/>
                <w:szCs w:val="20"/>
                <w:color w:val="auto"/>
              </w:rPr>
            </w:pPr>
            <w:r>
              <w:rPr>
                <w:rFonts w:ascii="Arial" w:cs="Arial" w:eastAsia="Arial" w:hAnsi="Arial"/>
                <w:sz w:val="14"/>
                <w:szCs w:val="14"/>
                <w:color w:val="auto"/>
              </w:rPr>
              <w:t>1.2</w:t>
            </w:r>
          </w:p>
        </w:tc>
        <w:tc>
          <w:tcPr>
            <w:tcW w:w="108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2.23</w:t>
            </w:r>
          </w:p>
        </w:tc>
        <w:tc>
          <w:tcPr>
            <w:tcW w:w="220" w:type="dxa"/>
            <w:vAlign w:val="bottom"/>
            <w:tcBorders>
              <w:bottom w:val="single" w:sz="8" w:color="61656A"/>
            </w:tcBorders>
          </w:tcPr>
          <w:p>
            <w:pPr>
              <w:spacing w:after="0"/>
              <w:rPr>
                <w:sz w:val="17"/>
                <w:szCs w:val="17"/>
                <w:color w:val="auto"/>
              </w:rPr>
            </w:pPr>
          </w:p>
        </w:tc>
        <w:tc>
          <w:tcPr>
            <w:tcW w:w="8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120.13</w:t>
            </w:r>
          </w:p>
        </w:tc>
        <w:tc>
          <w:tcPr>
            <w:tcW w:w="260" w:type="dxa"/>
            <w:vAlign w:val="bottom"/>
            <w:tcBorders>
              <w:bottom w:val="single" w:sz="8" w:color="61656A"/>
            </w:tcBorders>
          </w:tcPr>
          <w:p>
            <w:pPr>
              <w:spacing w:after="0"/>
              <w:rPr>
                <w:sz w:val="17"/>
                <w:szCs w:val="17"/>
                <w:color w:val="auto"/>
              </w:rPr>
            </w:pPr>
          </w:p>
        </w:tc>
        <w:tc>
          <w:tcPr>
            <w:tcW w:w="8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127</w:t>
            </w:r>
          </w:p>
        </w:tc>
        <w:tc>
          <w:tcPr>
            <w:tcW w:w="220" w:type="dxa"/>
            <w:vAlign w:val="bottom"/>
            <w:tcBorders>
              <w:bottom w:val="single" w:sz="8" w:color="61656A"/>
            </w:tcBorders>
          </w:tcPr>
          <w:p>
            <w:pPr>
              <w:spacing w:after="0"/>
              <w:rPr>
                <w:sz w:val="17"/>
                <w:szCs w:val="17"/>
                <w:color w:val="auto"/>
              </w:rPr>
            </w:pPr>
          </w:p>
        </w:tc>
        <w:tc>
          <w:tcPr>
            <w:tcW w:w="12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1.2</w:t>
            </w:r>
          </w:p>
        </w:tc>
        <w:tc>
          <w:tcPr>
            <w:tcW w:w="260" w:type="dxa"/>
            <w:vAlign w:val="bottom"/>
            <w:tcBorders>
              <w:bottom w:val="single" w:sz="8" w:color="61656A"/>
            </w:tcBorders>
          </w:tcPr>
          <w:p>
            <w:pPr>
              <w:spacing w:after="0"/>
              <w:rPr>
                <w:sz w:val="17"/>
                <w:szCs w:val="17"/>
                <w:color w:val="auto"/>
              </w:rPr>
            </w:pPr>
          </w:p>
        </w:tc>
        <w:tc>
          <w:tcPr>
            <w:tcW w:w="1000" w:type="dxa"/>
            <w:vAlign w:val="bottom"/>
            <w:tcBorders>
              <w:bottom w:val="single" w:sz="8" w:color="61656A"/>
            </w:tcBorders>
          </w:tcPr>
          <w:p>
            <w:pPr>
              <w:jc w:val="right"/>
              <w:ind w:right="208"/>
              <w:spacing w:after="0"/>
              <w:rPr>
                <w:sz w:val="20"/>
                <w:szCs w:val="20"/>
                <w:color w:val="auto"/>
              </w:rPr>
            </w:pPr>
            <w:r>
              <w:rPr>
                <w:rFonts w:ascii="Arial" w:cs="Arial" w:eastAsia="Arial" w:hAnsi="Arial"/>
                <w:sz w:val="14"/>
                <w:szCs w:val="14"/>
                <w:color w:val="auto"/>
              </w:rPr>
              <w:t>120.13</w:t>
            </w:r>
          </w:p>
        </w:tc>
        <w:tc>
          <w:tcPr>
            <w:tcW w:w="140" w:type="dxa"/>
            <w:vAlign w:val="bottom"/>
            <w:tcBorders>
              <w:bottom w:val="single" w:sz="8" w:color="61656A"/>
            </w:tcBorders>
          </w:tcPr>
          <w:p>
            <w:pPr>
              <w:spacing w:after="0"/>
              <w:rPr>
                <w:sz w:val="17"/>
                <w:szCs w:val="17"/>
                <w:color w:val="auto"/>
              </w:rPr>
            </w:pPr>
          </w:p>
        </w:tc>
        <w:tc>
          <w:tcPr>
            <w:tcW w:w="9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127</w:t>
            </w:r>
          </w:p>
        </w:tc>
        <w:tc>
          <w:tcPr>
            <w:tcW w:w="0" w:type="dxa"/>
            <w:vAlign w:val="bottom"/>
          </w:tcPr>
          <w:p>
            <w:pPr>
              <w:spacing w:after="0"/>
              <w:rPr>
                <w:sz w:val="1"/>
                <w:szCs w:val="1"/>
                <w:color w:val="auto"/>
              </w:rPr>
            </w:pPr>
          </w:p>
        </w:tc>
      </w:tr>
      <w:tr>
        <w:trPr>
          <w:trHeight w:val="196"/>
        </w:trPr>
        <w:tc>
          <w:tcPr>
            <w:tcW w:w="27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$135.00 –$189.99</w:t>
            </w:r>
          </w:p>
        </w:tc>
        <w:tc>
          <w:tcPr>
            <w:tcW w:w="1340" w:type="dxa"/>
            <w:vAlign w:val="bottom"/>
            <w:tcBorders>
              <w:bottom w:val="single" w:sz="8" w:color="61656A"/>
            </w:tcBorders>
          </w:tcPr>
          <w:p>
            <w:pPr>
              <w:jc w:val="right"/>
              <w:ind w:right="148"/>
              <w:spacing w:after="0"/>
              <w:rPr>
                <w:sz w:val="20"/>
                <w:szCs w:val="20"/>
                <w:color w:val="auto"/>
              </w:rPr>
            </w:pPr>
            <w:r>
              <w:rPr>
                <w:rFonts w:ascii="Arial" w:cs="Arial" w:eastAsia="Arial" w:hAnsi="Arial"/>
                <w:sz w:val="14"/>
                <w:szCs w:val="14"/>
                <w:color w:val="auto"/>
              </w:rPr>
              <w:t>4.4</w:t>
            </w:r>
          </w:p>
        </w:tc>
        <w:tc>
          <w:tcPr>
            <w:tcW w:w="108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4.94</w:t>
            </w:r>
          </w:p>
        </w:tc>
        <w:tc>
          <w:tcPr>
            <w:tcW w:w="220" w:type="dxa"/>
            <w:vAlign w:val="bottom"/>
            <w:tcBorders>
              <w:bottom w:val="single" w:sz="8" w:color="61656A"/>
            </w:tcBorders>
          </w:tcPr>
          <w:p>
            <w:pPr>
              <w:spacing w:after="0"/>
              <w:rPr>
                <w:sz w:val="17"/>
                <w:szCs w:val="17"/>
                <w:color w:val="auto"/>
              </w:rPr>
            </w:pPr>
          </w:p>
        </w:tc>
        <w:tc>
          <w:tcPr>
            <w:tcW w:w="8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172.11</w:t>
            </w:r>
          </w:p>
        </w:tc>
        <w:tc>
          <w:tcPr>
            <w:tcW w:w="260" w:type="dxa"/>
            <w:vAlign w:val="bottom"/>
            <w:tcBorders>
              <w:bottom w:val="single" w:sz="8" w:color="61656A"/>
            </w:tcBorders>
          </w:tcPr>
          <w:p>
            <w:pPr>
              <w:spacing w:after="0"/>
              <w:rPr>
                <w:sz w:val="17"/>
                <w:szCs w:val="17"/>
                <w:color w:val="auto"/>
              </w:rPr>
            </w:pPr>
          </w:p>
        </w:tc>
        <w:tc>
          <w:tcPr>
            <w:tcW w:w="8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236</w:t>
            </w:r>
          </w:p>
        </w:tc>
        <w:tc>
          <w:tcPr>
            <w:tcW w:w="220" w:type="dxa"/>
            <w:vAlign w:val="bottom"/>
            <w:tcBorders>
              <w:bottom w:val="single" w:sz="8" w:color="61656A"/>
            </w:tcBorders>
          </w:tcPr>
          <w:p>
            <w:pPr>
              <w:spacing w:after="0"/>
              <w:rPr>
                <w:sz w:val="17"/>
                <w:szCs w:val="17"/>
                <w:color w:val="auto"/>
              </w:rPr>
            </w:pPr>
          </w:p>
        </w:tc>
        <w:tc>
          <w:tcPr>
            <w:tcW w:w="12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3.7</w:t>
            </w:r>
          </w:p>
        </w:tc>
        <w:tc>
          <w:tcPr>
            <w:tcW w:w="260" w:type="dxa"/>
            <w:vAlign w:val="bottom"/>
            <w:tcBorders>
              <w:bottom w:val="single" w:sz="8" w:color="61656A"/>
            </w:tcBorders>
          </w:tcPr>
          <w:p>
            <w:pPr>
              <w:spacing w:after="0"/>
              <w:rPr>
                <w:sz w:val="17"/>
                <w:szCs w:val="17"/>
                <w:color w:val="auto"/>
              </w:rPr>
            </w:pPr>
          </w:p>
        </w:tc>
        <w:tc>
          <w:tcPr>
            <w:tcW w:w="1000" w:type="dxa"/>
            <w:vAlign w:val="bottom"/>
            <w:tcBorders>
              <w:bottom w:val="single" w:sz="8" w:color="61656A"/>
            </w:tcBorders>
          </w:tcPr>
          <w:p>
            <w:pPr>
              <w:jc w:val="right"/>
              <w:ind w:right="208"/>
              <w:spacing w:after="0"/>
              <w:rPr>
                <w:sz w:val="20"/>
                <w:szCs w:val="20"/>
                <w:color w:val="auto"/>
              </w:rPr>
            </w:pPr>
            <w:r>
              <w:rPr>
                <w:rFonts w:ascii="Arial" w:cs="Arial" w:eastAsia="Arial" w:hAnsi="Arial"/>
                <w:sz w:val="14"/>
                <w:szCs w:val="14"/>
                <w:color w:val="auto"/>
              </w:rPr>
              <w:t>168.81</w:t>
            </w:r>
          </w:p>
        </w:tc>
        <w:tc>
          <w:tcPr>
            <w:tcW w:w="140" w:type="dxa"/>
            <w:vAlign w:val="bottom"/>
            <w:tcBorders>
              <w:bottom w:val="single" w:sz="8" w:color="61656A"/>
            </w:tcBorders>
          </w:tcPr>
          <w:p>
            <w:pPr>
              <w:spacing w:after="0"/>
              <w:rPr>
                <w:sz w:val="17"/>
                <w:szCs w:val="17"/>
                <w:color w:val="auto"/>
              </w:rPr>
            </w:pPr>
          </w:p>
        </w:tc>
        <w:tc>
          <w:tcPr>
            <w:tcW w:w="9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227</w:t>
            </w:r>
          </w:p>
        </w:tc>
        <w:tc>
          <w:tcPr>
            <w:tcW w:w="0" w:type="dxa"/>
            <w:vAlign w:val="bottom"/>
          </w:tcPr>
          <w:p>
            <w:pPr>
              <w:spacing w:after="0"/>
              <w:rPr>
                <w:sz w:val="1"/>
                <w:szCs w:val="1"/>
                <w:color w:val="auto"/>
              </w:rPr>
            </w:pPr>
          </w:p>
        </w:tc>
      </w:tr>
      <w:tr>
        <w:trPr>
          <w:trHeight w:val="196"/>
        </w:trPr>
        <w:tc>
          <w:tcPr>
            <w:tcW w:w="274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$190.00 –$232.60</w:t>
            </w:r>
          </w:p>
        </w:tc>
        <w:tc>
          <w:tcPr>
            <w:tcW w:w="134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color w:val="auto"/>
              </w:rPr>
              <w:t>3.9</w:t>
            </w:r>
          </w:p>
        </w:tc>
        <w:tc>
          <w:tcPr>
            <w:tcW w:w="10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7.74</w:t>
            </w:r>
          </w:p>
        </w:tc>
        <w:tc>
          <w:tcPr>
            <w:tcW w:w="220" w:type="dxa"/>
            <w:vAlign w:val="bottom"/>
            <w:tcBorders>
              <w:bottom w:val="single" w:sz="8" w:color="D7282F"/>
            </w:tcBorders>
          </w:tcPr>
          <w:p>
            <w:pPr>
              <w:spacing w:after="0"/>
              <w:rPr>
                <w:sz w:val="17"/>
                <w:szCs w:val="17"/>
                <w:color w:val="auto"/>
              </w:rPr>
            </w:pPr>
          </w:p>
        </w:tc>
        <w:tc>
          <w:tcPr>
            <w:tcW w:w="8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199.48</w:t>
            </w:r>
          </w:p>
        </w:tc>
        <w:tc>
          <w:tcPr>
            <w:tcW w:w="260" w:type="dxa"/>
            <w:vAlign w:val="bottom"/>
            <w:tcBorders>
              <w:bottom w:val="single" w:sz="8" w:color="D7282F"/>
            </w:tcBorders>
          </w:tcPr>
          <w:p>
            <w:pPr>
              <w:spacing w:after="0"/>
              <w:rPr>
                <w:sz w:val="17"/>
                <w:szCs w:val="17"/>
                <w:color w:val="auto"/>
              </w:rPr>
            </w:pPr>
          </w:p>
        </w:tc>
        <w:tc>
          <w:tcPr>
            <w:tcW w:w="8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103</w:t>
            </w:r>
          </w:p>
        </w:tc>
        <w:tc>
          <w:tcPr>
            <w:tcW w:w="220" w:type="dxa"/>
            <w:vAlign w:val="bottom"/>
            <w:tcBorders>
              <w:bottom w:val="single" w:sz="8" w:color="D7282F"/>
            </w:tcBorders>
          </w:tcPr>
          <w:p>
            <w:pPr>
              <w:spacing w:after="0"/>
              <w:rPr>
                <w:sz w:val="17"/>
                <w:szCs w:val="17"/>
                <w:color w:val="auto"/>
              </w:rPr>
            </w:pPr>
          </w:p>
        </w:tc>
        <w:tc>
          <w:tcPr>
            <w:tcW w:w="12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1.1</w:t>
            </w:r>
          </w:p>
        </w:tc>
        <w:tc>
          <w:tcPr>
            <w:tcW w:w="260" w:type="dxa"/>
            <w:vAlign w:val="bottom"/>
            <w:tcBorders>
              <w:bottom w:val="single" w:sz="8" w:color="D7282F"/>
            </w:tcBorders>
          </w:tcPr>
          <w:p>
            <w:pPr>
              <w:spacing w:after="0"/>
              <w:rPr>
                <w:sz w:val="17"/>
                <w:szCs w:val="17"/>
                <w:color w:val="auto"/>
              </w:rPr>
            </w:pPr>
          </w:p>
        </w:tc>
        <w:tc>
          <w:tcPr>
            <w:tcW w:w="100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color w:val="auto"/>
              </w:rPr>
              <w:t>202.44</w:t>
            </w:r>
          </w:p>
        </w:tc>
        <w:tc>
          <w:tcPr>
            <w:tcW w:w="140" w:type="dxa"/>
            <w:vAlign w:val="bottom"/>
            <w:tcBorders>
              <w:bottom w:val="single" w:sz="8" w:color="D7282F"/>
            </w:tcBorders>
          </w:tcPr>
          <w:p>
            <w:pPr>
              <w:spacing w:after="0"/>
              <w:rPr>
                <w:sz w:val="17"/>
                <w:szCs w:val="17"/>
                <w:color w:val="auto"/>
              </w:rPr>
            </w:pPr>
          </w:p>
        </w:tc>
        <w:tc>
          <w:tcPr>
            <w:tcW w:w="9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199"/>
        </w:trPr>
        <w:tc>
          <w:tcPr>
            <w:tcW w:w="2740" w:type="dxa"/>
            <w:vAlign w:val="bottom"/>
            <w:tcBorders>
              <w:bottom w:val="single" w:sz="8" w:color="D7282F"/>
            </w:tcBorders>
          </w:tcPr>
          <w:p>
            <w:pPr>
              <w:spacing w:after="0"/>
              <w:rPr>
                <w:sz w:val="17"/>
                <w:szCs w:val="17"/>
                <w:color w:val="auto"/>
              </w:rPr>
            </w:pPr>
          </w:p>
        </w:tc>
        <w:tc>
          <w:tcPr>
            <w:tcW w:w="134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10.4</w:t>
            </w:r>
          </w:p>
        </w:tc>
        <w:tc>
          <w:tcPr>
            <w:tcW w:w="10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5.36</w:t>
            </w: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170.29</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576</w:t>
            </w:r>
          </w:p>
        </w:tc>
        <w:tc>
          <w:tcPr>
            <w:tcW w:w="220" w:type="dxa"/>
            <w:vAlign w:val="bottom"/>
            <w:tcBorders>
              <w:bottom w:val="single" w:sz="8" w:color="D7282F"/>
            </w:tcBorders>
          </w:tcPr>
          <w:p>
            <w:pPr>
              <w:spacing w:after="0"/>
              <w:rPr>
                <w:sz w:val="17"/>
                <w:szCs w:val="17"/>
                <w:color w:val="auto"/>
              </w:rPr>
            </w:pPr>
          </w:p>
        </w:tc>
        <w:tc>
          <w:tcPr>
            <w:tcW w:w="12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6.9</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157.58</w:t>
            </w:r>
          </w:p>
        </w:tc>
        <w:tc>
          <w:tcPr>
            <w:tcW w:w="1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544</w:t>
            </w: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480" w:hanging="344"/>
        <w:spacing w:after="0"/>
        <w:tabs>
          <w:tab w:leader="none" w:pos="480" w:val="left"/>
        </w:tabs>
        <w:numPr>
          <w:ilvl w:val="0"/>
          <w:numId w:val="153"/>
        </w:numPr>
        <w:rPr>
          <w:rFonts w:ascii="Arial" w:cs="Arial" w:eastAsia="Arial" w:hAnsi="Arial"/>
          <w:sz w:val="13"/>
          <w:szCs w:val="13"/>
          <w:color w:val="auto"/>
        </w:rPr>
      </w:pPr>
      <w:r>
        <w:rPr>
          <w:rFonts w:ascii="Arial" w:cs="Arial" w:eastAsia="Arial" w:hAnsi="Arial"/>
          <w:sz w:val="13"/>
          <w:szCs w:val="13"/>
          <w:color w:val="auto"/>
        </w:rPr>
        <w:t>Average remaining contractual life in years.</w:t>
      </w:r>
    </w:p>
    <w:p>
      <w:pPr>
        <w:spacing w:after="0" w:line="205"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There were 9.6 million and 9.5 million options exercisable at weighted average exercise prices of $138.24 and $127.99 as of December 31, 2023, and 2022, respectively.</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financial statement impact from stock options exercised: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480" w:type="dxa"/>
            <w:vAlign w:val="bottom"/>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2600" w:type="dxa"/>
            <w:vAlign w:val="bottom"/>
            <w:tcBorders>
              <w:bottom w:val="single" w:sz="8" w:color="D7282F"/>
            </w:tcBorders>
            <w:gridSpan w:val="5"/>
          </w:tcPr>
          <w:p>
            <w:pPr>
              <w:jc w:val="right"/>
              <w:ind w:right="388"/>
              <w:spacing w:after="0"/>
              <w:rPr>
                <w:sz w:val="20"/>
                <w:szCs w:val="20"/>
                <w:color w:val="auto"/>
              </w:rPr>
            </w:pPr>
            <w:r>
              <w:rPr>
                <w:rFonts w:ascii="Arial" w:cs="Arial" w:eastAsia="Arial" w:hAnsi="Arial"/>
                <w:sz w:val="14"/>
                <w:szCs w:val="14"/>
                <w:b w:val="1"/>
                <w:bCs w:val="1"/>
                <w:color w:val="auto"/>
              </w:rPr>
              <w:t>Years Ended December 31,</w:t>
            </w:r>
          </w:p>
        </w:tc>
      </w:tr>
      <w:tr>
        <w:trPr>
          <w:trHeight w:val="237"/>
        </w:trPr>
        <w:tc>
          <w:tcPr>
            <w:tcW w:w="8480" w:type="dxa"/>
            <w:vAlign w:val="bottom"/>
            <w:tcBorders>
              <w:bottom w:val="single" w:sz="8" w:color="D7282F"/>
            </w:tcBorders>
          </w:tcPr>
          <w:p>
            <w:pPr>
              <w:spacing w:after="0"/>
              <w:rPr>
                <w:sz w:val="20"/>
                <w:szCs w:val="20"/>
                <w:color w:val="auto"/>
              </w:rPr>
            </w:pPr>
          </w:p>
        </w:tc>
        <w:tc>
          <w:tcPr>
            <w:tcW w:w="160" w:type="dxa"/>
            <w:vAlign w:val="bottom"/>
            <w:tcBorders>
              <w:bottom w:val="single" w:sz="8" w:color="D7282F"/>
            </w:tcBorders>
          </w:tcPr>
          <w:p>
            <w:pPr>
              <w:spacing w:after="0"/>
              <w:rPr>
                <w:sz w:val="20"/>
                <w:szCs w:val="20"/>
                <w:color w:val="auto"/>
              </w:rPr>
            </w:pPr>
          </w:p>
        </w:tc>
        <w:tc>
          <w:tcPr>
            <w:tcW w:w="700" w:type="dxa"/>
            <w:vAlign w:val="bottom"/>
            <w:tcBorders>
              <w:bottom w:val="single" w:sz="8" w:color="D7282F"/>
            </w:tcBorders>
          </w:tcPr>
          <w:p>
            <w:pPr>
              <w:jc w:val="right"/>
              <w:ind w:right="248"/>
              <w:spacing w:after="0"/>
              <w:rPr>
                <w:sz w:val="20"/>
                <w:szCs w:val="20"/>
                <w:color w:val="auto"/>
              </w:rPr>
            </w:pPr>
            <w:r>
              <w:rPr>
                <w:rFonts w:ascii="Arial" w:cs="Arial" w:eastAsia="Arial" w:hAnsi="Arial"/>
                <w:sz w:val="14"/>
                <w:szCs w:val="14"/>
                <w:b w:val="1"/>
                <w:bCs w:val="1"/>
                <w:color w:val="auto"/>
              </w:rPr>
              <w:t>2024</w:t>
            </w:r>
          </w:p>
        </w:tc>
        <w:tc>
          <w:tcPr>
            <w:tcW w:w="300" w:type="dxa"/>
            <w:vAlign w:val="bottom"/>
            <w:tcBorders>
              <w:bottom w:val="single" w:sz="8" w:color="D7282F"/>
            </w:tcBorders>
          </w:tcPr>
          <w:p>
            <w:pPr>
              <w:spacing w:after="0"/>
              <w:rPr>
                <w:sz w:val="20"/>
                <w:szCs w:val="20"/>
                <w:color w:val="auto"/>
              </w:rPr>
            </w:pPr>
          </w:p>
        </w:tc>
        <w:tc>
          <w:tcPr>
            <w:tcW w:w="700" w:type="dxa"/>
            <w:vAlign w:val="bottom"/>
            <w:tcBorders>
              <w:bottom w:val="single" w:sz="8" w:color="D7282F"/>
            </w:tcBorders>
          </w:tcPr>
          <w:p>
            <w:pPr>
              <w:jc w:val="right"/>
              <w:ind w:right="248"/>
              <w:spacing w:after="0"/>
              <w:rPr>
                <w:sz w:val="20"/>
                <w:szCs w:val="20"/>
                <w:color w:val="auto"/>
              </w:rPr>
            </w:pPr>
            <w:r>
              <w:rPr>
                <w:rFonts w:ascii="Arial" w:cs="Arial" w:eastAsia="Arial" w:hAnsi="Arial"/>
                <w:sz w:val="14"/>
                <w:szCs w:val="14"/>
                <w:b w:val="1"/>
                <w:bCs w:val="1"/>
                <w:color w:val="auto"/>
              </w:rPr>
              <w:t>2023</w:t>
            </w:r>
          </w:p>
        </w:tc>
        <w:tc>
          <w:tcPr>
            <w:tcW w:w="300" w:type="dxa"/>
            <w:vAlign w:val="bottom"/>
            <w:tcBorders>
              <w:bottom w:val="single" w:sz="8" w:color="D7282F"/>
            </w:tcBorders>
          </w:tcPr>
          <w:p>
            <w:pPr>
              <w:spacing w:after="0"/>
              <w:rPr>
                <w:sz w:val="20"/>
                <w:szCs w:val="20"/>
                <w:color w:val="auto"/>
              </w:rPr>
            </w:pPr>
          </w:p>
        </w:tc>
        <w:tc>
          <w:tcPr>
            <w:tcW w:w="60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2022</w:t>
            </w:r>
          </w:p>
        </w:tc>
      </w:tr>
      <w:tr>
        <w:trPr>
          <w:trHeight w:val="197"/>
        </w:trPr>
        <w:tc>
          <w:tcPr>
            <w:tcW w:w="8480" w:type="dxa"/>
            <w:vAlign w:val="bottom"/>
            <w:tcBorders>
              <w:bottom w:val="single" w:sz="8" w:color="61656A"/>
            </w:tcBorders>
          </w:tcPr>
          <w:p>
            <w:pPr>
              <w:ind w:left="20"/>
              <w:spacing w:after="0" w:line="197" w:lineRule="exact"/>
              <w:rPr>
                <w:sz w:val="20"/>
                <w:szCs w:val="20"/>
                <w:color w:val="auto"/>
              </w:rPr>
            </w:pPr>
            <w:r>
              <w:rPr>
                <w:rFonts w:ascii="Arial" w:cs="Arial" w:eastAsia="Arial" w:hAnsi="Arial"/>
                <w:sz w:val="14"/>
                <w:szCs w:val="14"/>
                <w:color w:val="auto"/>
              </w:rPr>
              <w:t>Intrinsic value</w:t>
            </w:r>
            <w:r>
              <w:rPr>
                <w:rFonts w:ascii="Arial" w:cs="Arial" w:eastAsia="Arial" w:hAnsi="Arial"/>
                <w:sz w:val="18"/>
                <w:szCs w:val="18"/>
                <w:color w:val="auto"/>
                <w:vertAlign w:val="superscript"/>
              </w:rPr>
              <w:t>1</w:t>
            </w:r>
          </w:p>
        </w:tc>
        <w:tc>
          <w:tcPr>
            <w:tcW w:w="1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357</w:t>
            </w:r>
          </w:p>
        </w:tc>
        <w:tc>
          <w:tcPr>
            <w:tcW w:w="3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122</w:t>
            </w:r>
          </w:p>
        </w:tc>
        <w:tc>
          <w:tcPr>
            <w:tcW w:w="3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310</w:t>
            </w:r>
          </w:p>
        </w:tc>
      </w:tr>
      <w:tr>
        <w:trPr>
          <w:trHeight w:val="192"/>
        </w:trPr>
        <w:tc>
          <w:tcPr>
            <w:tcW w:w="84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Tax benefit realized</w:t>
            </w:r>
          </w:p>
        </w:tc>
        <w:tc>
          <w:tcPr>
            <w:tcW w:w="160" w:type="dxa"/>
            <w:vAlign w:val="bottom"/>
            <w:tcBorders>
              <w:bottom w:val="single" w:sz="8" w:color="D7282F"/>
            </w:tcBorders>
          </w:tcPr>
          <w:p>
            <w:pPr>
              <w:spacing w:after="0"/>
              <w:rPr>
                <w:sz w:val="16"/>
                <w:szCs w:val="16"/>
                <w:color w:val="auto"/>
              </w:rPr>
            </w:pP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76</w:t>
            </w:r>
          </w:p>
        </w:tc>
        <w:tc>
          <w:tcPr>
            <w:tcW w:w="300" w:type="dxa"/>
            <w:vAlign w:val="bottom"/>
            <w:tcBorders>
              <w:bottom w:val="single" w:sz="8" w:color="D7282F"/>
            </w:tcBorders>
          </w:tcPr>
          <w:p>
            <w:pPr>
              <w:spacing w:after="0"/>
              <w:rPr>
                <w:sz w:val="16"/>
                <w:szCs w:val="16"/>
                <w:color w:val="auto"/>
              </w:rPr>
            </w:pP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27</w:t>
            </w:r>
          </w:p>
        </w:tc>
        <w:tc>
          <w:tcPr>
            <w:tcW w:w="300" w:type="dxa"/>
            <w:vAlign w:val="bottom"/>
            <w:tcBorders>
              <w:bottom w:val="single" w:sz="8" w:color="D7282F"/>
            </w:tcBorders>
          </w:tcPr>
          <w:p>
            <w:pPr>
              <w:spacing w:after="0"/>
              <w:rPr>
                <w:sz w:val="16"/>
                <w:szCs w:val="16"/>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71</w:t>
            </w:r>
          </w:p>
        </w:tc>
      </w:tr>
    </w:tbl>
    <w:p>
      <w:pPr>
        <w:spacing w:after="0" w:line="104" w:lineRule="exact"/>
        <w:rPr>
          <w:sz w:val="20"/>
          <w:szCs w:val="20"/>
          <w:color w:val="auto"/>
        </w:rPr>
      </w:pPr>
    </w:p>
    <w:p>
      <w:pPr>
        <w:ind w:left="480" w:hanging="344"/>
        <w:spacing w:after="0"/>
        <w:tabs>
          <w:tab w:leader="none" w:pos="480" w:val="left"/>
        </w:tabs>
        <w:numPr>
          <w:ilvl w:val="0"/>
          <w:numId w:val="154"/>
        </w:numPr>
        <w:rPr>
          <w:rFonts w:ascii="Arial" w:cs="Arial" w:eastAsia="Arial" w:hAnsi="Arial"/>
          <w:sz w:val="13"/>
          <w:szCs w:val="13"/>
          <w:color w:val="auto"/>
        </w:rPr>
      </w:pPr>
      <w:r>
        <w:rPr>
          <w:rFonts w:ascii="Arial" w:cs="Arial" w:eastAsia="Arial" w:hAnsi="Arial"/>
          <w:sz w:val="13"/>
          <w:szCs w:val="13"/>
          <w:color w:val="auto"/>
        </w:rPr>
        <w:t>Represents the amount by which the stock price exceeded the exercise price of the options on the date of exercise.</w:t>
      </w:r>
    </w:p>
    <w:p>
      <w:pPr>
        <w:spacing w:after="0" w:line="219"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At December 31, 2024, there was $91 million of total unrecognized compensation cost related to non-vested stock option awards which is expected to be recognized over a weighted average period of 2.49 years. The total fair value of options vested for the years ended December 31, 2024, 2023, and 2022, was $49 million, $48 million, and $49 million, respectively.</w:t>
      </w:r>
    </w:p>
    <w:p>
      <w:pPr>
        <w:spacing w:after="0" w:line="395" w:lineRule="exact"/>
        <w:rPr>
          <w:sz w:val="20"/>
          <w:szCs w:val="20"/>
          <w:color w:val="auto"/>
        </w:rPr>
      </w:pPr>
    </w:p>
    <w:p>
      <w:pPr>
        <w:ind w:left="400" w:hanging="392"/>
        <w:spacing w:after="0"/>
        <w:tabs>
          <w:tab w:leader="none" w:pos="400" w:val="left"/>
        </w:tabs>
        <w:numPr>
          <w:ilvl w:val="0"/>
          <w:numId w:val="155"/>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91" w:name="page92"/>
    <w:bookmarkEnd w:id="91"/>
    <w:p>
      <w:pPr>
        <w:ind w:left="20"/>
        <w:spacing w:after="0"/>
        <w:tabs>
          <w:tab w:leader="none" w:pos="784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FINANCIAL STATEMENTS AND SUPPLEMENTARY DATA</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RESTRICTED STOCK UNITS</w:t>
      </w:r>
    </w:p>
    <w:p>
      <w:pPr>
        <w:spacing w:after="0" w:line="12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Restricted stock unit (RSU) awards entitle the holder to receive one share of common stock for each unit when the units vest. RSUs are issued to certain key employees and directors as compensation at fair market value at the date of grant. RSUs generally become fully vested over periods ranging from three to six years and are payable in Honeywell common stock upon vesting. Certain RSU awards are performance-based and awarded to eligible employees which entitle the grantee to receive shares of common stock if specified Company performance goals are achieved during the performance period and if the grantee remains employed through the vesting period.</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information about RSU activity for the three years ended December 31, 2024:</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64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center"/>
              <w:ind w:right="68"/>
              <w:spacing w:after="0"/>
              <w:rPr>
                <w:sz w:val="20"/>
                <w:szCs w:val="20"/>
                <w:color w:val="auto"/>
              </w:rPr>
            </w:pPr>
            <w:r>
              <w:rPr>
                <w:rFonts w:ascii="Arial" w:cs="Arial" w:eastAsia="Arial" w:hAnsi="Arial"/>
                <w:sz w:val="14"/>
                <w:szCs w:val="14"/>
                <w:b w:val="1"/>
                <w:bCs w:val="1"/>
                <w:color w:val="auto"/>
              </w:rPr>
              <w:t>Weighted</w:t>
            </w:r>
          </w:p>
        </w:tc>
      </w:tr>
      <w:tr>
        <w:trPr>
          <w:trHeight w:val="176"/>
        </w:trPr>
        <w:tc>
          <w:tcPr>
            <w:tcW w:w="5640" w:type="dxa"/>
            <w:vAlign w:val="bottom"/>
          </w:tcPr>
          <w:p>
            <w:pPr>
              <w:spacing w:after="0"/>
              <w:rPr>
                <w:sz w:val="15"/>
                <w:szCs w:val="15"/>
                <w:color w:val="auto"/>
              </w:rPr>
            </w:pPr>
          </w:p>
        </w:tc>
        <w:tc>
          <w:tcPr>
            <w:tcW w:w="4400" w:type="dxa"/>
            <w:vAlign w:val="bottom"/>
          </w:tcPr>
          <w:p>
            <w:pPr>
              <w:jc w:val="center"/>
              <w:ind w:left="3048"/>
              <w:spacing w:after="0"/>
              <w:rPr>
                <w:sz w:val="20"/>
                <w:szCs w:val="20"/>
                <w:color w:val="auto"/>
              </w:rPr>
            </w:pPr>
            <w:r>
              <w:rPr>
                <w:rFonts w:ascii="Arial" w:cs="Arial" w:eastAsia="Arial" w:hAnsi="Arial"/>
                <w:sz w:val="14"/>
                <w:szCs w:val="14"/>
                <w:b w:val="1"/>
                <w:bCs w:val="1"/>
                <w:color w:val="auto"/>
              </w:rPr>
              <w:t>Number of</w:t>
            </w:r>
          </w:p>
        </w:tc>
        <w:tc>
          <w:tcPr>
            <w:tcW w:w="260" w:type="dxa"/>
            <w:vAlign w:val="bottom"/>
          </w:tcPr>
          <w:p>
            <w:pPr>
              <w:spacing w:after="0"/>
              <w:rPr>
                <w:sz w:val="15"/>
                <w:szCs w:val="15"/>
                <w:color w:val="auto"/>
              </w:rPr>
            </w:pPr>
          </w:p>
        </w:tc>
        <w:tc>
          <w:tcPr>
            <w:tcW w:w="940" w:type="dxa"/>
            <w:vAlign w:val="bottom"/>
          </w:tcPr>
          <w:p>
            <w:pPr>
              <w:jc w:val="center"/>
              <w:ind w:right="68"/>
              <w:spacing w:after="0"/>
              <w:rPr>
                <w:sz w:val="20"/>
                <w:szCs w:val="20"/>
                <w:color w:val="auto"/>
              </w:rPr>
            </w:pPr>
            <w:r>
              <w:rPr>
                <w:rFonts w:ascii="Arial" w:cs="Arial" w:eastAsia="Arial" w:hAnsi="Arial"/>
                <w:sz w:val="14"/>
                <w:szCs w:val="14"/>
                <w:b w:val="1"/>
                <w:bCs w:val="1"/>
                <w:color w:val="auto"/>
              </w:rPr>
              <w:t>Average</w:t>
            </w:r>
          </w:p>
        </w:tc>
      </w:tr>
      <w:tr>
        <w:trPr>
          <w:trHeight w:val="175"/>
        </w:trPr>
        <w:tc>
          <w:tcPr>
            <w:tcW w:w="5640" w:type="dxa"/>
            <w:vAlign w:val="bottom"/>
          </w:tcPr>
          <w:p>
            <w:pPr>
              <w:spacing w:after="0"/>
              <w:rPr>
                <w:sz w:val="15"/>
                <w:szCs w:val="15"/>
                <w:color w:val="auto"/>
              </w:rPr>
            </w:pPr>
          </w:p>
        </w:tc>
        <w:tc>
          <w:tcPr>
            <w:tcW w:w="4400" w:type="dxa"/>
            <w:vAlign w:val="bottom"/>
          </w:tcPr>
          <w:p>
            <w:pPr>
              <w:jc w:val="center"/>
              <w:ind w:left="3028"/>
              <w:spacing w:after="0"/>
              <w:rPr>
                <w:sz w:val="20"/>
                <w:szCs w:val="20"/>
                <w:color w:val="auto"/>
              </w:rPr>
            </w:pPr>
            <w:r>
              <w:rPr>
                <w:rFonts w:ascii="Arial" w:cs="Arial" w:eastAsia="Arial" w:hAnsi="Arial"/>
                <w:sz w:val="14"/>
                <w:szCs w:val="14"/>
                <w:b w:val="1"/>
                <w:bCs w:val="1"/>
                <w:color w:val="auto"/>
              </w:rPr>
              <w:t>Restricted</w:t>
            </w:r>
          </w:p>
        </w:tc>
        <w:tc>
          <w:tcPr>
            <w:tcW w:w="260" w:type="dxa"/>
            <w:vAlign w:val="bottom"/>
          </w:tcPr>
          <w:p>
            <w:pPr>
              <w:spacing w:after="0"/>
              <w:rPr>
                <w:sz w:val="15"/>
                <w:szCs w:val="15"/>
                <w:color w:val="auto"/>
              </w:rPr>
            </w:pPr>
          </w:p>
        </w:tc>
        <w:tc>
          <w:tcPr>
            <w:tcW w:w="940" w:type="dxa"/>
            <w:vAlign w:val="bottom"/>
          </w:tcPr>
          <w:p>
            <w:pPr>
              <w:jc w:val="center"/>
              <w:ind w:right="68"/>
              <w:spacing w:after="0"/>
              <w:rPr>
                <w:sz w:val="20"/>
                <w:szCs w:val="20"/>
                <w:color w:val="auto"/>
              </w:rPr>
            </w:pPr>
            <w:r>
              <w:rPr>
                <w:rFonts w:ascii="Arial" w:cs="Arial" w:eastAsia="Arial" w:hAnsi="Arial"/>
                <w:sz w:val="14"/>
                <w:szCs w:val="14"/>
                <w:b w:val="1"/>
                <w:bCs w:val="1"/>
                <w:color w:val="auto"/>
              </w:rPr>
              <w:t>Grant Date</w:t>
            </w:r>
          </w:p>
        </w:tc>
      </w:tr>
      <w:tr>
        <w:trPr>
          <w:trHeight w:val="176"/>
        </w:trPr>
        <w:tc>
          <w:tcPr>
            <w:tcW w:w="5640" w:type="dxa"/>
            <w:vAlign w:val="bottom"/>
          </w:tcPr>
          <w:p>
            <w:pPr>
              <w:spacing w:after="0"/>
              <w:rPr>
                <w:sz w:val="15"/>
                <w:szCs w:val="15"/>
                <w:color w:val="auto"/>
              </w:rPr>
            </w:pPr>
          </w:p>
        </w:tc>
        <w:tc>
          <w:tcPr>
            <w:tcW w:w="4400" w:type="dxa"/>
            <w:vAlign w:val="bottom"/>
          </w:tcPr>
          <w:p>
            <w:pPr>
              <w:jc w:val="center"/>
              <w:ind w:left="3028"/>
              <w:spacing w:after="0"/>
              <w:rPr>
                <w:sz w:val="20"/>
                <w:szCs w:val="20"/>
                <w:color w:val="auto"/>
              </w:rPr>
            </w:pPr>
            <w:r>
              <w:rPr>
                <w:rFonts w:ascii="Arial" w:cs="Arial" w:eastAsia="Arial" w:hAnsi="Arial"/>
                <w:sz w:val="14"/>
                <w:szCs w:val="14"/>
                <w:b w:val="1"/>
                <w:bCs w:val="1"/>
                <w:color w:val="auto"/>
              </w:rPr>
              <w:t>Stock Units</w:t>
            </w:r>
          </w:p>
        </w:tc>
        <w:tc>
          <w:tcPr>
            <w:tcW w:w="260" w:type="dxa"/>
            <w:vAlign w:val="bottom"/>
          </w:tcPr>
          <w:p>
            <w:pPr>
              <w:spacing w:after="0"/>
              <w:rPr>
                <w:sz w:val="15"/>
                <w:szCs w:val="15"/>
                <w:color w:val="auto"/>
              </w:rPr>
            </w:pPr>
          </w:p>
        </w:tc>
        <w:tc>
          <w:tcPr>
            <w:tcW w:w="940" w:type="dxa"/>
            <w:vAlign w:val="bottom"/>
          </w:tcPr>
          <w:p>
            <w:pPr>
              <w:jc w:val="center"/>
              <w:ind w:right="68"/>
              <w:spacing w:after="0"/>
              <w:rPr>
                <w:sz w:val="20"/>
                <w:szCs w:val="20"/>
                <w:color w:val="auto"/>
              </w:rPr>
            </w:pPr>
            <w:r>
              <w:rPr>
                <w:rFonts w:ascii="Arial" w:cs="Arial" w:eastAsia="Arial" w:hAnsi="Arial"/>
                <w:sz w:val="14"/>
                <w:szCs w:val="14"/>
                <w:b w:val="1"/>
                <w:bCs w:val="1"/>
                <w:color w:val="auto"/>
              </w:rPr>
              <w:t>Fair Value</w:t>
            </w:r>
          </w:p>
        </w:tc>
      </w:tr>
      <w:tr>
        <w:trPr>
          <w:trHeight w:val="197"/>
        </w:trPr>
        <w:tc>
          <w:tcPr>
            <w:tcW w:w="5640" w:type="dxa"/>
            <w:vAlign w:val="bottom"/>
            <w:tcBorders>
              <w:bottom w:val="single" w:sz="8" w:color="D7282F"/>
            </w:tcBorders>
          </w:tcPr>
          <w:p>
            <w:pPr>
              <w:spacing w:after="0"/>
              <w:rPr>
                <w:sz w:val="17"/>
                <w:szCs w:val="17"/>
                <w:color w:val="auto"/>
              </w:rPr>
            </w:pPr>
          </w:p>
        </w:tc>
        <w:tc>
          <w:tcPr>
            <w:tcW w:w="4400" w:type="dxa"/>
            <w:vAlign w:val="bottom"/>
            <w:tcBorders>
              <w:bottom w:val="single" w:sz="8" w:color="D7282F"/>
            </w:tcBorders>
          </w:tcPr>
          <w:p>
            <w:pPr>
              <w:jc w:val="center"/>
              <w:ind w:left="3028"/>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tcPr>
          <w:p>
            <w:pPr>
              <w:jc w:val="center"/>
              <w:ind w:right="68"/>
              <w:spacing w:after="0"/>
              <w:rPr>
                <w:sz w:val="20"/>
                <w:szCs w:val="20"/>
                <w:color w:val="auto"/>
              </w:rPr>
            </w:pPr>
            <w:r>
              <w:rPr>
                <w:rFonts w:ascii="Arial" w:cs="Arial" w:eastAsia="Arial" w:hAnsi="Arial"/>
                <w:sz w:val="14"/>
                <w:szCs w:val="14"/>
                <w:b w:val="1"/>
                <w:bCs w:val="1"/>
                <w:color w:val="auto"/>
              </w:rPr>
              <w:t>Per Share</w:t>
            </w:r>
          </w:p>
        </w:tc>
      </w:tr>
      <w:tr>
        <w:trPr>
          <w:trHeight w:val="196"/>
        </w:trPr>
        <w:tc>
          <w:tcPr>
            <w:tcW w:w="564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Non-vested at December 31, 2021</w:t>
            </w:r>
          </w:p>
        </w:tc>
        <w:tc>
          <w:tcPr>
            <w:tcW w:w="4400" w:type="dxa"/>
            <w:vAlign w:val="bottom"/>
            <w:tcBorders>
              <w:bottom w:val="single" w:sz="8" w:color="D7282F"/>
            </w:tcBorders>
          </w:tcPr>
          <w:p>
            <w:pPr>
              <w:jc w:val="center"/>
              <w:ind w:left="3768"/>
              <w:spacing w:after="0"/>
              <w:rPr>
                <w:sz w:val="20"/>
                <w:szCs w:val="20"/>
                <w:color w:val="auto"/>
              </w:rPr>
            </w:pPr>
            <w:r>
              <w:rPr>
                <w:rFonts w:ascii="Arial" w:cs="Arial" w:eastAsia="Arial" w:hAnsi="Arial"/>
                <w:sz w:val="14"/>
                <w:szCs w:val="14"/>
                <w:b w:val="1"/>
                <w:bCs w:val="1"/>
                <w:color w:val="auto"/>
              </w:rPr>
              <w:t>3.0</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171.73</w:t>
            </w:r>
          </w:p>
        </w:tc>
      </w:tr>
      <w:tr>
        <w:trPr>
          <w:trHeight w:val="193"/>
        </w:trPr>
        <w:tc>
          <w:tcPr>
            <w:tcW w:w="564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Granted</w:t>
            </w:r>
          </w:p>
        </w:tc>
        <w:tc>
          <w:tcPr>
            <w:tcW w:w="4400" w:type="dxa"/>
            <w:vAlign w:val="bottom"/>
            <w:tcBorders>
              <w:bottom w:val="single" w:sz="8" w:color="888B8D"/>
            </w:tcBorders>
          </w:tcPr>
          <w:p>
            <w:pPr>
              <w:jc w:val="center"/>
              <w:ind w:left="3768"/>
              <w:spacing w:after="0"/>
              <w:rPr>
                <w:sz w:val="20"/>
                <w:szCs w:val="20"/>
                <w:color w:val="auto"/>
              </w:rPr>
            </w:pPr>
            <w:r>
              <w:rPr>
                <w:rFonts w:ascii="Arial" w:cs="Arial" w:eastAsia="Arial" w:hAnsi="Arial"/>
                <w:sz w:val="14"/>
                <w:szCs w:val="14"/>
                <w:color w:val="auto"/>
              </w:rPr>
              <w:t>1.0</w:t>
            </w:r>
          </w:p>
        </w:tc>
        <w:tc>
          <w:tcPr>
            <w:tcW w:w="260" w:type="dxa"/>
            <w:vAlign w:val="bottom"/>
            <w:tcBorders>
              <w:bottom w:val="single" w:sz="8" w:color="888B8D"/>
            </w:tcBorders>
          </w:tcPr>
          <w:p>
            <w:pPr>
              <w:spacing w:after="0"/>
              <w:rPr>
                <w:sz w:val="16"/>
                <w:szCs w:val="16"/>
                <w:color w:val="auto"/>
              </w:rPr>
            </w:pPr>
          </w:p>
        </w:tc>
        <w:tc>
          <w:tcPr>
            <w:tcW w:w="9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186.48</w:t>
            </w:r>
          </w:p>
        </w:tc>
      </w:tr>
      <w:tr>
        <w:trPr>
          <w:trHeight w:val="196"/>
        </w:trPr>
        <w:tc>
          <w:tcPr>
            <w:tcW w:w="564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Vested</w:t>
            </w:r>
          </w:p>
        </w:tc>
        <w:tc>
          <w:tcPr>
            <w:tcW w:w="4400" w:type="dxa"/>
            <w:vAlign w:val="bottom"/>
            <w:tcBorders>
              <w:bottom w:val="single" w:sz="8" w:color="888B8D"/>
            </w:tcBorders>
          </w:tcPr>
          <w:p>
            <w:pPr>
              <w:jc w:val="center"/>
              <w:ind w:left="3748"/>
              <w:spacing w:after="0"/>
              <w:rPr>
                <w:sz w:val="20"/>
                <w:szCs w:val="20"/>
                <w:color w:val="auto"/>
              </w:rPr>
            </w:pPr>
            <w:r>
              <w:rPr>
                <w:rFonts w:ascii="Arial" w:cs="Arial" w:eastAsia="Arial" w:hAnsi="Arial"/>
                <w:sz w:val="14"/>
                <w:szCs w:val="14"/>
                <w:color w:val="auto"/>
              </w:rPr>
              <w:t>(0.9)</w:t>
            </w:r>
          </w:p>
        </w:tc>
        <w:tc>
          <w:tcPr>
            <w:tcW w:w="260" w:type="dxa"/>
            <w:vAlign w:val="bottom"/>
            <w:tcBorders>
              <w:bottom w:val="single" w:sz="8" w:color="888B8D"/>
            </w:tcBorders>
          </w:tcPr>
          <w:p>
            <w:pPr>
              <w:spacing w:after="0"/>
              <w:rPr>
                <w:sz w:val="17"/>
                <w:szCs w:val="17"/>
                <w:color w:val="auto"/>
              </w:rPr>
            </w:pPr>
          </w:p>
        </w:tc>
        <w:tc>
          <w:tcPr>
            <w:tcW w:w="9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157.21</w:t>
            </w:r>
          </w:p>
        </w:tc>
      </w:tr>
      <w:tr>
        <w:trPr>
          <w:trHeight w:val="196"/>
        </w:trPr>
        <w:tc>
          <w:tcPr>
            <w:tcW w:w="564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Forfeited</w:t>
            </w:r>
          </w:p>
        </w:tc>
        <w:tc>
          <w:tcPr>
            <w:tcW w:w="4400" w:type="dxa"/>
            <w:vAlign w:val="bottom"/>
            <w:tcBorders>
              <w:bottom w:val="single" w:sz="8" w:color="D7282F"/>
            </w:tcBorders>
          </w:tcPr>
          <w:p>
            <w:pPr>
              <w:jc w:val="center"/>
              <w:ind w:left="3748"/>
              <w:spacing w:after="0"/>
              <w:rPr>
                <w:sz w:val="20"/>
                <w:szCs w:val="20"/>
                <w:color w:val="auto"/>
              </w:rPr>
            </w:pPr>
            <w:r>
              <w:rPr>
                <w:rFonts w:ascii="Arial" w:cs="Arial" w:eastAsia="Arial" w:hAnsi="Arial"/>
                <w:sz w:val="14"/>
                <w:szCs w:val="14"/>
                <w:color w:val="auto"/>
              </w:rPr>
              <w:t>(0.4)</w:t>
            </w:r>
          </w:p>
        </w:tc>
        <w:tc>
          <w:tcPr>
            <w:tcW w:w="26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177.38</w:t>
            </w:r>
          </w:p>
        </w:tc>
      </w:tr>
      <w:tr>
        <w:trPr>
          <w:trHeight w:val="199"/>
        </w:trPr>
        <w:tc>
          <w:tcPr>
            <w:tcW w:w="564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Non-vested at December 31, 2022</w:t>
            </w:r>
          </w:p>
        </w:tc>
        <w:tc>
          <w:tcPr>
            <w:tcW w:w="4400" w:type="dxa"/>
            <w:vAlign w:val="bottom"/>
            <w:tcBorders>
              <w:bottom w:val="single" w:sz="8" w:color="D7282F"/>
            </w:tcBorders>
          </w:tcPr>
          <w:p>
            <w:pPr>
              <w:jc w:val="center"/>
              <w:ind w:left="3768"/>
              <w:spacing w:after="0"/>
              <w:rPr>
                <w:sz w:val="20"/>
                <w:szCs w:val="20"/>
                <w:color w:val="auto"/>
              </w:rPr>
            </w:pPr>
            <w:r>
              <w:rPr>
                <w:rFonts w:ascii="Arial" w:cs="Arial" w:eastAsia="Arial" w:hAnsi="Arial"/>
                <w:sz w:val="14"/>
                <w:szCs w:val="14"/>
                <w:b w:val="1"/>
                <w:bCs w:val="1"/>
                <w:color w:val="auto"/>
              </w:rPr>
              <w:t>2.7</w:t>
            </w:r>
          </w:p>
        </w:tc>
        <w:tc>
          <w:tcPr>
            <w:tcW w:w="26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181.10</w:t>
            </w:r>
          </w:p>
        </w:tc>
      </w:tr>
      <w:tr>
        <w:trPr>
          <w:trHeight w:val="193"/>
        </w:trPr>
        <w:tc>
          <w:tcPr>
            <w:tcW w:w="564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Granted</w:t>
            </w:r>
          </w:p>
        </w:tc>
        <w:tc>
          <w:tcPr>
            <w:tcW w:w="4400" w:type="dxa"/>
            <w:vAlign w:val="bottom"/>
            <w:tcBorders>
              <w:bottom w:val="single" w:sz="8" w:color="888B8D"/>
            </w:tcBorders>
          </w:tcPr>
          <w:p>
            <w:pPr>
              <w:jc w:val="center"/>
              <w:ind w:left="3768"/>
              <w:spacing w:after="0"/>
              <w:rPr>
                <w:sz w:val="20"/>
                <w:szCs w:val="20"/>
                <w:color w:val="auto"/>
              </w:rPr>
            </w:pPr>
            <w:r>
              <w:rPr>
                <w:rFonts w:ascii="Arial" w:cs="Arial" w:eastAsia="Arial" w:hAnsi="Arial"/>
                <w:sz w:val="14"/>
                <w:szCs w:val="14"/>
                <w:color w:val="auto"/>
              </w:rPr>
              <w:t>1.1</w:t>
            </w:r>
          </w:p>
        </w:tc>
        <w:tc>
          <w:tcPr>
            <w:tcW w:w="260" w:type="dxa"/>
            <w:vAlign w:val="bottom"/>
            <w:tcBorders>
              <w:bottom w:val="single" w:sz="8" w:color="888B8D"/>
            </w:tcBorders>
          </w:tcPr>
          <w:p>
            <w:pPr>
              <w:spacing w:after="0"/>
              <w:rPr>
                <w:sz w:val="16"/>
                <w:szCs w:val="16"/>
                <w:color w:val="auto"/>
              </w:rPr>
            </w:pPr>
          </w:p>
        </w:tc>
        <w:tc>
          <w:tcPr>
            <w:tcW w:w="9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194.81</w:t>
            </w:r>
          </w:p>
        </w:tc>
      </w:tr>
      <w:tr>
        <w:trPr>
          <w:trHeight w:val="196"/>
        </w:trPr>
        <w:tc>
          <w:tcPr>
            <w:tcW w:w="564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Vested</w:t>
            </w:r>
          </w:p>
        </w:tc>
        <w:tc>
          <w:tcPr>
            <w:tcW w:w="4400" w:type="dxa"/>
            <w:vAlign w:val="bottom"/>
            <w:tcBorders>
              <w:bottom w:val="single" w:sz="8" w:color="888B8D"/>
            </w:tcBorders>
          </w:tcPr>
          <w:p>
            <w:pPr>
              <w:jc w:val="center"/>
              <w:ind w:left="3748"/>
              <w:spacing w:after="0"/>
              <w:rPr>
                <w:sz w:val="20"/>
                <w:szCs w:val="20"/>
                <w:color w:val="auto"/>
              </w:rPr>
            </w:pPr>
            <w:r>
              <w:rPr>
                <w:rFonts w:ascii="Arial" w:cs="Arial" w:eastAsia="Arial" w:hAnsi="Arial"/>
                <w:sz w:val="14"/>
                <w:szCs w:val="14"/>
                <w:color w:val="auto"/>
              </w:rPr>
              <w:t>(0.9)</w:t>
            </w:r>
          </w:p>
        </w:tc>
        <w:tc>
          <w:tcPr>
            <w:tcW w:w="260" w:type="dxa"/>
            <w:vAlign w:val="bottom"/>
            <w:tcBorders>
              <w:bottom w:val="single" w:sz="8" w:color="888B8D"/>
            </w:tcBorders>
          </w:tcPr>
          <w:p>
            <w:pPr>
              <w:spacing w:after="0"/>
              <w:rPr>
                <w:sz w:val="17"/>
                <w:szCs w:val="17"/>
                <w:color w:val="auto"/>
              </w:rPr>
            </w:pPr>
          </w:p>
        </w:tc>
        <w:tc>
          <w:tcPr>
            <w:tcW w:w="9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171.92</w:t>
            </w:r>
          </w:p>
        </w:tc>
      </w:tr>
      <w:tr>
        <w:trPr>
          <w:trHeight w:val="196"/>
        </w:trPr>
        <w:tc>
          <w:tcPr>
            <w:tcW w:w="564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Forfeited</w:t>
            </w:r>
          </w:p>
        </w:tc>
        <w:tc>
          <w:tcPr>
            <w:tcW w:w="4400" w:type="dxa"/>
            <w:vAlign w:val="bottom"/>
            <w:tcBorders>
              <w:bottom w:val="single" w:sz="8" w:color="D7282F"/>
            </w:tcBorders>
          </w:tcPr>
          <w:p>
            <w:pPr>
              <w:jc w:val="center"/>
              <w:ind w:left="3748"/>
              <w:spacing w:after="0"/>
              <w:rPr>
                <w:sz w:val="20"/>
                <w:szCs w:val="20"/>
                <w:color w:val="auto"/>
              </w:rPr>
            </w:pPr>
            <w:r>
              <w:rPr>
                <w:rFonts w:ascii="Arial" w:cs="Arial" w:eastAsia="Arial" w:hAnsi="Arial"/>
                <w:sz w:val="14"/>
                <w:szCs w:val="14"/>
                <w:color w:val="auto"/>
              </w:rPr>
              <w:t>(0.3)</w:t>
            </w:r>
          </w:p>
        </w:tc>
        <w:tc>
          <w:tcPr>
            <w:tcW w:w="26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187.13</w:t>
            </w:r>
          </w:p>
        </w:tc>
      </w:tr>
      <w:tr>
        <w:trPr>
          <w:trHeight w:val="199"/>
        </w:trPr>
        <w:tc>
          <w:tcPr>
            <w:tcW w:w="564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Non-vested at December 31, 2023</w:t>
            </w:r>
          </w:p>
        </w:tc>
        <w:tc>
          <w:tcPr>
            <w:tcW w:w="4400" w:type="dxa"/>
            <w:vAlign w:val="bottom"/>
            <w:tcBorders>
              <w:bottom w:val="single" w:sz="8" w:color="D7282F"/>
            </w:tcBorders>
          </w:tcPr>
          <w:p>
            <w:pPr>
              <w:jc w:val="center"/>
              <w:ind w:left="3768"/>
              <w:spacing w:after="0"/>
              <w:rPr>
                <w:sz w:val="20"/>
                <w:szCs w:val="20"/>
                <w:color w:val="auto"/>
              </w:rPr>
            </w:pPr>
            <w:r>
              <w:rPr>
                <w:rFonts w:ascii="Arial" w:cs="Arial" w:eastAsia="Arial" w:hAnsi="Arial"/>
                <w:sz w:val="14"/>
                <w:szCs w:val="14"/>
                <w:b w:val="1"/>
                <w:bCs w:val="1"/>
                <w:color w:val="auto"/>
              </w:rPr>
              <w:t>2.6</w:t>
            </w:r>
          </w:p>
        </w:tc>
        <w:tc>
          <w:tcPr>
            <w:tcW w:w="26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189.18</w:t>
            </w:r>
          </w:p>
        </w:tc>
      </w:tr>
      <w:tr>
        <w:trPr>
          <w:trHeight w:val="193"/>
        </w:trPr>
        <w:tc>
          <w:tcPr>
            <w:tcW w:w="564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Granted</w:t>
            </w:r>
          </w:p>
        </w:tc>
        <w:tc>
          <w:tcPr>
            <w:tcW w:w="4400" w:type="dxa"/>
            <w:vAlign w:val="bottom"/>
            <w:tcBorders>
              <w:bottom w:val="single" w:sz="8" w:color="888B8D"/>
            </w:tcBorders>
          </w:tcPr>
          <w:p>
            <w:pPr>
              <w:jc w:val="center"/>
              <w:ind w:left="3768"/>
              <w:spacing w:after="0"/>
              <w:rPr>
                <w:sz w:val="20"/>
                <w:szCs w:val="20"/>
                <w:color w:val="auto"/>
              </w:rPr>
            </w:pPr>
            <w:r>
              <w:rPr>
                <w:rFonts w:ascii="Arial" w:cs="Arial" w:eastAsia="Arial" w:hAnsi="Arial"/>
                <w:sz w:val="14"/>
                <w:szCs w:val="14"/>
                <w:color w:val="auto"/>
              </w:rPr>
              <w:t>1.0</w:t>
            </w:r>
          </w:p>
        </w:tc>
        <w:tc>
          <w:tcPr>
            <w:tcW w:w="260" w:type="dxa"/>
            <w:vAlign w:val="bottom"/>
            <w:tcBorders>
              <w:bottom w:val="single" w:sz="8" w:color="888B8D"/>
            </w:tcBorders>
          </w:tcPr>
          <w:p>
            <w:pPr>
              <w:spacing w:after="0"/>
              <w:rPr>
                <w:sz w:val="16"/>
                <w:szCs w:val="16"/>
                <w:color w:val="auto"/>
              </w:rPr>
            </w:pPr>
          </w:p>
        </w:tc>
        <w:tc>
          <w:tcPr>
            <w:tcW w:w="9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200.44</w:t>
            </w:r>
          </w:p>
        </w:tc>
      </w:tr>
      <w:tr>
        <w:trPr>
          <w:trHeight w:val="196"/>
        </w:trPr>
        <w:tc>
          <w:tcPr>
            <w:tcW w:w="564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Vested</w:t>
            </w:r>
          </w:p>
        </w:tc>
        <w:tc>
          <w:tcPr>
            <w:tcW w:w="4400" w:type="dxa"/>
            <w:vAlign w:val="bottom"/>
            <w:tcBorders>
              <w:bottom w:val="single" w:sz="8" w:color="888B8D"/>
            </w:tcBorders>
          </w:tcPr>
          <w:p>
            <w:pPr>
              <w:jc w:val="center"/>
              <w:ind w:left="3748"/>
              <w:spacing w:after="0"/>
              <w:rPr>
                <w:sz w:val="20"/>
                <w:szCs w:val="20"/>
                <w:color w:val="auto"/>
              </w:rPr>
            </w:pPr>
            <w:r>
              <w:rPr>
                <w:rFonts w:ascii="Arial" w:cs="Arial" w:eastAsia="Arial" w:hAnsi="Arial"/>
                <w:sz w:val="14"/>
                <w:szCs w:val="14"/>
                <w:color w:val="auto"/>
              </w:rPr>
              <w:t>(0.8)</w:t>
            </w:r>
          </w:p>
        </w:tc>
        <w:tc>
          <w:tcPr>
            <w:tcW w:w="260" w:type="dxa"/>
            <w:vAlign w:val="bottom"/>
            <w:tcBorders>
              <w:bottom w:val="single" w:sz="8" w:color="888B8D"/>
            </w:tcBorders>
          </w:tcPr>
          <w:p>
            <w:pPr>
              <w:spacing w:after="0"/>
              <w:rPr>
                <w:sz w:val="17"/>
                <w:szCs w:val="17"/>
                <w:color w:val="auto"/>
              </w:rPr>
            </w:pPr>
          </w:p>
        </w:tc>
        <w:tc>
          <w:tcPr>
            <w:tcW w:w="9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185.70</w:t>
            </w:r>
          </w:p>
        </w:tc>
      </w:tr>
      <w:tr>
        <w:trPr>
          <w:trHeight w:val="196"/>
        </w:trPr>
        <w:tc>
          <w:tcPr>
            <w:tcW w:w="564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Forfeited</w:t>
            </w:r>
          </w:p>
        </w:tc>
        <w:tc>
          <w:tcPr>
            <w:tcW w:w="4400" w:type="dxa"/>
            <w:vAlign w:val="bottom"/>
            <w:tcBorders>
              <w:bottom w:val="single" w:sz="8" w:color="D7282F"/>
            </w:tcBorders>
          </w:tcPr>
          <w:p>
            <w:pPr>
              <w:jc w:val="center"/>
              <w:ind w:left="3748"/>
              <w:spacing w:after="0"/>
              <w:rPr>
                <w:sz w:val="20"/>
                <w:szCs w:val="20"/>
                <w:color w:val="auto"/>
              </w:rPr>
            </w:pPr>
            <w:r>
              <w:rPr>
                <w:rFonts w:ascii="Arial" w:cs="Arial" w:eastAsia="Arial" w:hAnsi="Arial"/>
                <w:sz w:val="14"/>
                <w:szCs w:val="14"/>
                <w:color w:val="auto"/>
              </w:rPr>
              <w:t>(0.3)</w:t>
            </w:r>
          </w:p>
        </w:tc>
        <w:tc>
          <w:tcPr>
            <w:tcW w:w="26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191.68</w:t>
            </w:r>
          </w:p>
        </w:tc>
      </w:tr>
      <w:tr>
        <w:trPr>
          <w:trHeight w:val="199"/>
        </w:trPr>
        <w:tc>
          <w:tcPr>
            <w:tcW w:w="564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Non-vested at December 31, 2024</w:t>
            </w:r>
          </w:p>
        </w:tc>
        <w:tc>
          <w:tcPr>
            <w:tcW w:w="4400" w:type="dxa"/>
            <w:vAlign w:val="bottom"/>
            <w:tcBorders>
              <w:bottom w:val="single" w:sz="8" w:color="D7282F"/>
            </w:tcBorders>
          </w:tcPr>
          <w:p>
            <w:pPr>
              <w:jc w:val="center"/>
              <w:ind w:left="3768"/>
              <w:spacing w:after="0"/>
              <w:rPr>
                <w:sz w:val="20"/>
                <w:szCs w:val="20"/>
                <w:color w:val="auto"/>
              </w:rPr>
            </w:pPr>
            <w:r>
              <w:rPr>
                <w:rFonts w:ascii="Arial" w:cs="Arial" w:eastAsia="Arial" w:hAnsi="Arial"/>
                <w:sz w:val="14"/>
                <w:szCs w:val="14"/>
                <w:b w:val="1"/>
                <w:bCs w:val="1"/>
                <w:color w:val="auto"/>
              </w:rPr>
              <w:t>2.5</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194.85</w:t>
            </w:r>
          </w:p>
        </w:tc>
      </w:tr>
    </w:tbl>
    <w:p>
      <w:pPr>
        <w:spacing w:after="0" w:line="188"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As of December 31, 2024, there was approximately $236 million of total unrecognized compensation cost related to non-vested RSUs granted under the Company's stock plans which is expected to be recognized over a weighted average period of 1.88 years.</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impact to the Consolidated Statement of Operations from RSUs: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480" w:type="dxa"/>
            <w:vAlign w:val="bottom"/>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2600" w:type="dxa"/>
            <w:vAlign w:val="bottom"/>
            <w:tcBorders>
              <w:bottom w:val="single" w:sz="8" w:color="D7282F"/>
            </w:tcBorders>
            <w:gridSpan w:val="5"/>
          </w:tcPr>
          <w:p>
            <w:pPr>
              <w:jc w:val="right"/>
              <w:ind w:right="388"/>
              <w:spacing w:after="0"/>
              <w:rPr>
                <w:sz w:val="20"/>
                <w:szCs w:val="20"/>
                <w:color w:val="auto"/>
              </w:rPr>
            </w:pPr>
            <w:r>
              <w:rPr>
                <w:rFonts w:ascii="Arial" w:cs="Arial" w:eastAsia="Arial" w:hAnsi="Arial"/>
                <w:sz w:val="14"/>
                <w:szCs w:val="14"/>
                <w:b w:val="1"/>
                <w:bCs w:val="1"/>
                <w:color w:val="auto"/>
              </w:rPr>
              <w:t>Years Ended December 31,</w:t>
            </w:r>
          </w:p>
        </w:tc>
      </w:tr>
      <w:tr>
        <w:trPr>
          <w:trHeight w:val="250"/>
        </w:trPr>
        <w:tc>
          <w:tcPr>
            <w:tcW w:w="8480" w:type="dxa"/>
            <w:vAlign w:val="bottom"/>
            <w:tcBorders>
              <w:bottom w:val="single" w:sz="8" w:color="D7282F"/>
            </w:tcBorders>
          </w:tcPr>
          <w:p>
            <w:pPr>
              <w:spacing w:after="0"/>
              <w:rPr>
                <w:sz w:val="21"/>
                <w:szCs w:val="21"/>
                <w:color w:val="auto"/>
              </w:rPr>
            </w:pPr>
          </w:p>
        </w:tc>
        <w:tc>
          <w:tcPr>
            <w:tcW w:w="160" w:type="dxa"/>
            <w:vAlign w:val="bottom"/>
            <w:tcBorders>
              <w:bottom w:val="single" w:sz="8" w:color="D7282F"/>
            </w:tcBorders>
          </w:tcPr>
          <w:p>
            <w:pPr>
              <w:spacing w:after="0"/>
              <w:rPr>
                <w:sz w:val="21"/>
                <w:szCs w:val="21"/>
                <w:color w:val="auto"/>
              </w:rPr>
            </w:pPr>
          </w:p>
        </w:tc>
        <w:tc>
          <w:tcPr>
            <w:tcW w:w="700" w:type="dxa"/>
            <w:vAlign w:val="bottom"/>
            <w:tcBorders>
              <w:bottom w:val="single" w:sz="8" w:color="D7282F"/>
            </w:tcBorders>
          </w:tcPr>
          <w:p>
            <w:pPr>
              <w:jc w:val="right"/>
              <w:ind w:right="248"/>
              <w:spacing w:after="0"/>
              <w:rPr>
                <w:sz w:val="20"/>
                <w:szCs w:val="20"/>
                <w:color w:val="auto"/>
              </w:rPr>
            </w:pPr>
            <w:r>
              <w:rPr>
                <w:rFonts w:ascii="Arial" w:cs="Arial" w:eastAsia="Arial" w:hAnsi="Arial"/>
                <w:sz w:val="14"/>
                <w:szCs w:val="14"/>
                <w:b w:val="1"/>
                <w:bCs w:val="1"/>
                <w:color w:val="auto"/>
              </w:rPr>
              <w:t>2024</w:t>
            </w:r>
          </w:p>
        </w:tc>
        <w:tc>
          <w:tcPr>
            <w:tcW w:w="300" w:type="dxa"/>
            <w:vAlign w:val="bottom"/>
            <w:tcBorders>
              <w:bottom w:val="single" w:sz="8" w:color="D7282F"/>
            </w:tcBorders>
          </w:tcPr>
          <w:p>
            <w:pPr>
              <w:spacing w:after="0"/>
              <w:rPr>
                <w:sz w:val="21"/>
                <w:szCs w:val="21"/>
                <w:color w:val="auto"/>
              </w:rPr>
            </w:pPr>
          </w:p>
        </w:tc>
        <w:tc>
          <w:tcPr>
            <w:tcW w:w="700" w:type="dxa"/>
            <w:vAlign w:val="bottom"/>
            <w:tcBorders>
              <w:bottom w:val="single" w:sz="8" w:color="D7282F"/>
            </w:tcBorders>
          </w:tcPr>
          <w:p>
            <w:pPr>
              <w:jc w:val="right"/>
              <w:ind w:right="248"/>
              <w:spacing w:after="0"/>
              <w:rPr>
                <w:sz w:val="20"/>
                <w:szCs w:val="20"/>
                <w:color w:val="auto"/>
              </w:rPr>
            </w:pPr>
            <w:r>
              <w:rPr>
                <w:rFonts w:ascii="Arial" w:cs="Arial" w:eastAsia="Arial" w:hAnsi="Arial"/>
                <w:sz w:val="14"/>
                <w:szCs w:val="14"/>
                <w:b w:val="1"/>
                <w:bCs w:val="1"/>
                <w:color w:val="auto"/>
              </w:rPr>
              <w:t>2023</w:t>
            </w:r>
          </w:p>
        </w:tc>
        <w:tc>
          <w:tcPr>
            <w:tcW w:w="300" w:type="dxa"/>
            <w:vAlign w:val="bottom"/>
            <w:tcBorders>
              <w:bottom w:val="single" w:sz="8" w:color="D7282F"/>
            </w:tcBorders>
          </w:tcPr>
          <w:p>
            <w:pPr>
              <w:spacing w:after="0"/>
              <w:rPr>
                <w:sz w:val="21"/>
                <w:szCs w:val="21"/>
                <w:color w:val="auto"/>
              </w:rPr>
            </w:pPr>
          </w:p>
        </w:tc>
        <w:tc>
          <w:tcPr>
            <w:tcW w:w="60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2022</w:t>
            </w:r>
          </w:p>
        </w:tc>
      </w:tr>
      <w:tr>
        <w:trPr>
          <w:trHeight w:val="193"/>
        </w:trPr>
        <w:tc>
          <w:tcPr>
            <w:tcW w:w="8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Compensation expense</w:t>
            </w:r>
          </w:p>
        </w:tc>
        <w:tc>
          <w:tcPr>
            <w:tcW w:w="1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142</w:t>
            </w:r>
          </w:p>
        </w:tc>
        <w:tc>
          <w:tcPr>
            <w:tcW w:w="3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154</w:t>
            </w:r>
          </w:p>
        </w:tc>
        <w:tc>
          <w:tcPr>
            <w:tcW w:w="3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143</w:t>
            </w:r>
          </w:p>
        </w:tc>
      </w:tr>
      <w:tr>
        <w:trPr>
          <w:trHeight w:val="196"/>
        </w:trPr>
        <w:tc>
          <w:tcPr>
            <w:tcW w:w="84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Future income tax benefit recognized</w:t>
            </w:r>
          </w:p>
        </w:tc>
        <w:tc>
          <w:tcPr>
            <w:tcW w:w="16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30</w:t>
            </w:r>
          </w:p>
        </w:tc>
        <w:tc>
          <w:tcPr>
            <w:tcW w:w="30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32</w:t>
            </w:r>
          </w:p>
        </w:tc>
        <w:tc>
          <w:tcPr>
            <w:tcW w:w="30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29</w:t>
            </w:r>
          </w:p>
        </w:tc>
      </w:tr>
    </w:tbl>
    <w:p>
      <w:pPr>
        <w:spacing w:after="0" w:line="200" w:lineRule="exact"/>
        <w:rPr>
          <w:sz w:val="20"/>
          <w:szCs w:val="20"/>
          <w:color w:val="auto"/>
        </w:rPr>
      </w:pPr>
    </w:p>
    <w:p>
      <w:pPr>
        <w:spacing w:after="0" w:line="30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D7282F"/>
        </w:rPr>
        <w:t>90</w:t>
      </w:r>
      <w:r>
        <w:rPr>
          <w:sz w:val="20"/>
          <w:szCs w:val="20"/>
          <w:color w:val="auto"/>
        </w:rPr>
        <w:tab/>
      </w: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92" w:name="page93"/>
    <w:bookmarkEnd w:id="92"/>
    <w:p>
      <w:pPr>
        <w:ind w:left="20"/>
        <w:spacing w:after="0"/>
        <w:tabs>
          <w:tab w:leader="none" w:pos="784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FINANCIAL STATEMENTS AND SUPPLEMENTARY DATA</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29"/>
          <w:szCs w:val="29"/>
          <w:color w:val="D7282F"/>
        </w:rPr>
        <w:t>NOTE 16. EARNINGS PER SHARE</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The details of the earnings per share calculations for the years ended December 31, 2024, 2023, and 2022, are as follows (shares in millions):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480" w:type="dxa"/>
            <w:vAlign w:val="bottom"/>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2600" w:type="dxa"/>
            <w:vAlign w:val="bottom"/>
            <w:tcBorders>
              <w:bottom w:val="single" w:sz="8" w:color="D7282F"/>
            </w:tcBorders>
            <w:gridSpan w:val="5"/>
          </w:tcPr>
          <w:p>
            <w:pPr>
              <w:jc w:val="center"/>
              <w:ind w:right="88"/>
              <w:spacing w:after="0"/>
              <w:rPr>
                <w:sz w:val="20"/>
                <w:szCs w:val="20"/>
                <w:color w:val="auto"/>
              </w:rPr>
            </w:pPr>
            <w:r>
              <w:rPr>
                <w:rFonts w:ascii="Arial" w:cs="Arial" w:eastAsia="Arial" w:hAnsi="Arial"/>
                <w:sz w:val="14"/>
                <w:szCs w:val="14"/>
                <w:b w:val="1"/>
                <w:bCs w:val="1"/>
                <w:color w:val="auto"/>
              </w:rPr>
              <w:t>Years Ended December 31,</w:t>
            </w:r>
          </w:p>
        </w:tc>
      </w:tr>
      <w:tr>
        <w:trPr>
          <w:trHeight w:val="237"/>
        </w:trPr>
        <w:tc>
          <w:tcPr>
            <w:tcW w:w="84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Basic</w:t>
            </w:r>
          </w:p>
        </w:tc>
        <w:tc>
          <w:tcPr>
            <w:tcW w:w="160" w:type="dxa"/>
            <w:vAlign w:val="bottom"/>
            <w:tcBorders>
              <w:bottom w:val="single" w:sz="8" w:color="D7282F"/>
            </w:tcBorders>
          </w:tcPr>
          <w:p>
            <w:pPr>
              <w:spacing w:after="0"/>
              <w:rPr>
                <w:sz w:val="20"/>
                <w:szCs w:val="20"/>
                <w:color w:val="auto"/>
              </w:rPr>
            </w:pPr>
          </w:p>
        </w:tc>
        <w:tc>
          <w:tcPr>
            <w:tcW w:w="700" w:type="dxa"/>
            <w:vAlign w:val="bottom"/>
            <w:tcBorders>
              <w:bottom w:val="single" w:sz="8" w:color="D7282F"/>
            </w:tcBorders>
          </w:tcPr>
          <w:p>
            <w:pPr>
              <w:jc w:val="right"/>
              <w:ind w:right="248"/>
              <w:spacing w:after="0"/>
              <w:rPr>
                <w:sz w:val="20"/>
                <w:szCs w:val="20"/>
                <w:color w:val="auto"/>
              </w:rPr>
            </w:pPr>
            <w:r>
              <w:rPr>
                <w:rFonts w:ascii="Arial" w:cs="Arial" w:eastAsia="Arial" w:hAnsi="Arial"/>
                <w:sz w:val="14"/>
                <w:szCs w:val="14"/>
                <w:b w:val="1"/>
                <w:bCs w:val="1"/>
                <w:color w:val="auto"/>
              </w:rPr>
              <w:t>2024</w:t>
            </w:r>
          </w:p>
        </w:tc>
        <w:tc>
          <w:tcPr>
            <w:tcW w:w="300" w:type="dxa"/>
            <w:vAlign w:val="bottom"/>
            <w:tcBorders>
              <w:bottom w:val="single" w:sz="8" w:color="D7282F"/>
            </w:tcBorders>
          </w:tcPr>
          <w:p>
            <w:pPr>
              <w:spacing w:after="0"/>
              <w:rPr>
                <w:sz w:val="20"/>
                <w:szCs w:val="20"/>
                <w:color w:val="auto"/>
              </w:rPr>
            </w:pPr>
          </w:p>
        </w:tc>
        <w:tc>
          <w:tcPr>
            <w:tcW w:w="700" w:type="dxa"/>
            <w:vAlign w:val="bottom"/>
            <w:tcBorders>
              <w:bottom w:val="single" w:sz="8" w:color="D7282F"/>
            </w:tcBorders>
          </w:tcPr>
          <w:p>
            <w:pPr>
              <w:jc w:val="center"/>
              <w:ind w:right="188"/>
              <w:spacing w:after="0"/>
              <w:rPr>
                <w:sz w:val="20"/>
                <w:szCs w:val="20"/>
                <w:color w:val="auto"/>
              </w:rPr>
            </w:pPr>
            <w:r>
              <w:rPr>
                <w:rFonts w:ascii="Arial" w:cs="Arial" w:eastAsia="Arial" w:hAnsi="Arial"/>
                <w:sz w:val="14"/>
                <w:szCs w:val="14"/>
                <w:b w:val="1"/>
                <w:bCs w:val="1"/>
                <w:color w:val="auto"/>
              </w:rPr>
              <w:t>2023</w:t>
            </w:r>
          </w:p>
        </w:tc>
        <w:tc>
          <w:tcPr>
            <w:tcW w:w="300" w:type="dxa"/>
            <w:vAlign w:val="bottom"/>
            <w:tcBorders>
              <w:bottom w:val="single" w:sz="8" w:color="D7282F"/>
            </w:tcBorders>
          </w:tcPr>
          <w:p>
            <w:pPr>
              <w:spacing w:after="0"/>
              <w:rPr>
                <w:sz w:val="20"/>
                <w:szCs w:val="20"/>
                <w:color w:val="auto"/>
              </w:rPr>
            </w:pPr>
          </w:p>
        </w:tc>
        <w:tc>
          <w:tcPr>
            <w:tcW w:w="60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2022</w:t>
            </w:r>
          </w:p>
        </w:tc>
      </w:tr>
      <w:tr>
        <w:trPr>
          <w:trHeight w:val="193"/>
        </w:trPr>
        <w:tc>
          <w:tcPr>
            <w:tcW w:w="8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Net income attributable to Honeywell</w:t>
            </w:r>
          </w:p>
        </w:tc>
        <w:tc>
          <w:tcPr>
            <w:tcW w:w="1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5,705</w:t>
            </w:r>
          </w:p>
        </w:tc>
        <w:tc>
          <w:tcPr>
            <w:tcW w:w="3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5,658</w:t>
            </w:r>
          </w:p>
        </w:tc>
        <w:tc>
          <w:tcPr>
            <w:tcW w:w="3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4,966</w:t>
            </w:r>
          </w:p>
        </w:tc>
      </w:tr>
      <w:tr>
        <w:trPr>
          <w:trHeight w:val="196"/>
        </w:trPr>
        <w:tc>
          <w:tcPr>
            <w:tcW w:w="84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Weighted average shares outstanding</w:t>
            </w:r>
          </w:p>
        </w:tc>
        <w:tc>
          <w:tcPr>
            <w:tcW w:w="16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650.9</w:t>
            </w:r>
          </w:p>
        </w:tc>
        <w:tc>
          <w:tcPr>
            <w:tcW w:w="30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663.0</w:t>
            </w:r>
          </w:p>
        </w:tc>
        <w:tc>
          <w:tcPr>
            <w:tcW w:w="30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677.1</w:t>
            </w:r>
          </w:p>
        </w:tc>
      </w:tr>
      <w:tr>
        <w:trPr>
          <w:trHeight w:val="199"/>
        </w:trPr>
        <w:tc>
          <w:tcPr>
            <w:tcW w:w="848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Earnings per share of common stock—basic</w:t>
            </w: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8.76</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8.53</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7.33</w:t>
            </w:r>
          </w:p>
        </w:tc>
      </w:tr>
      <w:tr>
        <w:trPr>
          <w:trHeight w:val="480"/>
        </w:trPr>
        <w:tc>
          <w:tcPr>
            <w:tcW w:w="8480" w:type="dxa"/>
            <w:vAlign w:val="bottom"/>
          </w:tcPr>
          <w:p>
            <w:pPr>
              <w:spacing w:after="0"/>
              <w:rPr>
                <w:sz w:val="24"/>
                <w:szCs w:val="24"/>
                <w:color w:val="auto"/>
              </w:rPr>
            </w:pPr>
          </w:p>
        </w:tc>
        <w:tc>
          <w:tcPr>
            <w:tcW w:w="160" w:type="dxa"/>
            <w:vAlign w:val="bottom"/>
            <w:tcBorders>
              <w:bottom w:val="single" w:sz="8" w:color="D7282F"/>
            </w:tcBorders>
          </w:tcPr>
          <w:p>
            <w:pPr>
              <w:spacing w:after="0"/>
              <w:rPr>
                <w:sz w:val="24"/>
                <w:szCs w:val="24"/>
                <w:color w:val="auto"/>
              </w:rPr>
            </w:pPr>
          </w:p>
        </w:tc>
        <w:tc>
          <w:tcPr>
            <w:tcW w:w="2600" w:type="dxa"/>
            <w:vAlign w:val="bottom"/>
            <w:tcBorders>
              <w:bottom w:val="single" w:sz="8" w:color="D7282F"/>
            </w:tcBorders>
            <w:gridSpan w:val="5"/>
          </w:tcPr>
          <w:p>
            <w:pPr>
              <w:jc w:val="center"/>
              <w:ind w:right="88"/>
              <w:spacing w:after="0"/>
              <w:rPr>
                <w:sz w:val="20"/>
                <w:szCs w:val="20"/>
                <w:color w:val="auto"/>
              </w:rPr>
            </w:pPr>
            <w:r>
              <w:rPr>
                <w:rFonts w:ascii="Arial" w:cs="Arial" w:eastAsia="Arial" w:hAnsi="Arial"/>
                <w:sz w:val="14"/>
                <w:szCs w:val="14"/>
                <w:b w:val="1"/>
                <w:bCs w:val="1"/>
                <w:color w:val="auto"/>
              </w:rPr>
              <w:t>Years Ended December 31,</w:t>
            </w:r>
          </w:p>
        </w:tc>
      </w:tr>
      <w:tr>
        <w:trPr>
          <w:trHeight w:val="250"/>
        </w:trPr>
        <w:tc>
          <w:tcPr>
            <w:tcW w:w="84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Assuming Dilution</w:t>
            </w:r>
          </w:p>
        </w:tc>
        <w:tc>
          <w:tcPr>
            <w:tcW w:w="160" w:type="dxa"/>
            <w:vAlign w:val="bottom"/>
            <w:tcBorders>
              <w:bottom w:val="single" w:sz="8" w:color="D7282F"/>
            </w:tcBorders>
          </w:tcPr>
          <w:p>
            <w:pPr>
              <w:spacing w:after="0"/>
              <w:rPr>
                <w:sz w:val="21"/>
                <w:szCs w:val="21"/>
                <w:color w:val="auto"/>
              </w:rPr>
            </w:pPr>
          </w:p>
        </w:tc>
        <w:tc>
          <w:tcPr>
            <w:tcW w:w="700" w:type="dxa"/>
            <w:vAlign w:val="bottom"/>
            <w:tcBorders>
              <w:bottom w:val="single" w:sz="8" w:color="D7282F"/>
            </w:tcBorders>
          </w:tcPr>
          <w:p>
            <w:pPr>
              <w:jc w:val="right"/>
              <w:ind w:right="248"/>
              <w:spacing w:after="0"/>
              <w:rPr>
                <w:sz w:val="20"/>
                <w:szCs w:val="20"/>
                <w:color w:val="auto"/>
              </w:rPr>
            </w:pPr>
            <w:r>
              <w:rPr>
                <w:rFonts w:ascii="Arial" w:cs="Arial" w:eastAsia="Arial" w:hAnsi="Arial"/>
                <w:sz w:val="14"/>
                <w:szCs w:val="14"/>
                <w:b w:val="1"/>
                <w:bCs w:val="1"/>
                <w:color w:val="auto"/>
              </w:rPr>
              <w:t>2024</w:t>
            </w:r>
          </w:p>
        </w:tc>
        <w:tc>
          <w:tcPr>
            <w:tcW w:w="300" w:type="dxa"/>
            <w:vAlign w:val="bottom"/>
            <w:tcBorders>
              <w:bottom w:val="single" w:sz="8" w:color="D7282F"/>
            </w:tcBorders>
          </w:tcPr>
          <w:p>
            <w:pPr>
              <w:spacing w:after="0"/>
              <w:rPr>
                <w:sz w:val="21"/>
                <w:szCs w:val="21"/>
                <w:color w:val="auto"/>
              </w:rPr>
            </w:pPr>
          </w:p>
        </w:tc>
        <w:tc>
          <w:tcPr>
            <w:tcW w:w="700" w:type="dxa"/>
            <w:vAlign w:val="bottom"/>
            <w:tcBorders>
              <w:bottom w:val="single" w:sz="8" w:color="D7282F"/>
            </w:tcBorders>
          </w:tcPr>
          <w:p>
            <w:pPr>
              <w:jc w:val="center"/>
              <w:ind w:right="188"/>
              <w:spacing w:after="0"/>
              <w:rPr>
                <w:sz w:val="20"/>
                <w:szCs w:val="20"/>
                <w:color w:val="auto"/>
              </w:rPr>
            </w:pPr>
            <w:r>
              <w:rPr>
                <w:rFonts w:ascii="Arial" w:cs="Arial" w:eastAsia="Arial" w:hAnsi="Arial"/>
                <w:sz w:val="14"/>
                <w:szCs w:val="14"/>
                <w:b w:val="1"/>
                <w:bCs w:val="1"/>
                <w:color w:val="auto"/>
              </w:rPr>
              <w:t>2023</w:t>
            </w:r>
          </w:p>
        </w:tc>
        <w:tc>
          <w:tcPr>
            <w:tcW w:w="300" w:type="dxa"/>
            <w:vAlign w:val="bottom"/>
            <w:tcBorders>
              <w:bottom w:val="single" w:sz="8" w:color="D7282F"/>
            </w:tcBorders>
          </w:tcPr>
          <w:p>
            <w:pPr>
              <w:spacing w:after="0"/>
              <w:rPr>
                <w:sz w:val="21"/>
                <w:szCs w:val="21"/>
                <w:color w:val="auto"/>
              </w:rPr>
            </w:pPr>
          </w:p>
        </w:tc>
        <w:tc>
          <w:tcPr>
            <w:tcW w:w="60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2022</w:t>
            </w:r>
          </w:p>
        </w:tc>
      </w:tr>
      <w:tr>
        <w:trPr>
          <w:trHeight w:val="193"/>
        </w:trPr>
        <w:tc>
          <w:tcPr>
            <w:tcW w:w="8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Net income attributable to Honeywell</w:t>
            </w:r>
          </w:p>
        </w:tc>
        <w:tc>
          <w:tcPr>
            <w:tcW w:w="1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5,705</w:t>
            </w:r>
          </w:p>
        </w:tc>
        <w:tc>
          <w:tcPr>
            <w:tcW w:w="3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5,658</w:t>
            </w:r>
          </w:p>
        </w:tc>
        <w:tc>
          <w:tcPr>
            <w:tcW w:w="3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4,966</w:t>
            </w:r>
          </w:p>
        </w:tc>
      </w:tr>
      <w:tr>
        <w:trPr>
          <w:trHeight w:val="199"/>
        </w:trPr>
        <w:tc>
          <w:tcPr>
            <w:tcW w:w="848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Average shares</w:t>
            </w:r>
          </w:p>
        </w:tc>
        <w:tc>
          <w:tcPr>
            <w:tcW w:w="160" w:type="dxa"/>
            <w:vAlign w:val="bottom"/>
            <w:tcBorders>
              <w:bottom w:val="single" w:sz="8" w:color="61656A"/>
            </w:tcBorders>
          </w:tcPr>
          <w:p>
            <w:pPr>
              <w:spacing w:after="0"/>
              <w:rPr>
                <w:sz w:val="17"/>
                <w:szCs w:val="17"/>
                <w:color w:val="auto"/>
              </w:rPr>
            </w:pPr>
          </w:p>
        </w:tc>
        <w:tc>
          <w:tcPr>
            <w:tcW w:w="700" w:type="dxa"/>
            <w:vAlign w:val="bottom"/>
            <w:tcBorders>
              <w:bottom w:val="single" w:sz="8" w:color="61656A"/>
            </w:tcBorders>
          </w:tcPr>
          <w:p>
            <w:pPr>
              <w:spacing w:after="0"/>
              <w:rPr>
                <w:sz w:val="17"/>
                <w:szCs w:val="17"/>
                <w:color w:val="auto"/>
              </w:rPr>
            </w:pPr>
          </w:p>
        </w:tc>
        <w:tc>
          <w:tcPr>
            <w:tcW w:w="300" w:type="dxa"/>
            <w:vAlign w:val="bottom"/>
            <w:tcBorders>
              <w:bottom w:val="single" w:sz="8" w:color="61656A"/>
            </w:tcBorders>
          </w:tcPr>
          <w:p>
            <w:pPr>
              <w:spacing w:after="0"/>
              <w:rPr>
                <w:sz w:val="17"/>
                <w:szCs w:val="17"/>
                <w:color w:val="auto"/>
              </w:rPr>
            </w:pPr>
          </w:p>
        </w:tc>
        <w:tc>
          <w:tcPr>
            <w:tcW w:w="700" w:type="dxa"/>
            <w:vAlign w:val="bottom"/>
            <w:tcBorders>
              <w:bottom w:val="single" w:sz="8" w:color="61656A"/>
            </w:tcBorders>
          </w:tcPr>
          <w:p>
            <w:pPr>
              <w:spacing w:after="0"/>
              <w:rPr>
                <w:sz w:val="17"/>
                <w:szCs w:val="17"/>
                <w:color w:val="auto"/>
              </w:rPr>
            </w:pPr>
          </w:p>
        </w:tc>
        <w:tc>
          <w:tcPr>
            <w:tcW w:w="30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spacing w:after="0"/>
              <w:rPr>
                <w:sz w:val="17"/>
                <w:szCs w:val="17"/>
                <w:color w:val="auto"/>
              </w:rPr>
            </w:pPr>
          </w:p>
        </w:tc>
      </w:tr>
      <w:tr>
        <w:trPr>
          <w:trHeight w:val="193"/>
        </w:trPr>
        <w:tc>
          <w:tcPr>
            <w:tcW w:w="8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Weighted average shares outstanding</w:t>
            </w:r>
          </w:p>
        </w:tc>
        <w:tc>
          <w:tcPr>
            <w:tcW w:w="160" w:type="dxa"/>
            <w:vAlign w:val="bottom"/>
            <w:tcBorders>
              <w:bottom w:val="single" w:sz="8" w:color="61656A"/>
            </w:tcBorders>
          </w:tcPr>
          <w:p>
            <w:pPr>
              <w:spacing w:after="0"/>
              <w:rPr>
                <w:sz w:val="16"/>
                <w:szCs w:val="16"/>
                <w:color w:val="auto"/>
              </w:rPr>
            </w:pPr>
          </w:p>
        </w:tc>
        <w:tc>
          <w:tcPr>
            <w:tcW w:w="70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650.9</w:t>
            </w:r>
          </w:p>
        </w:tc>
        <w:tc>
          <w:tcPr>
            <w:tcW w:w="300" w:type="dxa"/>
            <w:vAlign w:val="bottom"/>
            <w:tcBorders>
              <w:bottom w:val="single" w:sz="8" w:color="61656A"/>
            </w:tcBorders>
          </w:tcPr>
          <w:p>
            <w:pPr>
              <w:spacing w:after="0"/>
              <w:rPr>
                <w:sz w:val="16"/>
                <w:szCs w:val="16"/>
                <w:color w:val="auto"/>
              </w:rPr>
            </w:pPr>
          </w:p>
        </w:tc>
        <w:tc>
          <w:tcPr>
            <w:tcW w:w="70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663.0</w:t>
            </w:r>
          </w:p>
        </w:tc>
        <w:tc>
          <w:tcPr>
            <w:tcW w:w="300" w:type="dxa"/>
            <w:vAlign w:val="bottom"/>
            <w:tcBorders>
              <w:bottom w:val="single" w:sz="8" w:color="61656A"/>
            </w:tcBorders>
          </w:tcPr>
          <w:p>
            <w:pPr>
              <w:spacing w:after="0"/>
              <w:rPr>
                <w:sz w:val="16"/>
                <w:szCs w:val="16"/>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677.1</w:t>
            </w:r>
          </w:p>
        </w:tc>
      </w:tr>
      <w:tr>
        <w:trPr>
          <w:trHeight w:val="196"/>
        </w:trPr>
        <w:tc>
          <w:tcPr>
            <w:tcW w:w="84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Dilutive securities issuable—stock plans</w:t>
            </w:r>
          </w:p>
        </w:tc>
        <w:tc>
          <w:tcPr>
            <w:tcW w:w="16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4.4</w:t>
            </w:r>
          </w:p>
        </w:tc>
        <w:tc>
          <w:tcPr>
            <w:tcW w:w="30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5.2</w:t>
            </w:r>
          </w:p>
        </w:tc>
        <w:tc>
          <w:tcPr>
            <w:tcW w:w="30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6.0</w:t>
            </w:r>
          </w:p>
        </w:tc>
      </w:tr>
      <w:tr>
        <w:trPr>
          <w:trHeight w:val="199"/>
        </w:trPr>
        <w:tc>
          <w:tcPr>
            <w:tcW w:w="848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weighted average diluted shares outstanding</w:t>
            </w:r>
          </w:p>
        </w:tc>
        <w:tc>
          <w:tcPr>
            <w:tcW w:w="16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655.3</w:t>
            </w:r>
          </w:p>
        </w:tc>
        <w:tc>
          <w:tcPr>
            <w:tcW w:w="30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668.2</w:t>
            </w:r>
          </w:p>
        </w:tc>
        <w:tc>
          <w:tcPr>
            <w:tcW w:w="30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683.1</w:t>
            </w:r>
          </w:p>
        </w:tc>
      </w:tr>
      <w:tr>
        <w:trPr>
          <w:trHeight w:val="196"/>
        </w:trPr>
        <w:tc>
          <w:tcPr>
            <w:tcW w:w="848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Earnings per share of common stock—assuming dilution</w:t>
            </w: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8.71</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8.47</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7.27</w:t>
            </w:r>
          </w:p>
        </w:tc>
      </w:tr>
    </w:tbl>
    <w:p>
      <w:pPr>
        <w:spacing w:after="0" w:line="18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diluted earnings per share calculations exclude the effect of stock options when the cost to exercise an option exceeds the average market price of the common shares during the period. In 2024, 2023, and 2022, the weighted average number of stock options excluded from the computations was 3.9 million, 4.5 million, and 3.5 million, respectively. These stock options were outstanding at the end of each of the respective periods.</w:t>
      </w:r>
    </w:p>
    <w:p>
      <w:pPr>
        <w:spacing w:after="0" w:line="7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As of December 31, 2024, and 2023, the total shares outstanding were 649.8 million and 651.8 million, respectively, and as of December 31, 2024, and 2023, total shares issued were 957.6 million.</w:t>
      </w:r>
    </w:p>
    <w:p>
      <w:pPr>
        <w:spacing w:after="0" w:line="400" w:lineRule="exact"/>
        <w:rPr>
          <w:sz w:val="20"/>
          <w:szCs w:val="20"/>
          <w:color w:val="auto"/>
        </w:rPr>
      </w:pPr>
    </w:p>
    <w:p>
      <w:pPr>
        <w:ind w:left="400" w:hanging="392"/>
        <w:spacing w:after="0"/>
        <w:tabs>
          <w:tab w:leader="none" w:pos="400" w:val="left"/>
        </w:tabs>
        <w:numPr>
          <w:ilvl w:val="0"/>
          <w:numId w:val="156"/>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93" w:name="page94"/>
    <w:bookmarkEnd w:id="93"/>
    <w:p>
      <w:pPr>
        <w:ind w:left="20"/>
        <w:spacing w:after="0"/>
        <w:tabs>
          <w:tab w:leader="none" w:pos="784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FINANCIAL STATEMENTS AND SUPPLEMENTARY DATA</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29"/>
          <w:szCs w:val="29"/>
          <w:color w:val="D7282F"/>
        </w:rPr>
        <w:t>NOTE 17. ACCUMULATED OTHER COMPREHENSIVE LOSS</w:t>
      </w:r>
    </w:p>
    <w:p>
      <w:pPr>
        <w:spacing w:after="0" w:line="252"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changes in Accumulated other comprehensive loss are provided in the tables below. Comprehensive income (loss) attributable to noncontrolling interest consists predominantly of net income.</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180" w:type="dxa"/>
            <w:vAlign w:val="bottom"/>
            <w:tcBorders>
              <w:bottom w:val="single" w:sz="8" w:color="D7282F"/>
            </w:tcBorders>
          </w:tcPr>
          <w:p>
            <w:pPr>
              <w:spacing w:after="0"/>
              <w:rPr>
                <w:sz w:val="17"/>
                <w:szCs w:val="17"/>
                <w:color w:val="auto"/>
              </w:rPr>
            </w:pPr>
          </w:p>
        </w:tc>
        <w:tc>
          <w:tcPr>
            <w:tcW w:w="2080" w:type="dxa"/>
            <w:vAlign w:val="bottom"/>
            <w:tcBorders>
              <w:bottom w:val="single" w:sz="8" w:color="D7282F"/>
            </w:tcBorders>
          </w:tcPr>
          <w:p>
            <w:pPr>
              <w:spacing w:after="0"/>
              <w:rPr>
                <w:sz w:val="17"/>
                <w:szCs w:val="17"/>
                <w:color w:val="auto"/>
              </w:rPr>
            </w:pPr>
          </w:p>
        </w:tc>
        <w:tc>
          <w:tcPr>
            <w:tcW w:w="840" w:type="dxa"/>
            <w:vAlign w:val="bottom"/>
            <w:tcBorders>
              <w:bottom w:val="single" w:sz="8" w:color="D7282F"/>
            </w:tcBorders>
          </w:tcPr>
          <w:p>
            <w:pPr>
              <w:jc w:val="right"/>
              <w:ind w:right="228"/>
              <w:spacing w:after="0"/>
              <w:rPr>
                <w:sz w:val="20"/>
                <w:szCs w:val="20"/>
                <w:color w:val="auto"/>
              </w:rPr>
            </w:pPr>
            <w:r>
              <w:rPr>
                <w:rFonts w:ascii="Arial" w:cs="Arial" w:eastAsia="Arial" w:hAnsi="Arial"/>
                <w:sz w:val="14"/>
                <w:szCs w:val="14"/>
                <w:b w:val="1"/>
                <w:bCs w:val="1"/>
                <w:color w:val="auto"/>
              </w:rPr>
              <w:t>Pre-tax</w:t>
            </w:r>
          </w:p>
        </w:tc>
        <w:tc>
          <w:tcPr>
            <w:tcW w:w="34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348"/>
              <w:spacing w:after="0"/>
              <w:rPr>
                <w:sz w:val="20"/>
                <w:szCs w:val="20"/>
                <w:color w:val="auto"/>
              </w:rPr>
            </w:pPr>
            <w:r>
              <w:rPr>
                <w:rFonts w:ascii="Arial" w:cs="Arial" w:eastAsia="Arial" w:hAnsi="Arial"/>
                <w:sz w:val="14"/>
                <w:szCs w:val="14"/>
                <w:b w:val="1"/>
                <w:bCs w:val="1"/>
                <w:color w:val="auto"/>
              </w:rPr>
              <w:t>Tax</w:t>
            </w:r>
          </w:p>
        </w:tc>
        <w:tc>
          <w:tcPr>
            <w:tcW w:w="24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After-Tax</w:t>
            </w:r>
          </w:p>
        </w:tc>
      </w:tr>
      <w:tr>
        <w:trPr>
          <w:trHeight w:val="196"/>
        </w:trPr>
        <w:tc>
          <w:tcPr>
            <w:tcW w:w="61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Year Ended December 31, 2022</w:t>
            </w:r>
          </w:p>
        </w:tc>
        <w:tc>
          <w:tcPr>
            <w:tcW w:w="2080" w:type="dxa"/>
            <w:vAlign w:val="bottom"/>
            <w:tcBorders>
              <w:bottom w:val="single" w:sz="8" w:color="D7282F"/>
            </w:tcBorders>
          </w:tcPr>
          <w:p>
            <w:pPr>
              <w:spacing w:after="0"/>
              <w:rPr>
                <w:sz w:val="17"/>
                <w:szCs w:val="17"/>
                <w:color w:val="auto"/>
              </w:rPr>
            </w:pPr>
          </w:p>
        </w:tc>
        <w:tc>
          <w:tcPr>
            <w:tcW w:w="840" w:type="dxa"/>
            <w:vAlign w:val="bottom"/>
            <w:tcBorders>
              <w:bottom w:val="single" w:sz="8" w:color="D7282F"/>
            </w:tcBorders>
          </w:tcPr>
          <w:p>
            <w:pPr>
              <w:spacing w:after="0"/>
              <w:rPr>
                <w:sz w:val="17"/>
                <w:szCs w:val="17"/>
                <w:color w:val="auto"/>
              </w:rPr>
            </w:pPr>
          </w:p>
        </w:tc>
        <w:tc>
          <w:tcPr>
            <w:tcW w:w="34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spacing w:after="0"/>
              <w:rPr>
                <w:sz w:val="17"/>
                <w:szCs w:val="17"/>
                <w:color w:val="auto"/>
              </w:rPr>
            </w:pPr>
          </w:p>
        </w:tc>
        <w:tc>
          <w:tcPr>
            <w:tcW w:w="24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spacing w:after="0"/>
              <w:rPr>
                <w:sz w:val="17"/>
                <w:szCs w:val="17"/>
                <w:color w:val="auto"/>
              </w:rPr>
            </w:pPr>
          </w:p>
        </w:tc>
      </w:tr>
      <w:tr>
        <w:trPr>
          <w:trHeight w:val="193"/>
        </w:trPr>
        <w:tc>
          <w:tcPr>
            <w:tcW w:w="61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Foreign exchange translation adjustment</w:t>
            </w:r>
          </w:p>
        </w:tc>
        <w:tc>
          <w:tcPr>
            <w:tcW w:w="208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888B8D"/>
            </w:tcBorders>
          </w:tcPr>
          <w:p>
            <w:pPr>
              <w:jc w:val="right"/>
              <w:ind w:right="48"/>
              <w:spacing w:after="0"/>
              <w:rPr>
                <w:sz w:val="20"/>
                <w:szCs w:val="20"/>
                <w:color w:val="auto"/>
              </w:rPr>
            </w:pPr>
            <w:r>
              <w:rPr>
                <w:rFonts w:ascii="Arial" w:cs="Arial" w:eastAsia="Arial" w:hAnsi="Arial"/>
                <w:sz w:val="14"/>
                <w:szCs w:val="14"/>
                <w:color w:val="auto"/>
              </w:rPr>
              <w:t>(354)</w:t>
            </w:r>
          </w:p>
        </w:tc>
        <w:tc>
          <w:tcPr>
            <w:tcW w:w="340" w:type="dxa"/>
            <w:vAlign w:val="bottom"/>
            <w:tcBorders>
              <w:bottom w:val="single" w:sz="8" w:color="888B8D"/>
            </w:tcBorders>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(354)</w:t>
            </w:r>
          </w:p>
        </w:tc>
      </w:tr>
      <w:tr>
        <w:trPr>
          <w:trHeight w:val="196"/>
        </w:trPr>
        <w:tc>
          <w:tcPr>
            <w:tcW w:w="61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Pension and other postretirement benefit adjustments</w:t>
            </w:r>
          </w:p>
        </w:tc>
        <w:tc>
          <w:tcPr>
            <w:tcW w:w="2080" w:type="dxa"/>
            <w:vAlign w:val="bottom"/>
            <w:tcBorders>
              <w:bottom w:val="single" w:sz="8" w:color="888B8D"/>
            </w:tcBorders>
          </w:tcPr>
          <w:p>
            <w:pPr>
              <w:spacing w:after="0"/>
              <w:rPr>
                <w:sz w:val="17"/>
                <w:szCs w:val="17"/>
                <w:color w:val="auto"/>
              </w:rPr>
            </w:pPr>
          </w:p>
        </w:tc>
        <w:tc>
          <w:tcPr>
            <w:tcW w:w="840" w:type="dxa"/>
            <w:vAlign w:val="bottom"/>
            <w:tcBorders>
              <w:bottom w:val="single" w:sz="8" w:color="888B8D"/>
            </w:tcBorders>
          </w:tcPr>
          <w:p>
            <w:pPr>
              <w:jc w:val="right"/>
              <w:ind w:right="48"/>
              <w:spacing w:after="0"/>
              <w:rPr>
                <w:sz w:val="20"/>
                <w:szCs w:val="20"/>
                <w:color w:val="auto"/>
              </w:rPr>
            </w:pPr>
            <w:r>
              <w:rPr>
                <w:rFonts w:ascii="Arial" w:cs="Arial" w:eastAsia="Arial" w:hAnsi="Arial"/>
                <w:sz w:val="14"/>
                <w:szCs w:val="14"/>
                <w:color w:val="auto"/>
              </w:rPr>
              <w:t>(280)</w:t>
            </w:r>
          </w:p>
        </w:tc>
        <w:tc>
          <w:tcPr>
            <w:tcW w:w="340" w:type="dxa"/>
            <w:vAlign w:val="bottom"/>
            <w:tcBorders>
              <w:bottom w:val="single" w:sz="8" w:color="888B8D"/>
            </w:tcBorders>
          </w:tcPr>
          <w:p>
            <w:pPr>
              <w:spacing w:after="0"/>
              <w:rPr>
                <w:sz w:val="17"/>
                <w:szCs w:val="17"/>
                <w:color w:val="auto"/>
              </w:rPr>
            </w:pPr>
          </w:p>
        </w:tc>
        <w:tc>
          <w:tcPr>
            <w:tcW w:w="78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47</w:t>
            </w:r>
          </w:p>
        </w:tc>
        <w:tc>
          <w:tcPr>
            <w:tcW w:w="240" w:type="dxa"/>
            <w:vAlign w:val="bottom"/>
            <w:tcBorders>
              <w:bottom w:val="single" w:sz="8" w:color="888B8D"/>
            </w:tcBorders>
          </w:tcPr>
          <w:p>
            <w:pPr>
              <w:spacing w:after="0"/>
              <w:rPr>
                <w:sz w:val="17"/>
                <w:szCs w:val="17"/>
                <w:color w:val="auto"/>
              </w:rPr>
            </w:pPr>
          </w:p>
        </w:tc>
        <w:tc>
          <w:tcPr>
            <w:tcW w:w="78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(233)</w:t>
            </w:r>
          </w:p>
        </w:tc>
      </w:tr>
      <w:tr>
        <w:trPr>
          <w:trHeight w:val="196"/>
        </w:trPr>
        <w:tc>
          <w:tcPr>
            <w:tcW w:w="61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Changes in fair value of available for sale investments</w:t>
            </w:r>
          </w:p>
        </w:tc>
        <w:tc>
          <w:tcPr>
            <w:tcW w:w="2080" w:type="dxa"/>
            <w:vAlign w:val="bottom"/>
            <w:tcBorders>
              <w:bottom w:val="single" w:sz="8" w:color="888B8D"/>
            </w:tcBorders>
          </w:tcPr>
          <w:p>
            <w:pPr>
              <w:spacing w:after="0"/>
              <w:rPr>
                <w:sz w:val="17"/>
                <w:szCs w:val="17"/>
                <w:color w:val="auto"/>
              </w:rPr>
            </w:pPr>
          </w:p>
        </w:tc>
        <w:tc>
          <w:tcPr>
            <w:tcW w:w="840" w:type="dxa"/>
            <w:vAlign w:val="bottom"/>
            <w:tcBorders>
              <w:bottom w:val="single" w:sz="8" w:color="888B8D"/>
            </w:tcBorders>
          </w:tcPr>
          <w:p>
            <w:pPr>
              <w:jc w:val="right"/>
              <w:ind w:right="48"/>
              <w:spacing w:after="0"/>
              <w:rPr>
                <w:sz w:val="20"/>
                <w:szCs w:val="20"/>
                <w:color w:val="auto"/>
              </w:rPr>
            </w:pPr>
            <w:r>
              <w:rPr>
                <w:rFonts w:ascii="Arial" w:cs="Arial" w:eastAsia="Arial" w:hAnsi="Arial"/>
                <w:sz w:val="14"/>
                <w:szCs w:val="14"/>
                <w:color w:val="auto"/>
              </w:rPr>
              <w:t>(8)</w:t>
            </w:r>
          </w:p>
        </w:tc>
        <w:tc>
          <w:tcPr>
            <w:tcW w:w="340" w:type="dxa"/>
            <w:vAlign w:val="bottom"/>
            <w:tcBorders>
              <w:bottom w:val="single" w:sz="8" w:color="888B8D"/>
            </w:tcBorders>
          </w:tcPr>
          <w:p>
            <w:pPr>
              <w:spacing w:after="0"/>
              <w:rPr>
                <w:sz w:val="17"/>
                <w:szCs w:val="17"/>
                <w:color w:val="auto"/>
              </w:rPr>
            </w:pPr>
          </w:p>
        </w:tc>
        <w:tc>
          <w:tcPr>
            <w:tcW w:w="78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888B8D"/>
            </w:tcBorders>
          </w:tcPr>
          <w:p>
            <w:pPr>
              <w:spacing w:after="0"/>
              <w:rPr>
                <w:sz w:val="17"/>
                <w:szCs w:val="17"/>
                <w:color w:val="auto"/>
              </w:rPr>
            </w:pPr>
          </w:p>
        </w:tc>
        <w:tc>
          <w:tcPr>
            <w:tcW w:w="78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(8)</w:t>
            </w:r>
          </w:p>
        </w:tc>
      </w:tr>
      <w:tr>
        <w:trPr>
          <w:trHeight w:val="196"/>
        </w:trPr>
        <w:tc>
          <w:tcPr>
            <w:tcW w:w="61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Changes in fair value of cash flow hedges</w:t>
            </w:r>
          </w:p>
        </w:tc>
        <w:tc>
          <w:tcPr>
            <w:tcW w:w="2080" w:type="dxa"/>
            <w:vAlign w:val="bottom"/>
            <w:tcBorders>
              <w:bottom w:val="single" w:sz="8" w:color="D7282F"/>
            </w:tcBorders>
          </w:tcPr>
          <w:p>
            <w:pPr>
              <w:spacing w:after="0"/>
              <w:rPr>
                <w:sz w:val="17"/>
                <w:szCs w:val="17"/>
                <w:color w:val="auto"/>
              </w:rPr>
            </w:pPr>
          </w:p>
        </w:tc>
        <w:tc>
          <w:tcPr>
            <w:tcW w:w="8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9</w:t>
            </w:r>
          </w:p>
        </w:tc>
        <w:tc>
          <w:tcPr>
            <w:tcW w:w="34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6</w:t>
            </w:r>
          </w:p>
        </w:tc>
        <w:tc>
          <w:tcPr>
            <w:tcW w:w="24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15</w:t>
            </w:r>
          </w:p>
        </w:tc>
      </w:tr>
      <w:tr>
        <w:trPr>
          <w:trHeight w:val="199"/>
        </w:trPr>
        <w:tc>
          <w:tcPr>
            <w:tcW w:w="618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net current period other comprehensive income (loss)</w:t>
            </w:r>
          </w:p>
        </w:tc>
        <w:tc>
          <w:tcPr>
            <w:tcW w:w="20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b w:val="1"/>
                <w:bCs w:val="1"/>
                <w:color w:val="auto"/>
              </w:rPr>
              <w:t>(633)</w:t>
            </w:r>
          </w:p>
        </w:tc>
        <w:tc>
          <w:tcPr>
            <w:tcW w:w="34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53</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(580)</w:t>
            </w:r>
          </w:p>
        </w:tc>
      </w:tr>
      <w:tr>
        <w:trPr>
          <w:trHeight w:val="196"/>
        </w:trPr>
        <w:tc>
          <w:tcPr>
            <w:tcW w:w="61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Year Ended December 31, 2023</w:t>
            </w:r>
          </w:p>
        </w:tc>
        <w:tc>
          <w:tcPr>
            <w:tcW w:w="2080" w:type="dxa"/>
            <w:vAlign w:val="bottom"/>
            <w:tcBorders>
              <w:bottom w:val="single" w:sz="8" w:color="D7282F"/>
            </w:tcBorders>
          </w:tcPr>
          <w:p>
            <w:pPr>
              <w:spacing w:after="0"/>
              <w:rPr>
                <w:sz w:val="17"/>
                <w:szCs w:val="17"/>
                <w:color w:val="auto"/>
              </w:rPr>
            </w:pPr>
          </w:p>
        </w:tc>
        <w:tc>
          <w:tcPr>
            <w:tcW w:w="840" w:type="dxa"/>
            <w:vAlign w:val="bottom"/>
            <w:tcBorders>
              <w:bottom w:val="single" w:sz="8" w:color="D7282F"/>
            </w:tcBorders>
          </w:tcPr>
          <w:p>
            <w:pPr>
              <w:spacing w:after="0"/>
              <w:rPr>
                <w:sz w:val="17"/>
                <w:szCs w:val="17"/>
                <w:color w:val="auto"/>
              </w:rPr>
            </w:pPr>
          </w:p>
        </w:tc>
        <w:tc>
          <w:tcPr>
            <w:tcW w:w="34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spacing w:after="0"/>
              <w:rPr>
                <w:sz w:val="17"/>
                <w:szCs w:val="17"/>
                <w:color w:val="auto"/>
              </w:rPr>
            </w:pPr>
          </w:p>
        </w:tc>
        <w:tc>
          <w:tcPr>
            <w:tcW w:w="24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spacing w:after="0"/>
              <w:rPr>
                <w:sz w:val="17"/>
                <w:szCs w:val="17"/>
                <w:color w:val="auto"/>
              </w:rPr>
            </w:pPr>
          </w:p>
        </w:tc>
      </w:tr>
      <w:tr>
        <w:trPr>
          <w:trHeight w:val="193"/>
        </w:trPr>
        <w:tc>
          <w:tcPr>
            <w:tcW w:w="61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Foreign exchange translation adjustment</w:t>
            </w:r>
          </w:p>
        </w:tc>
        <w:tc>
          <w:tcPr>
            <w:tcW w:w="208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888B8D"/>
            </w:tcBorders>
          </w:tcPr>
          <w:p>
            <w:pPr>
              <w:jc w:val="right"/>
              <w:ind w:right="48"/>
              <w:spacing w:after="0"/>
              <w:rPr>
                <w:sz w:val="20"/>
                <w:szCs w:val="20"/>
                <w:color w:val="auto"/>
              </w:rPr>
            </w:pPr>
            <w:r>
              <w:rPr>
                <w:rFonts w:ascii="Arial" w:cs="Arial" w:eastAsia="Arial" w:hAnsi="Arial"/>
                <w:sz w:val="14"/>
                <w:szCs w:val="14"/>
                <w:color w:val="auto"/>
              </w:rPr>
              <w:t>(269)</w:t>
            </w:r>
          </w:p>
        </w:tc>
        <w:tc>
          <w:tcPr>
            <w:tcW w:w="340" w:type="dxa"/>
            <w:vAlign w:val="bottom"/>
            <w:tcBorders>
              <w:bottom w:val="single" w:sz="8" w:color="888B8D"/>
            </w:tcBorders>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(269)</w:t>
            </w:r>
          </w:p>
        </w:tc>
      </w:tr>
      <w:tr>
        <w:trPr>
          <w:trHeight w:val="196"/>
        </w:trPr>
        <w:tc>
          <w:tcPr>
            <w:tcW w:w="61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Pension and other postretirement benefit adjustments</w:t>
            </w:r>
          </w:p>
        </w:tc>
        <w:tc>
          <w:tcPr>
            <w:tcW w:w="2080" w:type="dxa"/>
            <w:vAlign w:val="bottom"/>
            <w:tcBorders>
              <w:bottom w:val="single" w:sz="8" w:color="888B8D"/>
            </w:tcBorders>
          </w:tcPr>
          <w:p>
            <w:pPr>
              <w:spacing w:after="0"/>
              <w:rPr>
                <w:sz w:val="17"/>
                <w:szCs w:val="17"/>
                <w:color w:val="auto"/>
              </w:rPr>
            </w:pPr>
          </w:p>
        </w:tc>
        <w:tc>
          <w:tcPr>
            <w:tcW w:w="840" w:type="dxa"/>
            <w:vAlign w:val="bottom"/>
            <w:tcBorders>
              <w:bottom w:val="single" w:sz="8" w:color="888B8D"/>
            </w:tcBorders>
          </w:tcPr>
          <w:p>
            <w:pPr>
              <w:jc w:val="right"/>
              <w:ind w:right="48"/>
              <w:spacing w:after="0"/>
              <w:rPr>
                <w:sz w:val="20"/>
                <w:szCs w:val="20"/>
                <w:color w:val="auto"/>
              </w:rPr>
            </w:pPr>
            <w:r>
              <w:rPr>
                <w:rFonts w:ascii="Arial" w:cs="Arial" w:eastAsia="Arial" w:hAnsi="Arial"/>
                <w:sz w:val="14"/>
                <w:szCs w:val="14"/>
                <w:color w:val="auto"/>
              </w:rPr>
              <w:t>(538)</w:t>
            </w:r>
          </w:p>
        </w:tc>
        <w:tc>
          <w:tcPr>
            <w:tcW w:w="340" w:type="dxa"/>
            <w:vAlign w:val="bottom"/>
            <w:tcBorders>
              <w:bottom w:val="single" w:sz="8" w:color="888B8D"/>
            </w:tcBorders>
          </w:tcPr>
          <w:p>
            <w:pPr>
              <w:spacing w:after="0"/>
              <w:rPr>
                <w:sz w:val="17"/>
                <w:szCs w:val="17"/>
                <w:color w:val="auto"/>
              </w:rPr>
            </w:pPr>
          </w:p>
        </w:tc>
        <w:tc>
          <w:tcPr>
            <w:tcW w:w="78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131</w:t>
            </w:r>
          </w:p>
        </w:tc>
        <w:tc>
          <w:tcPr>
            <w:tcW w:w="240" w:type="dxa"/>
            <w:vAlign w:val="bottom"/>
            <w:tcBorders>
              <w:bottom w:val="single" w:sz="8" w:color="888B8D"/>
            </w:tcBorders>
          </w:tcPr>
          <w:p>
            <w:pPr>
              <w:spacing w:after="0"/>
              <w:rPr>
                <w:sz w:val="17"/>
                <w:szCs w:val="17"/>
                <w:color w:val="auto"/>
              </w:rPr>
            </w:pPr>
          </w:p>
        </w:tc>
        <w:tc>
          <w:tcPr>
            <w:tcW w:w="78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(407)</w:t>
            </w:r>
          </w:p>
        </w:tc>
      </w:tr>
      <w:tr>
        <w:trPr>
          <w:trHeight w:val="196"/>
        </w:trPr>
        <w:tc>
          <w:tcPr>
            <w:tcW w:w="61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Changes in fair value of available for sale investments</w:t>
            </w:r>
          </w:p>
        </w:tc>
        <w:tc>
          <w:tcPr>
            <w:tcW w:w="2080" w:type="dxa"/>
            <w:vAlign w:val="bottom"/>
            <w:tcBorders>
              <w:bottom w:val="single" w:sz="8" w:color="888B8D"/>
            </w:tcBorders>
          </w:tcPr>
          <w:p>
            <w:pPr>
              <w:spacing w:after="0"/>
              <w:rPr>
                <w:sz w:val="17"/>
                <w:szCs w:val="17"/>
                <w:color w:val="auto"/>
              </w:rPr>
            </w:pPr>
          </w:p>
        </w:tc>
        <w:tc>
          <w:tcPr>
            <w:tcW w:w="84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5</w:t>
            </w:r>
          </w:p>
        </w:tc>
        <w:tc>
          <w:tcPr>
            <w:tcW w:w="340" w:type="dxa"/>
            <w:vAlign w:val="bottom"/>
            <w:tcBorders>
              <w:bottom w:val="single" w:sz="8" w:color="888B8D"/>
            </w:tcBorders>
          </w:tcPr>
          <w:p>
            <w:pPr>
              <w:spacing w:after="0"/>
              <w:rPr>
                <w:sz w:val="17"/>
                <w:szCs w:val="17"/>
                <w:color w:val="auto"/>
              </w:rPr>
            </w:pPr>
          </w:p>
        </w:tc>
        <w:tc>
          <w:tcPr>
            <w:tcW w:w="78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888B8D"/>
            </w:tcBorders>
          </w:tcPr>
          <w:p>
            <w:pPr>
              <w:spacing w:after="0"/>
              <w:rPr>
                <w:sz w:val="17"/>
                <w:szCs w:val="17"/>
                <w:color w:val="auto"/>
              </w:rPr>
            </w:pPr>
          </w:p>
        </w:tc>
        <w:tc>
          <w:tcPr>
            <w:tcW w:w="78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5</w:t>
            </w:r>
          </w:p>
        </w:tc>
      </w:tr>
      <w:tr>
        <w:trPr>
          <w:trHeight w:val="196"/>
        </w:trPr>
        <w:tc>
          <w:tcPr>
            <w:tcW w:w="61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Changes in fair value of cash flow hedges</w:t>
            </w:r>
          </w:p>
        </w:tc>
        <w:tc>
          <w:tcPr>
            <w:tcW w:w="2080" w:type="dxa"/>
            <w:vAlign w:val="bottom"/>
            <w:tcBorders>
              <w:bottom w:val="single" w:sz="8" w:color="D7282F"/>
            </w:tcBorders>
          </w:tcPr>
          <w:p>
            <w:pPr>
              <w:spacing w:after="0"/>
              <w:rPr>
                <w:sz w:val="17"/>
                <w:szCs w:val="17"/>
                <w:color w:val="auto"/>
              </w:rPr>
            </w:pPr>
          </w:p>
        </w:tc>
        <w:tc>
          <w:tcPr>
            <w:tcW w:w="8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17</w:t>
            </w:r>
          </w:p>
        </w:tc>
        <w:tc>
          <w:tcPr>
            <w:tcW w:w="34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color w:val="auto"/>
              </w:rPr>
              <w:t>(6)</w:t>
            </w:r>
          </w:p>
        </w:tc>
        <w:tc>
          <w:tcPr>
            <w:tcW w:w="24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11</w:t>
            </w:r>
          </w:p>
        </w:tc>
      </w:tr>
      <w:tr>
        <w:trPr>
          <w:trHeight w:val="199"/>
        </w:trPr>
        <w:tc>
          <w:tcPr>
            <w:tcW w:w="6180" w:type="dxa"/>
            <w:vAlign w:val="bottom"/>
            <w:tcBorders>
              <w:bottom w:val="single" w:sz="8" w:color="D7282F"/>
            </w:tcBorders>
          </w:tcPr>
          <w:p>
            <w:pPr>
              <w:ind w:left="180"/>
              <w:spacing w:after="0"/>
              <w:rPr>
                <w:sz w:val="20"/>
                <w:szCs w:val="20"/>
                <w:color w:val="auto"/>
              </w:rPr>
            </w:pPr>
            <w:r>
              <w:rPr>
                <w:rFonts w:ascii="Arial" w:cs="Arial" w:eastAsia="Arial" w:hAnsi="Arial"/>
                <w:sz w:val="14"/>
                <w:szCs w:val="14"/>
                <w:b w:val="1"/>
                <w:bCs w:val="1"/>
                <w:color w:val="auto"/>
              </w:rPr>
              <w:t>Total net current period other comprehensive income (loss)</w:t>
            </w:r>
          </w:p>
        </w:tc>
        <w:tc>
          <w:tcPr>
            <w:tcW w:w="20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b w:val="1"/>
                <w:bCs w:val="1"/>
                <w:color w:val="auto"/>
              </w:rPr>
              <w:t>(785)</w:t>
            </w:r>
          </w:p>
        </w:tc>
        <w:tc>
          <w:tcPr>
            <w:tcW w:w="34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125</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(660)</w:t>
            </w:r>
          </w:p>
        </w:tc>
      </w:tr>
      <w:tr>
        <w:trPr>
          <w:trHeight w:val="196"/>
        </w:trPr>
        <w:tc>
          <w:tcPr>
            <w:tcW w:w="61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Year Ended December 31, 2024</w:t>
            </w:r>
          </w:p>
        </w:tc>
        <w:tc>
          <w:tcPr>
            <w:tcW w:w="2080" w:type="dxa"/>
            <w:vAlign w:val="bottom"/>
            <w:tcBorders>
              <w:bottom w:val="single" w:sz="8" w:color="D7282F"/>
            </w:tcBorders>
          </w:tcPr>
          <w:p>
            <w:pPr>
              <w:spacing w:after="0"/>
              <w:rPr>
                <w:sz w:val="17"/>
                <w:szCs w:val="17"/>
                <w:color w:val="auto"/>
              </w:rPr>
            </w:pPr>
          </w:p>
        </w:tc>
        <w:tc>
          <w:tcPr>
            <w:tcW w:w="840" w:type="dxa"/>
            <w:vAlign w:val="bottom"/>
            <w:tcBorders>
              <w:bottom w:val="single" w:sz="8" w:color="D7282F"/>
            </w:tcBorders>
          </w:tcPr>
          <w:p>
            <w:pPr>
              <w:spacing w:after="0"/>
              <w:rPr>
                <w:sz w:val="17"/>
                <w:szCs w:val="17"/>
                <w:color w:val="auto"/>
              </w:rPr>
            </w:pPr>
          </w:p>
        </w:tc>
        <w:tc>
          <w:tcPr>
            <w:tcW w:w="34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spacing w:after="0"/>
              <w:rPr>
                <w:sz w:val="17"/>
                <w:szCs w:val="17"/>
                <w:color w:val="auto"/>
              </w:rPr>
            </w:pPr>
          </w:p>
        </w:tc>
        <w:tc>
          <w:tcPr>
            <w:tcW w:w="24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spacing w:after="0"/>
              <w:rPr>
                <w:sz w:val="17"/>
                <w:szCs w:val="17"/>
                <w:color w:val="auto"/>
              </w:rPr>
            </w:pPr>
          </w:p>
        </w:tc>
      </w:tr>
      <w:tr>
        <w:trPr>
          <w:trHeight w:val="193"/>
        </w:trPr>
        <w:tc>
          <w:tcPr>
            <w:tcW w:w="61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Foreign exchange translation adjustment</w:t>
            </w:r>
          </w:p>
        </w:tc>
        <w:tc>
          <w:tcPr>
            <w:tcW w:w="208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229</w:t>
            </w:r>
          </w:p>
        </w:tc>
        <w:tc>
          <w:tcPr>
            <w:tcW w:w="340" w:type="dxa"/>
            <w:vAlign w:val="bottom"/>
            <w:tcBorders>
              <w:bottom w:val="single" w:sz="8" w:color="888B8D"/>
            </w:tcBorders>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229</w:t>
            </w:r>
          </w:p>
        </w:tc>
      </w:tr>
      <w:tr>
        <w:trPr>
          <w:trHeight w:val="196"/>
        </w:trPr>
        <w:tc>
          <w:tcPr>
            <w:tcW w:w="61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Pension and other postretirement benefit adjustments</w:t>
            </w:r>
          </w:p>
        </w:tc>
        <w:tc>
          <w:tcPr>
            <w:tcW w:w="2080" w:type="dxa"/>
            <w:vAlign w:val="bottom"/>
            <w:tcBorders>
              <w:bottom w:val="single" w:sz="8" w:color="888B8D"/>
            </w:tcBorders>
          </w:tcPr>
          <w:p>
            <w:pPr>
              <w:spacing w:after="0"/>
              <w:rPr>
                <w:sz w:val="17"/>
                <w:szCs w:val="17"/>
                <w:color w:val="auto"/>
              </w:rPr>
            </w:pPr>
          </w:p>
        </w:tc>
        <w:tc>
          <w:tcPr>
            <w:tcW w:w="84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542</w:t>
            </w:r>
          </w:p>
        </w:tc>
        <w:tc>
          <w:tcPr>
            <w:tcW w:w="340" w:type="dxa"/>
            <w:vAlign w:val="bottom"/>
            <w:tcBorders>
              <w:bottom w:val="single" w:sz="8" w:color="888B8D"/>
            </w:tcBorders>
          </w:tcPr>
          <w:p>
            <w:pPr>
              <w:spacing w:after="0"/>
              <w:rPr>
                <w:sz w:val="17"/>
                <w:szCs w:val="17"/>
                <w:color w:val="auto"/>
              </w:rPr>
            </w:pPr>
          </w:p>
        </w:tc>
        <w:tc>
          <w:tcPr>
            <w:tcW w:w="780" w:type="dxa"/>
            <w:vAlign w:val="bottom"/>
            <w:tcBorders>
              <w:bottom w:val="single" w:sz="8" w:color="888B8D"/>
            </w:tcBorders>
          </w:tcPr>
          <w:p>
            <w:pPr>
              <w:jc w:val="right"/>
              <w:ind w:right="48"/>
              <w:spacing w:after="0"/>
              <w:rPr>
                <w:sz w:val="20"/>
                <w:szCs w:val="20"/>
                <w:color w:val="auto"/>
              </w:rPr>
            </w:pPr>
            <w:r>
              <w:rPr>
                <w:rFonts w:ascii="Arial" w:cs="Arial" w:eastAsia="Arial" w:hAnsi="Arial"/>
                <w:sz w:val="14"/>
                <w:szCs w:val="14"/>
                <w:color w:val="auto"/>
              </w:rPr>
              <w:t>(129)</w:t>
            </w:r>
          </w:p>
        </w:tc>
        <w:tc>
          <w:tcPr>
            <w:tcW w:w="240" w:type="dxa"/>
            <w:vAlign w:val="bottom"/>
            <w:tcBorders>
              <w:bottom w:val="single" w:sz="8" w:color="888B8D"/>
            </w:tcBorders>
          </w:tcPr>
          <w:p>
            <w:pPr>
              <w:spacing w:after="0"/>
              <w:rPr>
                <w:sz w:val="17"/>
                <w:szCs w:val="17"/>
                <w:color w:val="auto"/>
              </w:rPr>
            </w:pPr>
          </w:p>
        </w:tc>
        <w:tc>
          <w:tcPr>
            <w:tcW w:w="78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413</w:t>
            </w:r>
          </w:p>
        </w:tc>
      </w:tr>
      <w:tr>
        <w:trPr>
          <w:trHeight w:val="196"/>
        </w:trPr>
        <w:tc>
          <w:tcPr>
            <w:tcW w:w="61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Changes in fair value of available for sale investments</w:t>
            </w:r>
          </w:p>
        </w:tc>
        <w:tc>
          <w:tcPr>
            <w:tcW w:w="2080" w:type="dxa"/>
            <w:vAlign w:val="bottom"/>
            <w:tcBorders>
              <w:bottom w:val="single" w:sz="8" w:color="888B8D"/>
            </w:tcBorders>
          </w:tcPr>
          <w:p>
            <w:pPr>
              <w:spacing w:after="0"/>
              <w:rPr>
                <w:sz w:val="17"/>
                <w:szCs w:val="17"/>
                <w:color w:val="auto"/>
              </w:rPr>
            </w:pPr>
          </w:p>
        </w:tc>
        <w:tc>
          <w:tcPr>
            <w:tcW w:w="84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1</w:t>
            </w:r>
          </w:p>
        </w:tc>
        <w:tc>
          <w:tcPr>
            <w:tcW w:w="340" w:type="dxa"/>
            <w:vAlign w:val="bottom"/>
            <w:tcBorders>
              <w:bottom w:val="single" w:sz="8" w:color="888B8D"/>
            </w:tcBorders>
          </w:tcPr>
          <w:p>
            <w:pPr>
              <w:spacing w:after="0"/>
              <w:rPr>
                <w:sz w:val="17"/>
                <w:szCs w:val="17"/>
                <w:color w:val="auto"/>
              </w:rPr>
            </w:pPr>
          </w:p>
        </w:tc>
        <w:tc>
          <w:tcPr>
            <w:tcW w:w="78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888B8D"/>
            </w:tcBorders>
          </w:tcPr>
          <w:p>
            <w:pPr>
              <w:spacing w:after="0"/>
              <w:rPr>
                <w:sz w:val="17"/>
                <w:szCs w:val="17"/>
                <w:color w:val="auto"/>
              </w:rPr>
            </w:pPr>
          </w:p>
        </w:tc>
        <w:tc>
          <w:tcPr>
            <w:tcW w:w="78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w:t>
            </w:r>
          </w:p>
        </w:tc>
      </w:tr>
      <w:tr>
        <w:trPr>
          <w:trHeight w:val="196"/>
        </w:trPr>
        <w:tc>
          <w:tcPr>
            <w:tcW w:w="61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Changes in fair value of cash flow hedges</w:t>
            </w:r>
          </w:p>
        </w:tc>
        <w:tc>
          <w:tcPr>
            <w:tcW w:w="2080" w:type="dxa"/>
            <w:vAlign w:val="bottom"/>
            <w:tcBorders>
              <w:bottom w:val="single" w:sz="8" w:color="D7282F"/>
            </w:tcBorders>
          </w:tcPr>
          <w:p>
            <w:pPr>
              <w:spacing w:after="0"/>
              <w:rPr>
                <w:sz w:val="17"/>
                <w:szCs w:val="17"/>
                <w:color w:val="auto"/>
              </w:rPr>
            </w:pPr>
          </w:p>
        </w:tc>
        <w:tc>
          <w:tcPr>
            <w:tcW w:w="84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color w:val="auto"/>
              </w:rPr>
              <w:t>(8)</w:t>
            </w:r>
          </w:p>
        </w:tc>
        <w:tc>
          <w:tcPr>
            <w:tcW w:w="34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9</w:t>
            </w:r>
          </w:p>
        </w:tc>
        <w:tc>
          <w:tcPr>
            <w:tcW w:w="24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w:t>
            </w:r>
          </w:p>
        </w:tc>
      </w:tr>
      <w:tr>
        <w:trPr>
          <w:trHeight w:val="199"/>
        </w:trPr>
        <w:tc>
          <w:tcPr>
            <w:tcW w:w="618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net current period other comprehensive income (loss)</w:t>
            </w:r>
          </w:p>
        </w:tc>
        <w:tc>
          <w:tcPr>
            <w:tcW w:w="20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764</w:t>
            </w:r>
          </w:p>
        </w:tc>
        <w:tc>
          <w:tcPr>
            <w:tcW w:w="34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b w:val="1"/>
                <w:bCs w:val="1"/>
                <w:color w:val="auto"/>
              </w:rPr>
              <w:t>(120)</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644</w:t>
            </w:r>
          </w:p>
        </w:tc>
      </w:tr>
    </w:tbl>
    <w:p>
      <w:pPr>
        <w:spacing w:after="0" w:line="30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COMPONENTS OF ACCUMULATED OTHER COMPREHENSIVE LOSS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480" w:type="dxa"/>
            <w:vAlign w:val="bottom"/>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gridSpan w:val="3"/>
          </w:tcPr>
          <w:p>
            <w:pPr>
              <w:jc w:val="right"/>
              <w:ind w:right="348"/>
              <w:spacing w:after="0"/>
              <w:rPr>
                <w:sz w:val="20"/>
                <w:szCs w:val="20"/>
                <w:color w:val="auto"/>
              </w:rPr>
            </w:pPr>
            <w:r>
              <w:rPr>
                <w:rFonts w:ascii="Arial" w:cs="Arial" w:eastAsia="Arial" w:hAnsi="Arial"/>
                <w:sz w:val="14"/>
                <w:szCs w:val="14"/>
                <w:b w:val="1"/>
                <w:bCs w:val="1"/>
                <w:color w:val="auto"/>
              </w:rPr>
              <w:t>December 31,</w:t>
            </w:r>
          </w:p>
        </w:tc>
      </w:tr>
      <w:tr>
        <w:trPr>
          <w:trHeight w:val="236"/>
        </w:trPr>
        <w:tc>
          <w:tcPr>
            <w:tcW w:w="9480" w:type="dxa"/>
            <w:vAlign w:val="bottom"/>
            <w:tcBorders>
              <w:bottom w:val="single" w:sz="8" w:color="D7282F"/>
            </w:tcBorders>
          </w:tcPr>
          <w:p>
            <w:pPr>
              <w:spacing w:after="0"/>
              <w:rPr>
                <w:sz w:val="20"/>
                <w:szCs w:val="20"/>
                <w:color w:val="auto"/>
              </w:rPr>
            </w:pPr>
          </w:p>
        </w:tc>
        <w:tc>
          <w:tcPr>
            <w:tcW w:w="160" w:type="dxa"/>
            <w:vAlign w:val="bottom"/>
            <w:tcBorders>
              <w:bottom w:val="single" w:sz="8" w:color="D7282F"/>
            </w:tcBorders>
          </w:tcPr>
          <w:p>
            <w:pPr>
              <w:spacing w:after="0"/>
              <w:rPr>
                <w:sz w:val="20"/>
                <w:szCs w:val="20"/>
                <w:color w:val="auto"/>
              </w:rPr>
            </w:pPr>
          </w:p>
        </w:tc>
        <w:tc>
          <w:tcPr>
            <w:tcW w:w="72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2024</w:t>
            </w:r>
          </w:p>
        </w:tc>
        <w:tc>
          <w:tcPr>
            <w:tcW w:w="280" w:type="dxa"/>
            <w:vAlign w:val="bottom"/>
            <w:tcBorders>
              <w:bottom w:val="single" w:sz="8" w:color="D7282F"/>
            </w:tcBorders>
          </w:tcPr>
          <w:p>
            <w:pPr>
              <w:spacing w:after="0"/>
              <w:rPr>
                <w:sz w:val="20"/>
                <w:szCs w:val="20"/>
                <w:color w:val="auto"/>
              </w:rPr>
            </w:pPr>
          </w:p>
        </w:tc>
        <w:tc>
          <w:tcPr>
            <w:tcW w:w="60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2023</w:t>
            </w:r>
          </w:p>
        </w:tc>
      </w:tr>
      <w:tr>
        <w:trPr>
          <w:trHeight w:val="193"/>
        </w:trPr>
        <w:tc>
          <w:tcPr>
            <w:tcW w:w="9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Cumulative foreign exchange translation adjustment</w:t>
            </w:r>
          </w:p>
        </w:tc>
        <w:tc>
          <w:tcPr>
            <w:tcW w:w="160" w:type="dxa"/>
            <w:vAlign w:val="bottom"/>
            <w:tcBorders>
              <w:bottom w:val="single" w:sz="8" w:color="888B8D"/>
            </w:tcBorders>
          </w:tcPr>
          <w:p>
            <w:pPr>
              <w:jc w:val="right"/>
              <w:ind w:right="8"/>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(2,872)</w:t>
            </w:r>
          </w:p>
        </w:tc>
        <w:tc>
          <w:tcPr>
            <w:tcW w:w="280" w:type="dxa"/>
            <w:vAlign w:val="bottom"/>
            <w:tcBorders>
              <w:bottom w:val="single" w:sz="8" w:color="888B8D"/>
            </w:tcBorders>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(3,101)</w:t>
            </w:r>
          </w:p>
        </w:tc>
      </w:tr>
      <w:tr>
        <w:trPr>
          <w:trHeight w:val="196"/>
        </w:trPr>
        <w:tc>
          <w:tcPr>
            <w:tcW w:w="9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Pension and other postretirement benefit adjustments</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(642)</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(1,055)</w:t>
            </w:r>
          </w:p>
        </w:tc>
      </w:tr>
      <w:tr>
        <w:trPr>
          <w:trHeight w:val="196"/>
        </w:trPr>
        <w:tc>
          <w:tcPr>
            <w:tcW w:w="9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Fair value adjustments of available for sale investments</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(1)</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(2)</w:t>
            </w:r>
          </w:p>
        </w:tc>
      </w:tr>
      <w:tr>
        <w:trPr>
          <w:trHeight w:val="196"/>
        </w:trPr>
        <w:tc>
          <w:tcPr>
            <w:tcW w:w="94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Fair value adjustments of cash flow hedges</w:t>
            </w:r>
          </w:p>
        </w:tc>
        <w:tc>
          <w:tcPr>
            <w:tcW w:w="1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24</w:t>
            </w:r>
          </w:p>
        </w:tc>
        <w:tc>
          <w:tcPr>
            <w:tcW w:w="28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23</w:t>
            </w:r>
          </w:p>
        </w:tc>
      </w:tr>
      <w:tr>
        <w:trPr>
          <w:trHeight w:val="199"/>
        </w:trPr>
        <w:tc>
          <w:tcPr>
            <w:tcW w:w="948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Accumulated other comprehensive loss</w:t>
            </w:r>
          </w:p>
        </w:tc>
        <w:tc>
          <w:tcPr>
            <w:tcW w:w="16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7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(3,491)</w:t>
            </w:r>
          </w:p>
        </w:tc>
        <w:tc>
          <w:tcPr>
            <w:tcW w:w="2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(4,135)</w:t>
            </w:r>
          </w:p>
        </w:tc>
      </w:tr>
    </w:tbl>
    <w:p>
      <w:pPr>
        <w:spacing w:after="0" w:line="200" w:lineRule="exact"/>
        <w:rPr>
          <w:sz w:val="20"/>
          <w:szCs w:val="20"/>
          <w:color w:val="auto"/>
        </w:rPr>
      </w:pPr>
    </w:p>
    <w:p>
      <w:pPr>
        <w:spacing w:after="0" w:line="30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D7282F"/>
        </w:rPr>
        <w:t>92</w:t>
      </w:r>
      <w:r>
        <w:rPr>
          <w:sz w:val="20"/>
          <w:szCs w:val="20"/>
          <w:color w:val="auto"/>
        </w:rPr>
        <w:tab/>
      </w: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94" w:name="page95"/>
    <w:bookmarkEnd w:id="94"/>
    <w:p>
      <w:pPr>
        <w:ind w:left="20"/>
        <w:spacing w:after="0"/>
        <w:tabs>
          <w:tab w:leader="none" w:pos="784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FINANCIAL STATEMENTS AND SUPPLEMENTARY DATA</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CHANGES IN ACCUMULATED OTHER COMPREHENSIVE LOSS BY COMPONENT</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vMerge w:val="restart"/>
          </w:tcPr>
          <w:p>
            <w:pPr>
              <w:jc w:val="center"/>
              <w:ind w:right="168"/>
              <w:spacing w:after="0"/>
              <w:rPr>
                <w:sz w:val="20"/>
                <w:szCs w:val="20"/>
                <w:color w:val="auto"/>
              </w:rPr>
            </w:pPr>
            <w:r>
              <w:rPr>
                <w:rFonts w:ascii="Arial" w:cs="Arial" w:eastAsia="Arial" w:hAnsi="Arial"/>
                <w:sz w:val="14"/>
                <w:szCs w:val="14"/>
                <w:b w:val="1"/>
                <w:bCs w:val="1"/>
                <w:color w:val="auto"/>
              </w:rPr>
              <w:t>Foreign</w:t>
            </w:r>
          </w:p>
        </w:tc>
        <w:tc>
          <w:tcPr>
            <w:tcW w:w="240" w:type="dxa"/>
            <w:vAlign w:val="bottom"/>
          </w:tcPr>
          <w:p>
            <w:pPr>
              <w:spacing w:after="0"/>
              <w:rPr>
                <w:sz w:val="14"/>
                <w:szCs w:val="14"/>
                <w:color w:val="auto"/>
              </w:rPr>
            </w:pPr>
          </w:p>
        </w:tc>
        <w:tc>
          <w:tcPr>
            <w:tcW w:w="1340" w:type="dxa"/>
            <w:vAlign w:val="bottom"/>
          </w:tcPr>
          <w:p>
            <w:pPr>
              <w:jc w:val="center"/>
              <w:ind w:right="148"/>
              <w:spacing w:after="0"/>
              <w:rPr>
                <w:sz w:val="20"/>
                <w:szCs w:val="20"/>
                <w:color w:val="auto"/>
              </w:rPr>
            </w:pPr>
            <w:r>
              <w:rPr>
                <w:rFonts w:ascii="Arial" w:cs="Arial" w:eastAsia="Arial" w:hAnsi="Arial"/>
                <w:sz w:val="14"/>
                <w:szCs w:val="14"/>
                <w:b w:val="1"/>
                <w:bCs w:val="1"/>
                <w:color w:val="auto"/>
              </w:rPr>
              <w:t>Pension</w:t>
            </w:r>
          </w:p>
        </w:tc>
        <w:tc>
          <w:tcPr>
            <w:tcW w:w="260" w:type="dxa"/>
            <w:vAlign w:val="bottom"/>
          </w:tcPr>
          <w:p>
            <w:pPr>
              <w:spacing w:after="0"/>
              <w:rPr>
                <w:sz w:val="14"/>
                <w:szCs w:val="14"/>
                <w:color w:val="auto"/>
              </w:rPr>
            </w:pPr>
          </w:p>
        </w:tc>
        <w:tc>
          <w:tcPr>
            <w:tcW w:w="1160" w:type="dxa"/>
            <w:vAlign w:val="bottom"/>
          </w:tcPr>
          <w:p>
            <w:pPr>
              <w:jc w:val="center"/>
              <w:ind w:right="188"/>
              <w:spacing w:after="0"/>
              <w:rPr>
                <w:sz w:val="20"/>
                <w:szCs w:val="20"/>
                <w:color w:val="auto"/>
              </w:rPr>
            </w:pPr>
            <w:r>
              <w:rPr>
                <w:rFonts w:ascii="Arial" w:cs="Arial" w:eastAsia="Arial" w:hAnsi="Arial"/>
                <w:sz w:val="14"/>
                <w:szCs w:val="14"/>
                <w:b w:val="1"/>
                <w:bCs w:val="1"/>
                <w:color w:val="auto"/>
              </w:rPr>
              <w:t>Changes in</w:t>
            </w:r>
          </w:p>
        </w:tc>
        <w:tc>
          <w:tcPr>
            <w:tcW w:w="240" w:type="dxa"/>
            <w:vAlign w:val="bottom"/>
          </w:tcPr>
          <w:p>
            <w:pPr>
              <w:spacing w:after="0"/>
              <w:rPr>
                <w:sz w:val="14"/>
                <w:szCs w:val="14"/>
                <w:color w:val="auto"/>
              </w:rPr>
            </w:pPr>
          </w:p>
        </w:tc>
        <w:tc>
          <w:tcPr>
            <w:tcW w:w="1140" w:type="dxa"/>
            <w:vAlign w:val="bottom"/>
            <w:vMerge w:val="restart"/>
          </w:tcPr>
          <w:p>
            <w:pPr>
              <w:jc w:val="center"/>
              <w:ind w:right="168"/>
              <w:spacing w:after="0"/>
              <w:rPr>
                <w:sz w:val="20"/>
                <w:szCs w:val="20"/>
                <w:color w:val="auto"/>
              </w:rPr>
            </w:pPr>
            <w:r>
              <w:rPr>
                <w:rFonts w:ascii="Arial" w:cs="Arial" w:eastAsia="Arial" w:hAnsi="Arial"/>
                <w:sz w:val="14"/>
                <w:szCs w:val="14"/>
                <w:b w:val="1"/>
                <w:bCs w:val="1"/>
                <w:color w:val="auto"/>
              </w:rPr>
              <w:t>Changes in</w:t>
            </w: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4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jc w:val="center"/>
              <w:ind w:right="148"/>
              <w:spacing w:after="0" w:line="145" w:lineRule="exact"/>
              <w:rPr>
                <w:sz w:val="20"/>
                <w:szCs w:val="20"/>
                <w:color w:val="auto"/>
              </w:rPr>
            </w:pPr>
            <w:r>
              <w:rPr>
                <w:rFonts w:ascii="Arial" w:cs="Arial" w:eastAsia="Arial" w:hAnsi="Arial"/>
                <w:sz w:val="14"/>
                <w:szCs w:val="14"/>
                <w:b w:val="1"/>
                <w:bCs w:val="1"/>
                <w:color w:val="auto"/>
              </w:rPr>
              <w:t>and Other</w:t>
            </w:r>
          </w:p>
        </w:tc>
        <w:tc>
          <w:tcPr>
            <w:tcW w:w="260" w:type="dxa"/>
            <w:vAlign w:val="bottom"/>
          </w:tcPr>
          <w:p>
            <w:pPr>
              <w:spacing w:after="0"/>
              <w:rPr>
                <w:sz w:val="12"/>
                <w:szCs w:val="12"/>
                <w:color w:val="auto"/>
              </w:rPr>
            </w:pPr>
          </w:p>
        </w:tc>
        <w:tc>
          <w:tcPr>
            <w:tcW w:w="1160" w:type="dxa"/>
            <w:vAlign w:val="bottom"/>
          </w:tcPr>
          <w:p>
            <w:pPr>
              <w:jc w:val="center"/>
              <w:ind w:right="168"/>
              <w:spacing w:after="0" w:line="145" w:lineRule="exact"/>
              <w:rPr>
                <w:sz w:val="20"/>
                <w:szCs w:val="20"/>
                <w:color w:val="auto"/>
              </w:rPr>
            </w:pPr>
            <w:r>
              <w:rPr>
                <w:rFonts w:ascii="Arial" w:cs="Arial" w:eastAsia="Arial" w:hAnsi="Arial"/>
                <w:sz w:val="14"/>
                <w:szCs w:val="14"/>
                <w:b w:val="1"/>
                <w:bCs w:val="1"/>
                <w:color w:val="auto"/>
              </w:rPr>
              <w:t>Fair Value</w:t>
            </w:r>
          </w:p>
        </w:tc>
        <w:tc>
          <w:tcPr>
            <w:tcW w:w="2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80" w:type="dxa"/>
            <w:vAlign w:val="bottom"/>
          </w:tcPr>
          <w:p>
            <w:pPr>
              <w:jc w:val="center"/>
              <w:ind w:right="168"/>
              <w:spacing w:after="0" w:line="135" w:lineRule="exact"/>
              <w:rPr>
                <w:sz w:val="20"/>
                <w:szCs w:val="20"/>
                <w:color w:val="auto"/>
              </w:rPr>
            </w:pPr>
            <w:r>
              <w:rPr>
                <w:rFonts w:ascii="Arial" w:cs="Arial" w:eastAsia="Arial" w:hAnsi="Arial"/>
                <w:sz w:val="14"/>
                <w:szCs w:val="14"/>
                <w:b w:val="1"/>
                <w:bCs w:val="1"/>
                <w:color w:val="auto"/>
              </w:rPr>
              <w:t>Exchange</w:t>
            </w:r>
          </w:p>
        </w:tc>
        <w:tc>
          <w:tcPr>
            <w:tcW w:w="240" w:type="dxa"/>
            <w:vAlign w:val="bottom"/>
          </w:tcPr>
          <w:p>
            <w:pPr>
              <w:spacing w:after="0"/>
              <w:rPr>
                <w:sz w:val="11"/>
                <w:szCs w:val="11"/>
                <w:color w:val="auto"/>
              </w:rPr>
            </w:pPr>
          </w:p>
        </w:tc>
        <w:tc>
          <w:tcPr>
            <w:tcW w:w="1340" w:type="dxa"/>
            <w:vAlign w:val="bottom"/>
          </w:tcPr>
          <w:p>
            <w:pPr>
              <w:jc w:val="center"/>
              <w:ind w:right="168"/>
              <w:spacing w:after="0" w:line="135" w:lineRule="exact"/>
              <w:rPr>
                <w:sz w:val="20"/>
                <w:szCs w:val="20"/>
                <w:color w:val="auto"/>
              </w:rPr>
            </w:pPr>
            <w:r>
              <w:rPr>
                <w:rFonts w:ascii="Arial" w:cs="Arial" w:eastAsia="Arial" w:hAnsi="Arial"/>
                <w:sz w:val="14"/>
                <w:szCs w:val="14"/>
                <w:b w:val="1"/>
                <w:bCs w:val="1"/>
                <w:color w:val="auto"/>
              </w:rPr>
              <w:t>Postretirement</w:t>
            </w:r>
          </w:p>
        </w:tc>
        <w:tc>
          <w:tcPr>
            <w:tcW w:w="260" w:type="dxa"/>
            <w:vAlign w:val="bottom"/>
          </w:tcPr>
          <w:p>
            <w:pPr>
              <w:spacing w:after="0"/>
              <w:rPr>
                <w:sz w:val="11"/>
                <w:szCs w:val="11"/>
                <w:color w:val="auto"/>
              </w:rPr>
            </w:pPr>
          </w:p>
        </w:tc>
        <w:tc>
          <w:tcPr>
            <w:tcW w:w="1160" w:type="dxa"/>
            <w:vAlign w:val="bottom"/>
          </w:tcPr>
          <w:p>
            <w:pPr>
              <w:jc w:val="center"/>
              <w:ind w:right="188"/>
              <w:spacing w:after="0" w:line="135" w:lineRule="exact"/>
              <w:rPr>
                <w:sz w:val="20"/>
                <w:szCs w:val="20"/>
                <w:color w:val="auto"/>
              </w:rPr>
            </w:pPr>
            <w:r>
              <w:rPr>
                <w:rFonts w:ascii="Arial" w:cs="Arial" w:eastAsia="Arial" w:hAnsi="Arial"/>
                <w:sz w:val="14"/>
                <w:szCs w:val="14"/>
                <w:b w:val="1"/>
                <w:bCs w:val="1"/>
                <w:color w:val="auto"/>
              </w:rPr>
              <w:t>of Available</w:t>
            </w:r>
          </w:p>
        </w:tc>
        <w:tc>
          <w:tcPr>
            <w:tcW w:w="240" w:type="dxa"/>
            <w:vAlign w:val="bottom"/>
          </w:tcPr>
          <w:p>
            <w:pPr>
              <w:spacing w:after="0"/>
              <w:rPr>
                <w:sz w:val="11"/>
                <w:szCs w:val="11"/>
                <w:color w:val="auto"/>
              </w:rPr>
            </w:pPr>
          </w:p>
        </w:tc>
        <w:tc>
          <w:tcPr>
            <w:tcW w:w="1140" w:type="dxa"/>
            <w:vAlign w:val="bottom"/>
          </w:tcPr>
          <w:p>
            <w:pPr>
              <w:jc w:val="center"/>
              <w:ind w:right="168"/>
              <w:spacing w:after="0" w:line="135" w:lineRule="exact"/>
              <w:rPr>
                <w:sz w:val="20"/>
                <w:szCs w:val="20"/>
                <w:color w:val="auto"/>
              </w:rPr>
            </w:pPr>
            <w:r>
              <w:rPr>
                <w:rFonts w:ascii="Arial" w:cs="Arial" w:eastAsia="Arial" w:hAnsi="Arial"/>
                <w:sz w:val="14"/>
                <w:szCs w:val="14"/>
                <w:b w:val="1"/>
                <w:bCs w:val="1"/>
                <w:color w:val="auto"/>
              </w:rPr>
              <w:t>Fair Value of</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jc w:val="center"/>
              <w:ind w:right="168"/>
              <w:spacing w:after="0" w:line="149" w:lineRule="exact"/>
              <w:rPr>
                <w:sz w:val="20"/>
                <w:szCs w:val="20"/>
                <w:color w:val="auto"/>
              </w:rPr>
            </w:pPr>
            <w:r>
              <w:rPr>
                <w:rFonts w:ascii="Arial" w:cs="Arial" w:eastAsia="Arial" w:hAnsi="Arial"/>
                <w:sz w:val="14"/>
                <w:szCs w:val="14"/>
                <w:b w:val="1"/>
                <w:bCs w:val="1"/>
                <w:color w:val="auto"/>
              </w:rPr>
              <w:t>Translation</w:t>
            </w:r>
          </w:p>
        </w:tc>
        <w:tc>
          <w:tcPr>
            <w:tcW w:w="240" w:type="dxa"/>
            <w:vAlign w:val="bottom"/>
          </w:tcPr>
          <w:p>
            <w:pPr>
              <w:spacing w:after="0"/>
              <w:rPr>
                <w:sz w:val="12"/>
                <w:szCs w:val="12"/>
                <w:color w:val="auto"/>
              </w:rPr>
            </w:pPr>
          </w:p>
        </w:tc>
        <w:tc>
          <w:tcPr>
            <w:tcW w:w="1340" w:type="dxa"/>
            <w:vAlign w:val="bottom"/>
          </w:tcPr>
          <w:p>
            <w:pPr>
              <w:jc w:val="center"/>
              <w:ind w:right="168"/>
              <w:spacing w:after="0" w:line="149" w:lineRule="exact"/>
              <w:rPr>
                <w:sz w:val="20"/>
                <w:szCs w:val="20"/>
                <w:color w:val="auto"/>
              </w:rPr>
            </w:pPr>
            <w:r>
              <w:rPr>
                <w:rFonts w:ascii="Arial" w:cs="Arial" w:eastAsia="Arial" w:hAnsi="Arial"/>
                <w:sz w:val="14"/>
                <w:szCs w:val="14"/>
                <w:b w:val="1"/>
                <w:bCs w:val="1"/>
                <w:color w:val="auto"/>
              </w:rPr>
              <w:t>Benefit</w:t>
            </w:r>
          </w:p>
        </w:tc>
        <w:tc>
          <w:tcPr>
            <w:tcW w:w="260" w:type="dxa"/>
            <w:vAlign w:val="bottom"/>
          </w:tcPr>
          <w:p>
            <w:pPr>
              <w:spacing w:after="0"/>
              <w:rPr>
                <w:sz w:val="12"/>
                <w:szCs w:val="12"/>
                <w:color w:val="auto"/>
              </w:rPr>
            </w:pPr>
          </w:p>
        </w:tc>
        <w:tc>
          <w:tcPr>
            <w:tcW w:w="1160" w:type="dxa"/>
            <w:vAlign w:val="bottom"/>
          </w:tcPr>
          <w:p>
            <w:pPr>
              <w:jc w:val="center"/>
              <w:ind w:right="148"/>
              <w:spacing w:after="0" w:line="149" w:lineRule="exact"/>
              <w:rPr>
                <w:sz w:val="20"/>
                <w:szCs w:val="20"/>
                <w:color w:val="auto"/>
              </w:rPr>
            </w:pPr>
            <w:r>
              <w:rPr>
                <w:rFonts w:ascii="Arial" w:cs="Arial" w:eastAsia="Arial" w:hAnsi="Arial"/>
                <w:sz w:val="14"/>
                <w:szCs w:val="14"/>
                <w:b w:val="1"/>
                <w:bCs w:val="1"/>
                <w:color w:val="auto"/>
              </w:rPr>
              <w:t>for Sale</w:t>
            </w:r>
          </w:p>
        </w:tc>
        <w:tc>
          <w:tcPr>
            <w:tcW w:w="240" w:type="dxa"/>
            <w:vAlign w:val="bottom"/>
          </w:tcPr>
          <w:p>
            <w:pPr>
              <w:spacing w:after="0"/>
              <w:rPr>
                <w:sz w:val="12"/>
                <w:szCs w:val="12"/>
                <w:color w:val="auto"/>
              </w:rPr>
            </w:pPr>
          </w:p>
        </w:tc>
        <w:tc>
          <w:tcPr>
            <w:tcW w:w="1140" w:type="dxa"/>
            <w:vAlign w:val="bottom"/>
          </w:tcPr>
          <w:p>
            <w:pPr>
              <w:jc w:val="center"/>
              <w:ind w:right="188"/>
              <w:spacing w:after="0" w:line="149" w:lineRule="exact"/>
              <w:rPr>
                <w:sz w:val="20"/>
                <w:szCs w:val="20"/>
                <w:color w:val="auto"/>
              </w:rPr>
            </w:pPr>
            <w:r>
              <w:rPr>
                <w:rFonts w:ascii="Arial" w:cs="Arial" w:eastAsia="Arial" w:hAnsi="Arial"/>
                <w:sz w:val="14"/>
                <w:szCs w:val="14"/>
                <w:b w:val="1"/>
                <w:bCs w:val="1"/>
                <w:color w:val="auto"/>
              </w:rPr>
              <w:t>Cash Flow</w:t>
            </w:r>
          </w:p>
        </w:tc>
        <w:tc>
          <w:tcPr>
            <w:tcW w:w="280" w:type="dxa"/>
            <w:vAlign w:val="bottom"/>
          </w:tcPr>
          <w:p>
            <w:pPr>
              <w:spacing w:after="0"/>
              <w:rPr>
                <w:sz w:val="12"/>
                <w:szCs w:val="12"/>
                <w:color w:val="auto"/>
              </w:rPr>
            </w:pPr>
          </w:p>
        </w:tc>
        <w:tc>
          <w:tcPr>
            <w:tcW w:w="68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4520" w:type="dxa"/>
            <w:vAlign w:val="bottom"/>
            <w:tcBorders>
              <w:bottom w:val="single" w:sz="8" w:color="D7282F"/>
            </w:tcBorders>
          </w:tcPr>
          <w:p>
            <w:pPr>
              <w:spacing w:after="0"/>
              <w:rPr>
                <w:sz w:val="16"/>
                <w:szCs w:val="16"/>
                <w:color w:val="auto"/>
              </w:rPr>
            </w:pPr>
          </w:p>
        </w:tc>
        <w:tc>
          <w:tcPr>
            <w:tcW w:w="300" w:type="dxa"/>
            <w:vAlign w:val="bottom"/>
            <w:tcBorders>
              <w:bottom w:val="single" w:sz="8" w:color="D7282F"/>
            </w:tcBorders>
          </w:tcPr>
          <w:p>
            <w:pPr>
              <w:spacing w:after="0"/>
              <w:rPr>
                <w:sz w:val="16"/>
                <w:szCs w:val="16"/>
                <w:color w:val="auto"/>
              </w:rPr>
            </w:pPr>
          </w:p>
        </w:tc>
        <w:tc>
          <w:tcPr>
            <w:tcW w:w="1080" w:type="dxa"/>
            <w:vAlign w:val="bottom"/>
            <w:tcBorders>
              <w:bottom w:val="single" w:sz="8" w:color="D7282F"/>
            </w:tcBorders>
          </w:tcPr>
          <w:p>
            <w:pPr>
              <w:jc w:val="center"/>
              <w:ind w:right="148"/>
              <w:spacing w:after="0"/>
              <w:rPr>
                <w:sz w:val="20"/>
                <w:szCs w:val="20"/>
                <w:color w:val="auto"/>
              </w:rPr>
            </w:pPr>
            <w:r>
              <w:rPr>
                <w:rFonts w:ascii="Arial" w:cs="Arial" w:eastAsia="Arial" w:hAnsi="Arial"/>
                <w:sz w:val="14"/>
                <w:szCs w:val="14"/>
                <w:b w:val="1"/>
                <w:bCs w:val="1"/>
                <w:color w:val="auto"/>
              </w:rPr>
              <w:t>Adjustment</w:t>
            </w:r>
          </w:p>
        </w:tc>
        <w:tc>
          <w:tcPr>
            <w:tcW w:w="240" w:type="dxa"/>
            <w:vAlign w:val="bottom"/>
            <w:tcBorders>
              <w:bottom w:val="single" w:sz="8" w:color="D7282F"/>
            </w:tcBorders>
          </w:tcPr>
          <w:p>
            <w:pPr>
              <w:spacing w:after="0"/>
              <w:rPr>
                <w:sz w:val="16"/>
                <w:szCs w:val="16"/>
                <w:color w:val="auto"/>
              </w:rPr>
            </w:pPr>
          </w:p>
        </w:tc>
        <w:tc>
          <w:tcPr>
            <w:tcW w:w="1340" w:type="dxa"/>
            <w:vAlign w:val="bottom"/>
            <w:tcBorders>
              <w:bottom w:val="single" w:sz="8" w:color="D7282F"/>
            </w:tcBorders>
          </w:tcPr>
          <w:p>
            <w:pPr>
              <w:jc w:val="center"/>
              <w:ind w:right="168"/>
              <w:spacing w:after="0"/>
              <w:rPr>
                <w:sz w:val="20"/>
                <w:szCs w:val="20"/>
                <w:color w:val="auto"/>
              </w:rPr>
            </w:pPr>
            <w:r>
              <w:rPr>
                <w:rFonts w:ascii="Arial" w:cs="Arial" w:eastAsia="Arial" w:hAnsi="Arial"/>
                <w:sz w:val="14"/>
                <w:szCs w:val="14"/>
                <w:b w:val="1"/>
                <w:bCs w:val="1"/>
                <w:color w:val="auto"/>
              </w:rPr>
              <w:t>Adjustments</w:t>
            </w:r>
          </w:p>
        </w:tc>
        <w:tc>
          <w:tcPr>
            <w:tcW w:w="260" w:type="dxa"/>
            <w:vAlign w:val="bottom"/>
            <w:tcBorders>
              <w:bottom w:val="single" w:sz="8" w:color="D7282F"/>
            </w:tcBorders>
          </w:tcPr>
          <w:p>
            <w:pPr>
              <w:spacing w:after="0"/>
              <w:rPr>
                <w:sz w:val="16"/>
                <w:szCs w:val="16"/>
                <w:color w:val="auto"/>
              </w:rPr>
            </w:pPr>
          </w:p>
        </w:tc>
        <w:tc>
          <w:tcPr>
            <w:tcW w:w="1160" w:type="dxa"/>
            <w:vAlign w:val="bottom"/>
            <w:tcBorders>
              <w:bottom w:val="single" w:sz="8" w:color="D7282F"/>
            </w:tcBorders>
          </w:tcPr>
          <w:p>
            <w:pPr>
              <w:jc w:val="center"/>
              <w:ind w:right="168"/>
              <w:spacing w:after="0"/>
              <w:rPr>
                <w:sz w:val="20"/>
                <w:szCs w:val="20"/>
                <w:color w:val="auto"/>
              </w:rPr>
            </w:pPr>
            <w:r>
              <w:rPr>
                <w:rFonts w:ascii="Arial" w:cs="Arial" w:eastAsia="Arial" w:hAnsi="Arial"/>
                <w:sz w:val="14"/>
                <w:szCs w:val="14"/>
                <w:b w:val="1"/>
                <w:bCs w:val="1"/>
                <w:color w:val="auto"/>
              </w:rPr>
              <w:t>Investments</w:t>
            </w:r>
          </w:p>
        </w:tc>
        <w:tc>
          <w:tcPr>
            <w:tcW w:w="240" w:type="dxa"/>
            <w:vAlign w:val="bottom"/>
            <w:tcBorders>
              <w:bottom w:val="single" w:sz="8" w:color="D7282F"/>
            </w:tcBorders>
          </w:tcPr>
          <w:p>
            <w:pPr>
              <w:spacing w:after="0"/>
              <w:rPr>
                <w:sz w:val="16"/>
                <w:szCs w:val="16"/>
                <w:color w:val="auto"/>
              </w:rPr>
            </w:pPr>
          </w:p>
        </w:tc>
        <w:tc>
          <w:tcPr>
            <w:tcW w:w="1140" w:type="dxa"/>
            <w:vAlign w:val="bottom"/>
            <w:tcBorders>
              <w:bottom w:val="single" w:sz="8" w:color="D7282F"/>
            </w:tcBorders>
          </w:tcPr>
          <w:p>
            <w:pPr>
              <w:jc w:val="center"/>
              <w:ind w:right="188"/>
              <w:spacing w:after="0"/>
              <w:rPr>
                <w:sz w:val="20"/>
                <w:szCs w:val="20"/>
                <w:color w:val="auto"/>
              </w:rPr>
            </w:pPr>
            <w:r>
              <w:rPr>
                <w:rFonts w:ascii="Arial" w:cs="Arial" w:eastAsia="Arial" w:hAnsi="Arial"/>
                <w:sz w:val="14"/>
                <w:szCs w:val="14"/>
                <w:b w:val="1"/>
                <w:bCs w:val="1"/>
                <w:color w:val="auto"/>
              </w:rPr>
              <w:t>Hedges</w:t>
            </w:r>
          </w:p>
        </w:tc>
        <w:tc>
          <w:tcPr>
            <w:tcW w:w="28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52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Balance at December 31, 2021</w:t>
            </w:r>
          </w:p>
        </w:tc>
        <w:tc>
          <w:tcPr>
            <w:tcW w:w="3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(2,478)</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34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(415)</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(3)</w:t>
            </w:r>
          </w:p>
        </w:tc>
        <w:tc>
          <w:tcPr>
            <w:tcW w:w="2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(2,895)</w:t>
            </w:r>
          </w:p>
        </w:tc>
        <w:tc>
          <w:tcPr>
            <w:tcW w:w="0" w:type="dxa"/>
            <w:vAlign w:val="bottom"/>
          </w:tcPr>
          <w:p>
            <w:pPr>
              <w:spacing w:after="0"/>
              <w:rPr>
                <w:sz w:val="1"/>
                <w:szCs w:val="1"/>
                <w:color w:val="auto"/>
              </w:rPr>
            </w:pPr>
          </w:p>
        </w:tc>
      </w:tr>
      <w:tr>
        <w:trPr>
          <w:trHeight w:val="193"/>
        </w:trPr>
        <w:tc>
          <w:tcPr>
            <w:tcW w:w="452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Other comprehensive income (loss) before reclassifications</w:t>
            </w:r>
          </w:p>
        </w:tc>
        <w:tc>
          <w:tcPr>
            <w:tcW w:w="300" w:type="dxa"/>
            <w:vAlign w:val="bottom"/>
            <w:tcBorders>
              <w:bottom w:val="single" w:sz="8" w:color="61656A"/>
            </w:tcBorders>
          </w:tcPr>
          <w:p>
            <w:pPr>
              <w:spacing w:after="0"/>
              <w:rPr>
                <w:sz w:val="16"/>
                <w:szCs w:val="16"/>
                <w:color w:val="auto"/>
              </w:rPr>
            </w:pPr>
          </w:p>
        </w:tc>
        <w:tc>
          <w:tcPr>
            <w:tcW w:w="108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(344)</w:t>
            </w:r>
          </w:p>
        </w:tc>
        <w:tc>
          <w:tcPr>
            <w:tcW w:w="240" w:type="dxa"/>
            <w:vAlign w:val="bottom"/>
            <w:tcBorders>
              <w:bottom w:val="single" w:sz="8" w:color="61656A"/>
            </w:tcBorders>
          </w:tcPr>
          <w:p>
            <w:pPr>
              <w:spacing w:after="0"/>
              <w:rPr>
                <w:sz w:val="16"/>
                <w:szCs w:val="16"/>
                <w:color w:val="auto"/>
              </w:rPr>
            </w:pPr>
          </w:p>
        </w:tc>
        <w:tc>
          <w:tcPr>
            <w:tcW w:w="134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(623)</w:t>
            </w:r>
          </w:p>
        </w:tc>
        <w:tc>
          <w:tcPr>
            <w:tcW w:w="260" w:type="dxa"/>
            <w:vAlign w:val="bottom"/>
            <w:tcBorders>
              <w:bottom w:val="single" w:sz="8" w:color="61656A"/>
            </w:tcBorders>
          </w:tcPr>
          <w:p>
            <w:pPr>
              <w:spacing w:after="0"/>
              <w:rPr>
                <w:sz w:val="16"/>
                <w:szCs w:val="16"/>
                <w:color w:val="auto"/>
              </w:rPr>
            </w:pPr>
          </w:p>
        </w:tc>
        <w:tc>
          <w:tcPr>
            <w:tcW w:w="116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(8)</w:t>
            </w:r>
          </w:p>
        </w:tc>
        <w:tc>
          <w:tcPr>
            <w:tcW w:w="240" w:type="dxa"/>
            <w:vAlign w:val="bottom"/>
            <w:tcBorders>
              <w:bottom w:val="single" w:sz="8" w:color="61656A"/>
            </w:tcBorders>
          </w:tcPr>
          <w:p>
            <w:pPr>
              <w:spacing w:after="0"/>
              <w:rPr>
                <w:sz w:val="16"/>
                <w:szCs w:val="16"/>
                <w:color w:val="auto"/>
              </w:rPr>
            </w:pPr>
          </w:p>
        </w:tc>
        <w:tc>
          <w:tcPr>
            <w:tcW w:w="11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71</w:t>
            </w:r>
          </w:p>
        </w:tc>
        <w:tc>
          <w:tcPr>
            <w:tcW w:w="280" w:type="dxa"/>
            <w:vAlign w:val="bottom"/>
            <w:tcBorders>
              <w:bottom w:val="single" w:sz="8" w:color="61656A"/>
            </w:tcBorders>
          </w:tcPr>
          <w:p>
            <w:pPr>
              <w:spacing w:after="0"/>
              <w:rPr>
                <w:sz w:val="16"/>
                <w:szCs w:val="16"/>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(904)</w:t>
            </w:r>
          </w:p>
        </w:tc>
        <w:tc>
          <w:tcPr>
            <w:tcW w:w="0" w:type="dxa"/>
            <w:vAlign w:val="bottom"/>
          </w:tcPr>
          <w:p>
            <w:pPr>
              <w:spacing w:after="0"/>
              <w:rPr>
                <w:sz w:val="1"/>
                <w:szCs w:val="1"/>
                <w:color w:val="auto"/>
              </w:rPr>
            </w:pPr>
          </w:p>
        </w:tc>
      </w:tr>
      <w:tr>
        <w:trPr>
          <w:trHeight w:val="196"/>
        </w:trPr>
        <w:tc>
          <w:tcPr>
            <w:tcW w:w="452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Amounts reclassified from accumulated other comprehensive loss</w:t>
            </w:r>
          </w:p>
        </w:tc>
        <w:tc>
          <w:tcPr>
            <w:tcW w:w="300" w:type="dxa"/>
            <w:vAlign w:val="bottom"/>
            <w:tcBorders>
              <w:bottom w:val="single" w:sz="8" w:color="D7282F"/>
            </w:tcBorders>
          </w:tcPr>
          <w:p>
            <w:pPr>
              <w:spacing w:after="0"/>
              <w:rPr>
                <w:sz w:val="17"/>
                <w:szCs w:val="17"/>
                <w:color w:val="auto"/>
              </w:rPr>
            </w:pPr>
          </w:p>
        </w:tc>
        <w:tc>
          <w:tcPr>
            <w:tcW w:w="10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(10)</w:t>
            </w:r>
          </w:p>
        </w:tc>
        <w:tc>
          <w:tcPr>
            <w:tcW w:w="240" w:type="dxa"/>
            <w:vAlign w:val="bottom"/>
            <w:tcBorders>
              <w:bottom w:val="single" w:sz="8" w:color="D7282F"/>
            </w:tcBorders>
          </w:tcPr>
          <w:p>
            <w:pPr>
              <w:spacing w:after="0"/>
              <w:rPr>
                <w:sz w:val="17"/>
                <w:szCs w:val="17"/>
                <w:color w:val="auto"/>
              </w:rPr>
            </w:pPr>
          </w:p>
        </w:tc>
        <w:tc>
          <w:tcPr>
            <w:tcW w:w="13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390</w:t>
            </w:r>
          </w:p>
        </w:tc>
        <w:tc>
          <w:tcPr>
            <w:tcW w:w="260" w:type="dxa"/>
            <w:vAlign w:val="bottom"/>
            <w:tcBorders>
              <w:bottom w:val="single" w:sz="8" w:color="D7282F"/>
            </w:tcBorders>
          </w:tcPr>
          <w:p>
            <w:pPr>
              <w:spacing w:after="0"/>
              <w:rPr>
                <w:sz w:val="17"/>
                <w:szCs w:val="17"/>
                <w:color w:val="auto"/>
              </w:rPr>
            </w:pPr>
          </w:p>
        </w:tc>
        <w:tc>
          <w:tcPr>
            <w:tcW w:w="11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D7282F"/>
            </w:tcBorders>
          </w:tcPr>
          <w:p>
            <w:pPr>
              <w:spacing w:after="0"/>
              <w:rPr>
                <w:sz w:val="17"/>
                <w:szCs w:val="17"/>
                <w:color w:val="auto"/>
              </w:rPr>
            </w:pPr>
          </w:p>
        </w:tc>
        <w:tc>
          <w:tcPr>
            <w:tcW w:w="114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(56)</w:t>
            </w:r>
          </w:p>
        </w:tc>
        <w:tc>
          <w:tcPr>
            <w:tcW w:w="28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324</w:t>
            </w:r>
          </w:p>
        </w:tc>
        <w:tc>
          <w:tcPr>
            <w:tcW w:w="0" w:type="dxa"/>
            <w:vAlign w:val="bottom"/>
          </w:tcPr>
          <w:p>
            <w:pPr>
              <w:spacing w:after="0"/>
              <w:rPr>
                <w:sz w:val="1"/>
                <w:szCs w:val="1"/>
                <w:color w:val="auto"/>
              </w:rPr>
            </w:pPr>
          </w:p>
        </w:tc>
      </w:tr>
      <w:tr>
        <w:trPr>
          <w:trHeight w:val="199"/>
        </w:trPr>
        <w:tc>
          <w:tcPr>
            <w:tcW w:w="452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Net current period other comprehensive income (loss)</w:t>
            </w:r>
          </w:p>
        </w:tc>
        <w:tc>
          <w:tcPr>
            <w:tcW w:w="300" w:type="dxa"/>
            <w:vAlign w:val="bottom"/>
            <w:tcBorders>
              <w:bottom w:val="single" w:sz="8" w:color="D7282F"/>
            </w:tcBorders>
          </w:tcPr>
          <w:p>
            <w:pPr>
              <w:spacing w:after="0"/>
              <w:rPr>
                <w:sz w:val="17"/>
                <w:szCs w:val="17"/>
                <w:color w:val="auto"/>
              </w:rPr>
            </w:pPr>
          </w:p>
        </w:tc>
        <w:tc>
          <w:tcPr>
            <w:tcW w:w="10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(354)</w:t>
            </w:r>
          </w:p>
        </w:tc>
        <w:tc>
          <w:tcPr>
            <w:tcW w:w="240" w:type="dxa"/>
            <w:vAlign w:val="bottom"/>
            <w:tcBorders>
              <w:bottom w:val="single" w:sz="8" w:color="D7282F"/>
            </w:tcBorders>
          </w:tcPr>
          <w:p>
            <w:pPr>
              <w:spacing w:after="0"/>
              <w:rPr>
                <w:sz w:val="17"/>
                <w:szCs w:val="17"/>
                <w:color w:val="auto"/>
              </w:rPr>
            </w:pPr>
          </w:p>
        </w:tc>
        <w:tc>
          <w:tcPr>
            <w:tcW w:w="134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(233)</w:t>
            </w:r>
          </w:p>
        </w:tc>
        <w:tc>
          <w:tcPr>
            <w:tcW w:w="260" w:type="dxa"/>
            <w:vAlign w:val="bottom"/>
            <w:tcBorders>
              <w:bottom w:val="single" w:sz="8" w:color="D7282F"/>
            </w:tcBorders>
          </w:tcPr>
          <w:p>
            <w:pPr>
              <w:spacing w:after="0"/>
              <w:rPr>
                <w:sz w:val="17"/>
                <w:szCs w:val="17"/>
                <w:color w:val="auto"/>
              </w:rPr>
            </w:pPr>
          </w:p>
        </w:tc>
        <w:tc>
          <w:tcPr>
            <w:tcW w:w="11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(8)</w:t>
            </w:r>
          </w:p>
        </w:tc>
        <w:tc>
          <w:tcPr>
            <w:tcW w:w="240" w:type="dxa"/>
            <w:vAlign w:val="bottom"/>
            <w:tcBorders>
              <w:bottom w:val="single" w:sz="8" w:color="D7282F"/>
            </w:tcBorders>
          </w:tcPr>
          <w:p>
            <w:pPr>
              <w:spacing w:after="0"/>
              <w:rPr>
                <w:sz w:val="17"/>
                <w:szCs w:val="17"/>
                <w:color w:val="auto"/>
              </w:rPr>
            </w:pPr>
          </w:p>
        </w:tc>
        <w:tc>
          <w:tcPr>
            <w:tcW w:w="11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15</w:t>
            </w:r>
          </w:p>
        </w:tc>
        <w:tc>
          <w:tcPr>
            <w:tcW w:w="28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(580)</w:t>
            </w:r>
          </w:p>
        </w:tc>
        <w:tc>
          <w:tcPr>
            <w:tcW w:w="0" w:type="dxa"/>
            <w:vAlign w:val="bottom"/>
          </w:tcPr>
          <w:p>
            <w:pPr>
              <w:spacing w:after="0"/>
              <w:rPr>
                <w:sz w:val="1"/>
                <w:szCs w:val="1"/>
                <w:color w:val="auto"/>
              </w:rPr>
            </w:pPr>
          </w:p>
        </w:tc>
      </w:tr>
      <w:tr>
        <w:trPr>
          <w:trHeight w:val="196"/>
        </w:trPr>
        <w:tc>
          <w:tcPr>
            <w:tcW w:w="452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Balance at December 31, 2022</w:t>
            </w:r>
          </w:p>
        </w:tc>
        <w:tc>
          <w:tcPr>
            <w:tcW w:w="300" w:type="dxa"/>
            <w:vAlign w:val="bottom"/>
            <w:tcBorders>
              <w:bottom w:val="single" w:sz="8" w:color="D7282F"/>
            </w:tcBorders>
          </w:tcPr>
          <w:p>
            <w:pPr>
              <w:spacing w:after="0"/>
              <w:rPr>
                <w:sz w:val="17"/>
                <w:szCs w:val="17"/>
                <w:color w:val="auto"/>
              </w:rPr>
            </w:pPr>
          </w:p>
        </w:tc>
        <w:tc>
          <w:tcPr>
            <w:tcW w:w="10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(2,832)</w:t>
            </w:r>
          </w:p>
        </w:tc>
        <w:tc>
          <w:tcPr>
            <w:tcW w:w="240" w:type="dxa"/>
            <w:vAlign w:val="bottom"/>
            <w:tcBorders>
              <w:bottom w:val="single" w:sz="8" w:color="D7282F"/>
            </w:tcBorders>
          </w:tcPr>
          <w:p>
            <w:pPr>
              <w:spacing w:after="0"/>
              <w:rPr>
                <w:sz w:val="17"/>
                <w:szCs w:val="17"/>
                <w:color w:val="auto"/>
              </w:rPr>
            </w:pPr>
          </w:p>
        </w:tc>
        <w:tc>
          <w:tcPr>
            <w:tcW w:w="134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(648)</w:t>
            </w:r>
          </w:p>
        </w:tc>
        <w:tc>
          <w:tcPr>
            <w:tcW w:w="260" w:type="dxa"/>
            <w:vAlign w:val="bottom"/>
            <w:tcBorders>
              <w:bottom w:val="single" w:sz="8" w:color="D7282F"/>
            </w:tcBorders>
          </w:tcPr>
          <w:p>
            <w:pPr>
              <w:spacing w:after="0"/>
              <w:rPr>
                <w:sz w:val="17"/>
                <w:szCs w:val="17"/>
                <w:color w:val="auto"/>
              </w:rPr>
            </w:pPr>
          </w:p>
        </w:tc>
        <w:tc>
          <w:tcPr>
            <w:tcW w:w="11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(7)</w:t>
            </w:r>
          </w:p>
        </w:tc>
        <w:tc>
          <w:tcPr>
            <w:tcW w:w="240" w:type="dxa"/>
            <w:vAlign w:val="bottom"/>
            <w:tcBorders>
              <w:bottom w:val="single" w:sz="8" w:color="D7282F"/>
            </w:tcBorders>
          </w:tcPr>
          <w:p>
            <w:pPr>
              <w:spacing w:after="0"/>
              <w:rPr>
                <w:sz w:val="17"/>
                <w:szCs w:val="17"/>
                <w:color w:val="auto"/>
              </w:rPr>
            </w:pPr>
          </w:p>
        </w:tc>
        <w:tc>
          <w:tcPr>
            <w:tcW w:w="11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12</w:t>
            </w:r>
          </w:p>
        </w:tc>
        <w:tc>
          <w:tcPr>
            <w:tcW w:w="28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(3,475)</w:t>
            </w:r>
          </w:p>
        </w:tc>
        <w:tc>
          <w:tcPr>
            <w:tcW w:w="0" w:type="dxa"/>
            <w:vAlign w:val="bottom"/>
          </w:tcPr>
          <w:p>
            <w:pPr>
              <w:spacing w:after="0"/>
              <w:rPr>
                <w:sz w:val="1"/>
                <w:szCs w:val="1"/>
                <w:color w:val="auto"/>
              </w:rPr>
            </w:pPr>
          </w:p>
        </w:tc>
      </w:tr>
      <w:tr>
        <w:trPr>
          <w:trHeight w:val="193"/>
        </w:trPr>
        <w:tc>
          <w:tcPr>
            <w:tcW w:w="452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Other comprehensive income (loss) before reclassifications</w:t>
            </w:r>
          </w:p>
        </w:tc>
        <w:tc>
          <w:tcPr>
            <w:tcW w:w="300" w:type="dxa"/>
            <w:vAlign w:val="bottom"/>
            <w:tcBorders>
              <w:bottom w:val="single" w:sz="8" w:color="888B8D"/>
            </w:tcBorders>
          </w:tcPr>
          <w:p>
            <w:pPr>
              <w:spacing w:after="0"/>
              <w:rPr>
                <w:sz w:val="16"/>
                <w:szCs w:val="16"/>
                <w:color w:val="auto"/>
              </w:rPr>
            </w:pPr>
          </w:p>
        </w:tc>
        <w:tc>
          <w:tcPr>
            <w:tcW w:w="108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(269)</w:t>
            </w:r>
          </w:p>
        </w:tc>
        <w:tc>
          <w:tcPr>
            <w:tcW w:w="240" w:type="dxa"/>
            <w:vAlign w:val="bottom"/>
            <w:tcBorders>
              <w:bottom w:val="single" w:sz="8" w:color="888B8D"/>
            </w:tcBorders>
          </w:tcPr>
          <w:p>
            <w:pPr>
              <w:spacing w:after="0"/>
              <w:rPr>
                <w:sz w:val="16"/>
                <w:szCs w:val="16"/>
                <w:color w:val="auto"/>
              </w:rPr>
            </w:pPr>
          </w:p>
        </w:tc>
        <w:tc>
          <w:tcPr>
            <w:tcW w:w="134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(477)</w:t>
            </w:r>
          </w:p>
        </w:tc>
        <w:tc>
          <w:tcPr>
            <w:tcW w:w="260" w:type="dxa"/>
            <w:vAlign w:val="bottom"/>
            <w:tcBorders>
              <w:bottom w:val="single" w:sz="8" w:color="888B8D"/>
            </w:tcBorders>
          </w:tcPr>
          <w:p>
            <w:pPr>
              <w:spacing w:after="0"/>
              <w:rPr>
                <w:sz w:val="16"/>
                <w:szCs w:val="16"/>
                <w:color w:val="auto"/>
              </w:rPr>
            </w:pPr>
          </w:p>
        </w:tc>
        <w:tc>
          <w:tcPr>
            <w:tcW w:w="116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5</w:t>
            </w:r>
          </w:p>
        </w:tc>
        <w:tc>
          <w:tcPr>
            <w:tcW w:w="240" w:type="dxa"/>
            <w:vAlign w:val="bottom"/>
            <w:tcBorders>
              <w:bottom w:val="single" w:sz="8" w:color="888B8D"/>
            </w:tcBorders>
          </w:tcPr>
          <w:p>
            <w:pPr>
              <w:spacing w:after="0"/>
              <w:rPr>
                <w:sz w:val="16"/>
                <w:szCs w:val="16"/>
                <w:color w:val="auto"/>
              </w:rPr>
            </w:pPr>
          </w:p>
        </w:tc>
        <w:tc>
          <w:tcPr>
            <w:tcW w:w="114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60</w:t>
            </w:r>
          </w:p>
        </w:tc>
        <w:tc>
          <w:tcPr>
            <w:tcW w:w="280" w:type="dxa"/>
            <w:vAlign w:val="bottom"/>
            <w:tcBorders>
              <w:bottom w:val="single" w:sz="8" w:color="888B8D"/>
            </w:tcBorders>
          </w:tcPr>
          <w:p>
            <w:pPr>
              <w:spacing w:after="0"/>
              <w:rPr>
                <w:sz w:val="16"/>
                <w:szCs w:val="16"/>
                <w:color w:val="auto"/>
              </w:rPr>
            </w:pPr>
          </w:p>
        </w:tc>
        <w:tc>
          <w:tcPr>
            <w:tcW w:w="68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(681)</w:t>
            </w:r>
          </w:p>
        </w:tc>
        <w:tc>
          <w:tcPr>
            <w:tcW w:w="0" w:type="dxa"/>
            <w:vAlign w:val="bottom"/>
          </w:tcPr>
          <w:p>
            <w:pPr>
              <w:spacing w:after="0"/>
              <w:rPr>
                <w:sz w:val="1"/>
                <w:szCs w:val="1"/>
                <w:color w:val="auto"/>
              </w:rPr>
            </w:pPr>
          </w:p>
        </w:tc>
      </w:tr>
      <w:tr>
        <w:trPr>
          <w:trHeight w:val="196"/>
        </w:trPr>
        <w:tc>
          <w:tcPr>
            <w:tcW w:w="452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Amounts reclassified from accumulated other comprehensive loss</w:t>
            </w:r>
          </w:p>
        </w:tc>
        <w:tc>
          <w:tcPr>
            <w:tcW w:w="300" w:type="dxa"/>
            <w:vAlign w:val="bottom"/>
            <w:tcBorders>
              <w:bottom w:val="single" w:sz="8" w:color="D7282F"/>
            </w:tcBorders>
          </w:tcPr>
          <w:p>
            <w:pPr>
              <w:spacing w:after="0"/>
              <w:rPr>
                <w:sz w:val="17"/>
                <w:szCs w:val="17"/>
                <w:color w:val="auto"/>
              </w:rPr>
            </w:pPr>
          </w:p>
        </w:tc>
        <w:tc>
          <w:tcPr>
            <w:tcW w:w="10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D7282F"/>
            </w:tcBorders>
          </w:tcPr>
          <w:p>
            <w:pPr>
              <w:spacing w:after="0"/>
              <w:rPr>
                <w:sz w:val="17"/>
                <w:szCs w:val="17"/>
                <w:color w:val="auto"/>
              </w:rPr>
            </w:pPr>
          </w:p>
        </w:tc>
        <w:tc>
          <w:tcPr>
            <w:tcW w:w="13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70</w:t>
            </w:r>
          </w:p>
        </w:tc>
        <w:tc>
          <w:tcPr>
            <w:tcW w:w="260" w:type="dxa"/>
            <w:vAlign w:val="bottom"/>
            <w:tcBorders>
              <w:bottom w:val="single" w:sz="8" w:color="D7282F"/>
            </w:tcBorders>
          </w:tcPr>
          <w:p>
            <w:pPr>
              <w:spacing w:after="0"/>
              <w:rPr>
                <w:sz w:val="17"/>
                <w:szCs w:val="17"/>
                <w:color w:val="auto"/>
              </w:rPr>
            </w:pPr>
          </w:p>
        </w:tc>
        <w:tc>
          <w:tcPr>
            <w:tcW w:w="11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D7282F"/>
            </w:tcBorders>
          </w:tcPr>
          <w:p>
            <w:pPr>
              <w:spacing w:after="0"/>
              <w:rPr>
                <w:sz w:val="17"/>
                <w:szCs w:val="17"/>
                <w:color w:val="auto"/>
              </w:rPr>
            </w:pPr>
          </w:p>
        </w:tc>
        <w:tc>
          <w:tcPr>
            <w:tcW w:w="114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(49)</w:t>
            </w:r>
          </w:p>
        </w:tc>
        <w:tc>
          <w:tcPr>
            <w:tcW w:w="28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99"/>
        </w:trPr>
        <w:tc>
          <w:tcPr>
            <w:tcW w:w="452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Net current period other comprehensive income (loss)</w:t>
            </w:r>
          </w:p>
        </w:tc>
        <w:tc>
          <w:tcPr>
            <w:tcW w:w="300" w:type="dxa"/>
            <w:vAlign w:val="bottom"/>
            <w:tcBorders>
              <w:bottom w:val="single" w:sz="8" w:color="D7282F"/>
            </w:tcBorders>
          </w:tcPr>
          <w:p>
            <w:pPr>
              <w:spacing w:after="0"/>
              <w:rPr>
                <w:sz w:val="17"/>
                <w:szCs w:val="17"/>
                <w:color w:val="auto"/>
              </w:rPr>
            </w:pPr>
          </w:p>
        </w:tc>
        <w:tc>
          <w:tcPr>
            <w:tcW w:w="10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(269)</w:t>
            </w:r>
          </w:p>
        </w:tc>
        <w:tc>
          <w:tcPr>
            <w:tcW w:w="240" w:type="dxa"/>
            <w:vAlign w:val="bottom"/>
            <w:tcBorders>
              <w:bottom w:val="single" w:sz="8" w:color="D7282F"/>
            </w:tcBorders>
          </w:tcPr>
          <w:p>
            <w:pPr>
              <w:spacing w:after="0"/>
              <w:rPr>
                <w:sz w:val="17"/>
                <w:szCs w:val="17"/>
                <w:color w:val="auto"/>
              </w:rPr>
            </w:pPr>
          </w:p>
        </w:tc>
        <w:tc>
          <w:tcPr>
            <w:tcW w:w="134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(407)</w:t>
            </w:r>
          </w:p>
        </w:tc>
        <w:tc>
          <w:tcPr>
            <w:tcW w:w="260" w:type="dxa"/>
            <w:vAlign w:val="bottom"/>
            <w:tcBorders>
              <w:bottom w:val="single" w:sz="8" w:color="D7282F"/>
            </w:tcBorders>
          </w:tcPr>
          <w:p>
            <w:pPr>
              <w:spacing w:after="0"/>
              <w:rPr>
                <w:sz w:val="17"/>
                <w:szCs w:val="17"/>
                <w:color w:val="auto"/>
              </w:rPr>
            </w:pPr>
          </w:p>
        </w:tc>
        <w:tc>
          <w:tcPr>
            <w:tcW w:w="11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5</w:t>
            </w:r>
          </w:p>
        </w:tc>
        <w:tc>
          <w:tcPr>
            <w:tcW w:w="240" w:type="dxa"/>
            <w:vAlign w:val="bottom"/>
            <w:tcBorders>
              <w:bottom w:val="single" w:sz="8" w:color="D7282F"/>
            </w:tcBorders>
          </w:tcPr>
          <w:p>
            <w:pPr>
              <w:spacing w:after="0"/>
              <w:rPr>
                <w:sz w:val="17"/>
                <w:szCs w:val="17"/>
                <w:color w:val="auto"/>
              </w:rPr>
            </w:pPr>
          </w:p>
        </w:tc>
        <w:tc>
          <w:tcPr>
            <w:tcW w:w="11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11</w:t>
            </w:r>
          </w:p>
        </w:tc>
        <w:tc>
          <w:tcPr>
            <w:tcW w:w="28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(660)</w:t>
            </w:r>
          </w:p>
        </w:tc>
        <w:tc>
          <w:tcPr>
            <w:tcW w:w="0" w:type="dxa"/>
            <w:vAlign w:val="bottom"/>
          </w:tcPr>
          <w:p>
            <w:pPr>
              <w:spacing w:after="0"/>
              <w:rPr>
                <w:sz w:val="1"/>
                <w:szCs w:val="1"/>
                <w:color w:val="auto"/>
              </w:rPr>
            </w:pPr>
          </w:p>
        </w:tc>
      </w:tr>
      <w:tr>
        <w:trPr>
          <w:trHeight w:val="196"/>
        </w:trPr>
        <w:tc>
          <w:tcPr>
            <w:tcW w:w="452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Balance at December 31, 2023</w:t>
            </w:r>
          </w:p>
        </w:tc>
        <w:tc>
          <w:tcPr>
            <w:tcW w:w="300" w:type="dxa"/>
            <w:vAlign w:val="bottom"/>
            <w:tcBorders>
              <w:bottom w:val="single" w:sz="8" w:color="D7282F"/>
            </w:tcBorders>
          </w:tcPr>
          <w:p>
            <w:pPr>
              <w:spacing w:after="0"/>
              <w:rPr>
                <w:sz w:val="17"/>
                <w:szCs w:val="17"/>
                <w:color w:val="auto"/>
              </w:rPr>
            </w:pPr>
          </w:p>
        </w:tc>
        <w:tc>
          <w:tcPr>
            <w:tcW w:w="10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(3,101)</w:t>
            </w:r>
          </w:p>
        </w:tc>
        <w:tc>
          <w:tcPr>
            <w:tcW w:w="240" w:type="dxa"/>
            <w:vAlign w:val="bottom"/>
            <w:tcBorders>
              <w:bottom w:val="single" w:sz="8" w:color="D7282F"/>
            </w:tcBorders>
          </w:tcPr>
          <w:p>
            <w:pPr>
              <w:spacing w:after="0"/>
              <w:rPr>
                <w:sz w:val="17"/>
                <w:szCs w:val="17"/>
                <w:color w:val="auto"/>
              </w:rPr>
            </w:pPr>
          </w:p>
        </w:tc>
        <w:tc>
          <w:tcPr>
            <w:tcW w:w="134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(1,055)</w:t>
            </w:r>
          </w:p>
        </w:tc>
        <w:tc>
          <w:tcPr>
            <w:tcW w:w="260" w:type="dxa"/>
            <w:vAlign w:val="bottom"/>
            <w:tcBorders>
              <w:bottom w:val="single" w:sz="8" w:color="D7282F"/>
            </w:tcBorders>
          </w:tcPr>
          <w:p>
            <w:pPr>
              <w:spacing w:after="0"/>
              <w:rPr>
                <w:sz w:val="17"/>
                <w:szCs w:val="17"/>
                <w:color w:val="auto"/>
              </w:rPr>
            </w:pPr>
          </w:p>
        </w:tc>
        <w:tc>
          <w:tcPr>
            <w:tcW w:w="11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(2)</w:t>
            </w:r>
          </w:p>
        </w:tc>
        <w:tc>
          <w:tcPr>
            <w:tcW w:w="240" w:type="dxa"/>
            <w:vAlign w:val="bottom"/>
            <w:tcBorders>
              <w:bottom w:val="single" w:sz="8" w:color="D7282F"/>
            </w:tcBorders>
          </w:tcPr>
          <w:p>
            <w:pPr>
              <w:spacing w:after="0"/>
              <w:rPr>
                <w:sz w:val="17"/>
                <w:szCs w:val="17"/>
                <w:color w:val="auto"/>
              </w:rPr>
            </w:pPr>
          </w:p>
        </w:tc>
        <w:tc>
          <w:tcPr>
            <w:tcW w:w="11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23</w:t>
            </w:r>
          </w:p>
        </w:tc>
        <w:tc>
          <w:tcPr>
            <w:tcW w:w="28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(4,135)</w:t>
            </w:r>
          </w:p>
        </w:tc>
        <w:tc>
          <w:tcPr>
            <w:tcW w:w="0" w:type="dxa"/>
            <w:vAlign w:val="bottom"/>
          </w:tcPr>
          <w:p>
            <w:pPr>
              <w:spacing w:after="0"/>
              <w:rPr>
                <w:sz w:val="1"/>
                <w:szCs w:val="1"/>
                <w:color w:val="auto"/>
              </w:rPr>
            </w:pPr>
          </w:p>
        </w:tc>
      </w:tr>
      <w:tr>
        <w:trPr>
          <w:trHeight w:val="193"/>
        </w:trPr>
        <w:tc>
          <w:tcPr>
            <w:tcW w:w="452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Other comprehensive income (loss) before reclassifications</w:t>
            </w:r>
          </w:p>
        </w:tc>
        <w:tc>
          <w:tcPr>
            <w:tcW w:w="300" w:type="dxa"/>
            <w:vAlign w:val="bottom"/>
            <w:tcBorders>
              <w:bottom w:val="single" w:sz="8" w:color="61656A"/>
            </w:tcBorders>
          </w:tcPr>
          <w:p>
            <w:pPr>
              <w:spacing w:after="0"/>
              <w:rPr>
                <w:sz w:val="16"/>
                <w:szCs w:val="16"/>
                <w:color w:val="auto"/>
              </w:rPr>
            </w:pPr>
          </w:p>
        </w:tc>
        <w:tc>
          <w:tcPr>
            <w:tcW w:w="10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229</w:t>
            </w:r>
          </w:p>
        </w:tc>
        <w:tc>
          <w:tcPr>
            <w:tcW w:w="240" w:type="dxa"/>
            <w:vAlign w:val="bottom"/>
            <w:tcBorders>
              <w:bottom w:val="single" w:sz="8" w:color="61656A"/>
            </w:tcBorders>
          </w:tcPr>
          <w:p>
            <w:pPr>
              <w:spacing w:after="0"/>
              <w:rPr>
                <w:sz w:val="16"/>
                <w:szCs w:val="16"/>
                <w:color w:val="auto"/>
              </w:rPr>
            </w:pPr>
          </w:p>
        </w:tc>
        <w:tc>
          <w:tcPr>
            <w:tcW w:w="13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343</w:t>
            </w:r>
          </w:p>
        </w:tc>
        <w:tc>
          <w:tcPr>
            <w:tcW w:w="260" w:type="dxa"/>
            <w:vAlign w:val="bottom"/>
            <w:tcBorders>
              <w:bottom w:val="single" w:sz="8" w:color="61656A"/>
            </w:tcBorders>
          </w:tcPr>
          <w:p>
            <w:pPr>
              <w:spacing w:after="0"/>
              <w:rPr>
                <w:sz w:val="16"/>
                <w:szCs w:val="16"/>
                <w:color w:val="auto"/>
              </w:rPr>
            </w:pPr>
          </w:p>
        </w:tc>
        <w:tc>
          <w:tcPr>
            <w:tcW w:w="11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w:t>
            </w:r>
          </w:p>
        </w:tc>
        <w:tc>
          <w:tcPr>
            <w:tcW w:w="240" w:type="dxa"/>
            <w:vAlign w:val="bottom"/>
            <w:tcBorders>
              <w:bottom w:val="single" w:sz="8" w:color="61656A"/>
            </w:tcBorders>
          </w:tcPr>
          <w:p>
            <w:pPr>
              <w:spacing w:after="0"/>
              <w:rPr>
                <w:sz w:val="16"/>
                <w:szCs w:val="16"/>
                <w:color w:val="auto"/>
              </w:rPr>
            </w:pPr>
          </w:p>
        </w:tc>
        <w:tc>
          <w:tcPr>
            <w:tcW w:w="11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17</w:t>
            </w:r>
          </w:p>
        </w:tc>
        <w:tc>
          <w:tcPr>
            <w:tcW w:w="280" w:type="dxa"/>
            <w:vAlign w:val="bottom"/>
            <w:tcBorders>
              <w:bottom w:val="single" w:sz="8" w:color="61656A"/>
            </w:tcBorders>
          </w:tcPr>
          <w:p>
            <w:pPr>
              <w:spacing w:after="0"/>
              <w:rPr>
                <w:sz w:val="16"/>
                <w:szCs w:val="16"/>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590</w:t>
            </w:r>
          </w:p>
        </w:tc>
        <w:tc>
          <w:tcPr>
            <w:tcW w:w="0" w:type="dxa"/>
            <w:vAlign w:val="bottom"/>
          </w:tcPr>
          <w:p>
            <w:pPr>
              <w:spacing w:after="0"/>
              <w:rPr>
                <w:sz w:val="1"/>
                <w:szCs w:val="1"/>
                <w:color w:val="auto"/>
              </w:rPr>
            </w:pPr>
          </w:p>
        </w:tc>
      </w:tr>
      <w:tr>
        <w:trPr>
          <w:trHeight w:val="196"/>
        </w:trPr>
        <w:tc>
          <w:tcPr>
            <w:tcW w:w="452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Amounts reclassified from accumulated other comprehensive loss</w:t>
            </w:r>
          </w:p>
        </w:tc>
        <w:tc>
          <w:tcPr>
            <w:tcW w:w="300" w:type="dxa"/>
            <w:vAlign w:val="bottom"/>
            <w:tcBorders>
              <w:bottom w:val="single" w:sz="8" w:color="D7282F"/>
            </w:tcBorders>
          </w:tcPr>
          <w:p>
            <w:pPr>
              <w:spacing w:after="0"/>
              <w:rPr>
                <w:sz w:val="17"/>
                <w:szCs w:val="17"/>
                <w:color w:val="auto"/>
              </w:rPr>
            </w:pPr>
          </w:p>
        </w:tc>
        <w:tc>
          <w:tcPr>
            <w:tcW w:w="10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D7282F"/>
            </w:tcBorders>
          </w:tcPr>
          <w:p>
            <w:pPr>
              <w:spacing w:after="0"/>
              <w:rPr>
                <w:sz w:val="17"/>
                <w:szCs w:val="17"/>
                <w:color w:val="auto"/>
              </w:rPr>
            </w:pPr>
          </w:p>
        </w:tc>
        <w:tc>
          <w:tcPr>
            <w:tcW w:w="13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70</w:t>
            </w:r>
          </w:p>
        </w:tc>
        <w:tc>
          <w:tcPr>
            <w:tcW w:w="260" w:type="dxa"/>
            <w:vAlign w:val="bottom"/>
            <w:tcBorders>
              <w:bottom w:val="single" w:sz="8" w:color="D7282F"/>
            </w:tcBorders>
          </w:tcPr>
          <w:p>
            <w:pPr>
              <w:spacing w:after="0"/>
              <w:rPr>
                <w:sz w:val="17"/>
                <w:szCs w:val="17"/>
                <w:color w:val="auto"/>
              </w:rPr>
            </w:pPr>
          </w:p>
        </w:tc>
        <w:tc>
          <w:tcPr>
            <w:tcW w:w="11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D7282F"/>
            </w:tcBorders>
          </w:tcPr>
          <w:p>
            <w:pPr>
              <w:spacing w:after="0"/>
              <w:rPr>
                <w:sz w:val="17"/>
                <w:szCs w:val="17"/>
                <w:color w:val="auto"/>
              </w:rPr>
            </w:pPr>
          </w:p>
        </w:tc>
        <w:tc>
          <w:tcPr>
            <w:tcW w:w="114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(16)</w:t>
            </w:r>
          </w:p>
        </w:tc>
        <w:tc>
          <w:tcPr>
            <w:tcW w:w="28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99"/>
        </w:trPr>
        <w:tc>
          <w:tcPr>
            <w:tcW w:w="452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Net current period other comprehensive income (loss)</w:t>
            </w:r>
          </w:p>
        </w:tc>
        <w:tc>
          <w:tcPr>
            <w:tcW w:w="300" w:type="dxa"/>
            <w:vAlign w:val="bottom"/>
            <w:tcBorders>
              <w:bottom w:val="single" w:sz="8" w:color="D7282F"/>
            </w:tcBorders>
          </w:tcPr>
          <w:p>
            <w:pPr>
              <w:spacing w:after="0"/>
              <w:rPr>
                <w:sz w:val="17"/>
                <w:szCs w:val="17"/>
                <w:color w:val="auto"/>
              </w:rPr>
            </w:pPr>
          </w:p>
        </w:tc>
        <w:tc>
          <w:tcPr>
            <w:tcW w:w="10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229</w:t>
            </w:r>
          </w:p>
        </w:tc>
        <w:tc>
          <w:tcPr>
            <w:tcW w:w="240" w:type="dxa"/>
            <w:vAlign w:val="bottom"/>
            <w:tcBorders>
              <w:bottom w:val="single" w:sz="8" w:color="D7282F"/>
            </w:tcBorders>
          </w:tcPr>
          <w:p>
            <w:pPr>
              <w:spacing w:after="0"/>
              <w:rPr>
                <w:sz w:val="17"/>
                <w:szCs w:val="17"/>
                <w:color w:val="auto"/>
              </w:rPr>
            </w:pPr>
          </w:p>
        </w:tc>
        <w:tc>
          <w:tcPr>
            <w:tcW w:w="13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413</w:t>
            </w:r>
          </w:p>
        </w:tc>
        <w:tc>
          <w:tcPr>
            <w:tcW w:w="260" w:type="dxa"/>
            <w:vAlign w:val="bottom"/>
            <w:tcBorders>
              <w:bottom w:val="single" w:sz="8" w:color="D7282F"/>
            </w:tcBorders>
          </w:tcPr>
          <w:p>
            <w:pPr>
              <w:spacing w:after="0"/>
              <w:rPr>
                <w:sz w:val="17"/>
                <w:szCs w:val="17"/>
                <w:color w:val="auto"/>
              </w:rPr>
            </w:pPr>
          </w:p>
        </w:tc>
        <w:tc>
          <w:tcPr>
            <w:tcW w:w="11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w:t>
            </w:r>
          </w:p>
        </w:tc>
        <w:tc>
          <w:tcPr>
            <w:tcW w:w="240" w:type="dxa"/>
            <w:vAlign w:val="bottom"/>
            <w:tcBorders>
              <w:bottom w:val="single" w:sz="8" w:color="D7282F"/>
            </w:tcBorders>
          </w:tcPr>
          <w:p>
            <w:pPr>
              <w:spacing w:after="0"/>
              <w:rPr>
                <w:sz w:val="17"/>
                <w:szCs w:val="17"/>
                <w:color w:val="auto"/>
              </w:rPr>
            </w:pPr>
          </w:p>
        </w:tc>
        <w:tc>
          <w:tcPr>
            <w:tcW w:w="11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w:t>
            </w:r>
          </w:p>
        </w:tc>
        <w:tc>
          <w:tcPr>
            <w:tcW w:w="28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644</w:t>
            </w:r>
          </w:p>
        </w:tc>
        <w:tc>
          <w:tcPr>
            <w:tcW w:w="0" w:type="dxa"/>
            <w:vAlign w:val="bottom"/>
          </w:tcPr>
          <w:p>
            <w:pPr>
              <w:spacing w:after="0"/>
              <w:rPr>
                <w:sz w:val="1"/>
                <w:szCs w:val="1"/>
                <w:color w:val="auto"/>
              </w:rPr>
            </w:pPr>
          </w:p>
        </w:tc>
      </w:tr>
      <w:tr>
        <w:trPr>
          <w:trHeight w:val="196"/>
        </w:trPr>
        <w:tc>
          <w:tcPr>
            <w:tcW w:w="452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Balance at December 31, 2024</w:t>
            </w:r>
          </w:p>
        </w:tc>
        <w:tc>
          <w:tcPr>
            <w:tcW w:w="3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(2,872)</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34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(642)</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(1)</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24</w:t>
            </w:r>
          </w:p>
        </w:tc>
        <w:tc>
          <w:tcPr>
            <w:tcW w:w="2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(3,491)</w:t>
            </w:r>
          </w:p>
        </w:tc>
        <w:tc>
          <w:tcPr>
            <w:tcW w:w="0" w:type="dxa"/>
            <w:vAlign w:val="bottom"/>
          </w:tcPr>
          <w:p>
            <w:pPr>
              <w:spacing w:after="0"/>
              <w:rPr>
                <w:sz w:val="1"/>
                <w:szCs w:val="1"/>
                <w:color w:val="auto"/>
              </w:rPr>
            </w:pPr>
          </w:p>
        </w:tc>
      </w:tr>
    </w:tbl>
    <w:p>
      <w:pPr>
        <w:spacing w:after="0" w:line="31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RECLASSIFICATIONS OUT OF ACCUMULATED OTHER COMPREHENSIVE LOSS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860" w:type="dxa"/>
            <w:vAlign w:val="bottom"/>
          </w:tcPr>
          <w:p>
            <w:pPr>
              <w:spacing w:after="0"/>
              <w:rPr>
                <w:sz w:val="17"/>
                <w:szCs w:val="17"/>
                <w:color w:val="auto"/>
              </w:rPr>
            </w:pPr>
          </w:p>
        </w:tc>
        <w:tc>
          <w:tcPr>
            <w:tcW w:w="120" w:type="dxa"/>
            <w:vAlign w:val="bottom"/>
            <w:tcBorders>
              <w:bottom w:val="single" w:sz="8" w:color="D7282F"/>
            </w:tcBorders>
          </w:tcPr>
          <w:p>
            <w:pPr>
              <w:spacing w:after="0"/>
              <w:rPr>
                <w:sz w:val="17"/>
                <w:szCs w:val="17"/>
                <w:color w:val="auto"/>
              </w:rPr>
            </w:pPr>
          </w:p>
        </w:tc>
        <w:tc>
          <w:tcPr>
            <w:tcW w:w="900" w:type="dxa"/>
            <w:vAlign w:val="bottom"/>
            <w:tcBorders>
              <w:bottom w:val="single" w:sz="8" w:color="D7282F"/>
            </w:tcBorders>
          </w:tcPr>
          <w:p>
            <w:pPr>
              <w:spacing w:after="0"/>
              <w:rPr>
                <w:sz w:val="17"/>
                <w:szCs w:val="17"/>
                <w:color w:val="auto"/>
              </w:rPr>
            </w:pPr>
          </w:p>
        </w:tc>
        <w:tc>
          <w:tcPr>
            <w:tcW w:w="260" w:type="dxa"/>
            <w:vAlign w:val="bottom"/>
            <w:tcBorders>
              <w:bottom w:val="single" w:sz="8" w:color="D7282F"/>
            </w:tcBorders>
          </w:tcPr>
          <w:p>
            <w:pPr>
              <w:spacing w:after="0"/>
              <w:rPr>
                <w:sz w:val="17"/>
                <w:szCs w:val="17"/>
                <w:color w:val="auto"/>
              </w:rPr>
            </w:pPr>
          </w:p>
        </w:tc>
        <w:tc>
          <w:tcPr>
            <w:tcW w:w="860" w:type="dxa"/>
            <w:vAlign w:val="bottom"/>
            <w:tcBorders>
              <w:bottom w:val="single" w:sz="8" w:color="D7282F"/>
            </w:tcBorders>
          </w:tcPr>
          <w:p>
            <w:pPr>
              <w:spacing w:after="0"/>
              <w:rPr>
                <w:sz w:val="17"/>
                <w:szCs w:val="17"/>
                <w:color w:val="auto"/>
              </w:rPr>
            </w:pPr>
          </w:p>
        </w:tc>
        <w:tc>
          <w:tcPr>
            <w:tcW w:w="340" w:type="dxa"/>
            <w:vAlign w:val="bottom"/>
            <w:tcBorders>
              <w:bottom w:val="single" w:sz="8" w:color="D7282F"/>
            </w:tcBorders>
          </w:tcPr>
          <w:p>
            <w:pPr>
              <w:spacing w:after="0"/>
              <w:rPr>
                <w:sz w:val="17"/>
                <w:szCs w:val="17"/>
                <w:color w:val="auto"/>
              </w:rPr>
            </w:pPr>
          </w:p>
        </w:tc>
        <w:tc>
          <w:tcPr>
            <w:tcW w:w="3740" w:type="dxa"/>
            <w:vAlign w:val="bottom"/>
            <w:tcBorders>
              <w:bottom w:val="single" w:sz="8" w:color="D7282F"/>
            </w:tcBorders>
            <w:gridSpan w:val="5"/>
          </w:tcPr>
          <w:p>
            <w:pPr>
              <w:jc w:val="center"/>
              <w:ind w:right="268"/>
              <w:spacing w:after="0"/>
              <w:rPr>
                <w:sz w:val="20"/>
                <w:szCs w:val="20"/>
                <w:color w:val="auto"/>
              </w:rPr>
            </w:pPr>
            <w:r>
              <w:rPr>
                <w:rFonts w:ascii="Arial" w:cs="Arial" w:eastAsia="Arial" w:hAnsi="Arial"/>
                <w:sz w:val="14"/>
                <w:szCs w:val="14"/>
                <w:b w:val="1"/>
                <w:bCs w:val="1"/>
                <w:color w:val="auto"/>
              </w:rPr>
              <w:t>Year Ended December 31, 2024</w:t>
            </w:r>
          </w:p>
        </w:tc>
        <w:tc>
          <w:tcPr>
            <w:tcW w:w="160" w:type="dxa"/>
            <w:vAlign w:val="bottom"/>
            <w:tcBorders>
              <w:bottom w:val="single" w:sz="8" w:color="D7282F"/>
            </w:tcBorders>
          </w:tcPr>
          <w:p>
            <w:pPr>
              <w:spacing w:after="0"/>
              <w:rPr>
                <w:sz w:val="17"/>
                <w:szCs w:val="17"/>
                <w:color w:val="auto"/>
              </w:rPr>
            </w:pPr>
          </w:p>
        </w:tc>
        <w:tc>
          <w:tcPr>
            <w:tcW w:w="920" w:type="dxa"/>
            <w:vAlign w:val="bottom"/>
            <w:tcBorders>
              <w:bottom w:val="single" w:sz="8" w:color="D7282F"/>
            </w:tcBorders>
          </w:tcPr>
          <w:p>
            <w:pPr>
              <w:spacing w:after="0"/>
              <w:rPr>
                <w:sz w:val="17"/>
                <w:szCs w:val="17"/>
                <w:color w:val="auto"/>
              </w:rPr>
            </w:pPr>
          </w:p>
        </w:tc>
        <w:tc>
          <w:tcPr>
            <w:tcW w:w="34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860" w:type="dxa"/>
            <w:vAlign w:val="bottom"/>
          </w:tcPr>
          <w:p>
            <w:pPr>
              <w:spacing w:after="0"/>
              <w:rPr>
                <w:sz w:val="20"/>
                <w:szCs w:val="20"/>
                <w:color w:val="auto"/>
              </w:rPr>
            </w:pPr>
          </w:p>
        </w:tc>
        <w:tc>
          <w:tcPr>
            <w:tcW w:w="120" w:type="dxa"/>
            <w:vAlign w:val="bottom"/>
            <w:tcBorders>
              <w:bottom w:val="single" w:sz="8" w:color="D7282F"/>
            </w:tcBorders>
          </w:tcPr>
          <w:p>
            <w:pPr>
              <w:spacing w:after="0"/>
              <w:rPr>
                <w:sz w:val="20"/>
                <w:szCs w:val="20"/>
                <w:color w:val="auto"/>
              </w:rPr>
            </w:pPr>
          </w:p>
        </w:tc>
        <w:tc>
          <w:tcPr>
            <w:tcW w:w="900" w:type="dxa"/>
            <w:vAlign w:val="bottom"/>
            <w:tcBorders>
              <w:bottom w:val="single" w:sz="8" w:color="D7282F"/>
            </w:tcBorders>
          </w:tcPr>
          <w:p>
            <w:pPr>
              <w:spacing w:after="0"/>
              <w:rPr>
                <w:sz w:val="20"/>
                <w:szCs w:val="20"/>
                <w:color w:val="auto"/>
              </w:rPr>
            </w:pPr>
          </w:p>
        </w:tc>
        <w:tc>
          <w:tcPr>
            <w:tcW w:w="260" w:type="dxa"/>
            <w:vAlign w:val="bottom"/>
            <w:tcBorders>
              <w:bottom w:val="single" w:sz="8" w:color="D7282F"/>
            </w:tcBorders>
          </w:tcPr>
          <w:p>
            <w:pPr>
              <w:spacing w:after="0"/>
              <w:rPr>
                <w:sz w:val="20"/>
                <w:szCs w:val="20"/>
                <w:color w:val="auto"/>
              </w:rPr>
            </w:pPr>
          </w:p>
        </w:tc>
        <w:tc>
          <w:tcPr>
            <w:tcW w:w="860" w:type="dxa"/>
            <w:vAlign w:val="bottom"/>
            <w:tcBorders>
              <w:bottom w:val="single" w:sz="8" w:color="D7282F"/>
            </w:tcBorders>
          </w:tcPr>
          <w:p>
            <w:pPr>
              <w:spacing w:after="0"/>
              <w:rPr>
                <w:sz w:val="20"/>
                <w:szCs w:val="20"/>
                <w:color w:val="auto"/>
              </w:rPr>
            </w:pPr>
          </w:p>
        </w:tc>
        <w:tc>
          <w:tcPr>
            <w:tcW w:w="4080" w:type="dxa"/>
            <w:vAlign w:val="bottom"/>
            <w:tcBorders>
              <w:bottom w:val="single" w:sz="8" w:color="D7282F"/>
            </w:tcBorders>
            <w:gridSpan w:val="6"/>
          </w:tcPr>
          <w:p>
            <w:pPr>
              <w:jc w:val="center"/>
              <w:spacing w:after="0"/>
              <w:rPr>
                <w:sz w:val="20"/>
                <w:szCs w:val="20"/>
                <w:color w:val="auto"/>
              </w:rPr>
            </w:pPr>
            <w:r>
              <w:rPr>
                <w:rFonts w:ascii="Arial" w:cs="Arial" w:eastAsia="Arial" w:hAnsi="Arial"/>
                <w:sz w:val="14"/>
                <w:szCs w:val="14"/>
                <w:b w:val="1"/>
                <w:bCs w:val="1"/>
                <w:color w:val="auto"/>
              </w:rPr>
              <w:t>Affected Line in the Consolidated Statement of Operations</w:t>
            </w:r>
          </w:p>
        </w:tc>
        <w:tc>
          <w:tcPr>
            <w:tcW w:w="160" w:type="dxa"/>
            <w:vAlign w:val="bottom"/>
            <w:tcBorders>
              <w:bottom w:val="single" w:sz="8" w:color="D7282F"/>
            </w:tcBorders>
          </w:tcPr>
          <w:p>
            <w:pPr>
              <w:spacing w:after="0"/>
              <w:rPr>
                <w:sz w:val="20"/>
                <w:szCs w:val="20"/>
                <w:color w:val="auto"/>
              </w:rPr>
            </w:pPr>
          </w:p>
        </w:tc>
        <w:tc>
          <w:tcPr>
            <w:tcW w:w="920" w:type="dxa"/>
            <w:vAlign w:val="bottom"/>
            <w:tcBorders>
              <w:bottom w:val="single" w:sz="8" w:color="D7282F"/>
            </w:tcBorders>
          </w:tcPr>
          <w:p>
            <w:pPr>
              <w:spacing w:after="0"/>
              <w:rPr>
                <w:sz w:val="20"/>
                <w:szCs w:val="20"/>
                <w:color w:val="auto"/>
              </w:rPr>
            </w:pPr>
          </w:p>
        </w:tc>
        <w:tc>
          <w:tcPr>
            <w:tcW w:w="340" w:type="dxa"/>
            <w:vAlign w:val="bottom"/>
            <w:tcBorders>
              <w:bottom w:val="single" w:sz="8" w:color="D7282F"/>
            </w:tcBorders>
          </w:tcPr>
          <w:p>
            <w:pPr>
              <w:spacing w:after="0"/>
              <w:rPr>
                <w:sz w:val="20"/>
                <w:szCs w:val="20"/>
                <w:color w:val="auto"/>
              </w:rPr>
            </w:pPr>
          </w:p>
        </w:tc>
        <w:tc>
          <w:tcPr>
            <w:tcW w:w="740" w:type="dxa"/>
            <w:vAlign w:val="bottom"/>
            <w:tcBorders>
              <w:bottom w:val="single" w:sz="8" w:color="D7282F"/>
            </w:tcBorders>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vMerge w:val="restart"/>
          </w:tcPr>
          <w:p>
            <w:pPr>
              <w:jc w:val="center"/>
              <w:ind w:right="88"/>
              <w:spacing w:after="0"/>
              <w:rPr>
                <w:sz w:val="20"/>
                <w:szCs w:val="20"/>
                <w:color w:val="auto"/>
              </w:rPr>
            </w:pPr>
            <w:r>
              <w:rPr>
                <w:rFonts w:ascii="Arial" w:cs="Arial" w:eastAsia="Arial" w:hAnsi="Arial"/>
                <w:sz w:val="14"/>
                <w:szCs w:val="14"/>
                <w:b w:val="1"/>
                <w:bCs w:val="1"/>
                <w:color w:val="auto"/>
              </w:rPr>
              <w:t>Cost of</w:t>
            </w:r>
          </w:p>
        </w:tc>
        <w:tc>
          <w:tcPr>
            <w:tcW w:w="340" w:type="dxa"/>
            <w:vAlign w:val="bottom"/>
          </w:tcPr>
          <w:p>
            <w:pPr>
              <w:spacing w:after="0"/>
              <w:rPr>
                <w:sz w:val="15"/>
                <w:szCs w:val="15"/>
                <w:color w:val="auto"/>
              </w:rPr>
            </w:pPr>
          </w:p>
        </w:tc>
        <w:tc>
          <w:tcPr>
            <w:tcW w:w="920" w:type="dxa"/>
            <w:vAlign w:val="bottom"/>
            <w:vMerge w:val="restart"/>
          </w:tcPr>
          <w:p>
            <w:pPr>
              <w:jc w:val="center"/>
              <w:ind w:right="188"/>
              <w:spacing w:after="0"/>
              <w:rPr>
                <w:sz w:val="20"/>
                <w:szCs w:val="20"/>
                <w:color w:val="auto"/>
              </w:rPr>
            </w:pPr>
            <w:r>
              <w:rPr>
                <w:rFonts w:ascii="Arial" w:cs="Arial" w:eastAsia="Arial" w:hAnsi="Arial"/>
                <w:sz w:val="14"/>
                <w:szCs w:val="14"/>
                <w:b w:val="1"/>
                <w:bCs w:val="1"/>
                <w:color w:val="auto"/>
              </w:rPr>
              <w:t>Cost of</w:t>
            </w:r>
          </w:p>
        </w:tc>
        <w:tc>
          <w:tcPr>
            <w:tcW w:w="220" w:type="dxa"/>
            <w:vAlign w:val="bottom"/>
          </w:tcPr>
          <w:p>
            <w:pPr>
              <w:spacing w:after="0"/>
              <w:rPr>
                <w:sz w:val="15"/>
                <w:szCs w:val="15"/>
                <w:color w:val="auto"/>
              </w:rPr>
            </w:pPr>
          </w:p>
        </w:tc>
        <w:tc>
          <w:tcPr>
            <w:tcW w:w="1320" w:type="dxa"/>
            <w:vAlign w:val="bottom"/>
          </w:tcPr>
          <w:p>
            <w:pPr>
              <w:jc w:val="center"/>
              <w:ind w:right="128"/>
              <w:spacing w:after="0"/>
              <w:rPr>
                <w:sz w:val="20"/>
                <w:szCs w:val="20"/>
                <w:color w:val="auto"/>
              </w:rPr>
            </w:pPr>
            <w:r>
              <w:rPr>
                <w:rFonts w:ascii="Arial" w:cs="Arial" w:eastAsia="Arial" w:hAnsi="Arial"/>
                <w:sz w:val="14"/>
                <w:szCs w:val="14"/>
                <w:b w:val="1"/>
                <w:bCs w:val="1"/>
                <w:color w:val="auto"/>
              </w:rPr>
              <w:t>Selling, General</w:t>
            </w:r>
          </w:p>
        </w:tc>
        <w:tc>
          <w:tcPr>
            <w:tcW w:w="260" w:type="dxa"/>
            <w:vAlign w:val="bottom"/>
          </w:tcPr>
          <w:p>
            <w:pPr>
              <w:spacing w:after="0"/>
              <w:rPr>
                <w:sz w:val="15"/>
                <w:szCs w:val="15"/>
                <w:color w:val="auto"/>
              </w:rPr>
            </w:pPr>
          </w:p>
        </w:tc>
        <w:tc>
          <w:tcPr>
            <w:tcW w:w="102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auto"/>
              </w:rPr>
              <w:t>Other</w:t>
            </w:r>
          </w:p>
        </w:tc>
        <w:tc>
          <w:tcPr>
            <w:tcW w:w="1080" w:type="dxa"/>
            <w:vAlign w:val="bottom"/>
            <w:gridSpan w:val="2"/>
          </w:tcPr>
          <w:p>
            <w:pPr>
              <w:jc w:val="right"/>
              <w:ind w:right="88"/>
              <w:spacing w:after="0"/>
              <w:rPr>
                <w:sz w:val="20"/>
                <w:szCs w:val="20"/>
                <w:color w:val="auto"/>
              </w:rPr>
            </w:pPr>
            <w:r>
              <w:rPr>
                <w:rFonts w:ascii="Arial" w:cs="Arial" w:eastAsia="Arial" w:hAnsi="Arial"/>
                <w:sz w:val="14"/>
                <w:szCs w:val="14"/>
                <w:b w:val="1"/>
                <w:bCs w:val="1"/>
                <w:color w:val="auto"/>
              </w:rPr>
              <w:t>Interest and</w:t>
            </w: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jc w:val="center"/>
              <w:ind w:right="148"/>
              <w:spacing w:after="0" w:line="149" w:lineRule="exact"/>
              <w:rPr>
                <w:sz w:val="20"/>
                <w:szCs w:val="20"/>
                <w:color w:val="auto"/>
              </w:rPr>
            </w:pPr>
            <w:r>
              <w:rPr>
                <w:rFonts w:ascii="Arial" w:cs="Arial" w:eastAsia="Arial" w:hAnsi="Arial"/>
                <w:sz w:val="14"/>
                <w:szCs w:val="14"/>
                <w:b w:val="1"/>
                <w:bCs w:val="1"/>
                <w:color w:val="auto"/>
              </w:rPr>
              <w:t>and</w:t>
            </w:r>
          </w:p>
        </w:tc>
        <w:tc>
          <w:tcPr>
            <w:tcW w:w="26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center"/>
              <w:ind w:right="148"/>
              <w:spacing w:after="0" w:line="149" w:lineRule="exact"/>
              <w:rPr>
                <w:sz w:val="20"/>
                <w:szCs w:val="20"/>
                <w:color w:val="auto"/>
              </w:rPr>
            </w:pPr>
            <w:r>
              <w:rPr>
                <w:rFonts w:ascii="Arial" w:cs="Arial" w:eastAsia="Arial" w:hAnsi="Arial"/>
                <w:sz w:val="14"/>
                <w:szCs w:val="14"/>
                <w:b w:val="1"/>
                <w:bCs w:val="1"/>
                <w:color w:val="auto"/>
              </w:rPr>
              <w:t>Other</w:t>
            </w: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Net Sales</w:t>
            </w:r>
          </w:p>
        </w:tc>
        <w:tc>
          <w:tcPr>
            <w:tcW w:w="260" w:type="dxa"/>
            <w:vAlign w:val="bottom"/>
          </w:tcPr>
          <w:p>
            <w:pPr>
              <w:spacing w:after="0"/>
              <w:rPr>
                <w:sz w:val="12"/>
                <w:szCs w:val="12"/>
                <w:color w:val="auto"/>
              </w:rPr>
            </w:pPr>
          </w:p>
        </w:tc>
        <w:tc>
          <w:tcPr>
            <w:tcW w:w="860" w:type="dxa"/>
            <w:vAlign w:val="bottom"/>
          </w:tcPr>
          <w:p>
            <w:pPr>
              <w:jc w:val="center"/>
              <w:ind w:right="88"/>
              <w:spacing w:after="0" w:line="139" w:lineRule="exact"/>
              <w:rPr>
                <w:sz w:val="20"/>
                <w:szCs w:val="20"/>
                <w:color w:val="auto"/>
              </w:rPr>
            </w:pPr>
            <w:r>
              <w:rPr>
                <w:rFonts w:ascii="Arial" w:cs="Arial" w:eastAsia="Arial" w:hAnsi="Arial"/>
                <w:sz w:val="14"/>
                <w:szCs w:val="14"/>
                <w:b w:val="1"/>
                <w:bCs w:val="1"/>
                <w:color w:val="auto"/>
              </w:rPr>
              <w:t>Products</w:t>
            </w:r>
          </w:p>
        </w:tc>
        <w:tc>
          <w:tcPr>
            <w:tcW w:w="340" w:type="dxa"/>
            <w:vAlign w:val="bottom"/>
          </w:tcPr>
          <w:p>
            <w:pPr>
              <w:spacing w:after="0"/>
              <w:rPr>
                <w:sz w:val="12"/>
                <w:szCs w:val="12"/>
                <w:color w:val="auto"/>
              </w:rPr>
            </w:pPr>
          </w:p>
        </w:tc>
        <w:tc>
          <w:tcPr>
            <w:tcW w:w="920" w:type="dxa"/>
            <w:vAlign w:val="bottom"/>
          </w:tcPr>
          <w:p>
            <w:pPr>
              <w:jc w:val="center"/>
              <w:ind w:right="188"/>
              <w:spacing w:after="0" w:line="139" w:lineRule="exact"/>
              <w:rPr>
                <w:sz w:val="20"/>
                <w:szCs w:val="20"/>
                <w:color w:val="auto"/>
              </w:rPr>
            </w:pPr>
            <w:r>
              <w:rPr>
                <w:rFonts w:ascii="Arial" w:cs="Arial" w:eastAsia="Arial" w:hAnsi="Arial"/>
                <w:sz w:val="14"/>
                <w:szCs w:val="14"/>
                <w:b w:val="1"/>
                <w:bCs w:val="1"/>
                <w:color w:val="auto"/>
              </w:rPr>
              <w:t>Services</w:t>
            </w:r>
          </w:p>
        </w:tc>
        <w:tc>
          <w:tcPr>
            <w:tcW w:w="220" w:type="dxa"/>
            <w:vAlign w:val="bottom"/>
          </w:tcPr>
          <w:p>
            <w:pPr>
              <w:spacing w:after="0"/>
              <w:rPr>
                <w:sz w:val="12"/>
                <w:szCs w:val="12"/>
                <w:color w:val="auto"/>
              </w:rPr>
            </w:pPr>
          </w:p>
        </w:tc>
        <w:tc>
          <w:tcPr>
            <w:tcW w:w="1320" w:type="dxa"/>
            <w:vAlign w:val="bottom"/>
          </w:tcPr>
          <w:p>
            <w:pPr>
              <w:jc w:val="center"/>
              <w:ind w:right="128"/>
              <w:spacing w:after="0" w:line="139" w:lineRule="exact"/>
              <w:rPr>
                <w:sz w:val="20"/>
                <w:szCs w:val="20"/>
                <w:color w:val="auto"/>
              </w:rPr>
            </w:pPr>
            <w:r>
              <w:rPr>
                <w:rFonts w:ascii="Arial" w:cs="Arial" w:eastAsia="Arial" w:hAnsi="Arial"/>
                <w:sz w:val="14"/>
                <w:szCs w:val="14"/>
                <w:b w:val="1"/>
                <w:bCs w:val="1"/>
                <w:color w:val="auto"/>
              </w:rPr>
              <w:t>Administrative</w:t>
            </w:r>
          </w:p>
        </w:tc>
        <w:tc>
          <w:tcPr>
            <w:tcW w:w="260" w:type="dxa"/>
            <w:vAlign w:val="bottom"/>
          </w:tcPr>
          <w:p>
            <w:pPr>
              <w:spacing w:after="0"/>
              <w:rPr>
                <w:sz w:val="12"/>
                <w:szCs w:val="12"/>
                <w:color w:val="auto"/>
              </w:rPr>
            </w:pPr>
          </w:p>
        </w:tc>
        <w:tc>
          <w:tcPr>
            <w:tcW w:w="1020" w:type="dxa"/>
            <w:vAlign w:val="bottom"/>
          </w:tcPr>
          <w:p>
            <w:pPr>
              <w:jc w:val="right"/>
              <w:ind w:right="308"/>
              <w:spacing w:after="0" w:line="139" w:lineRule="exact"/>
              <w:rPr>
                <w:sz w:val="20"/>
                <w:szCs w:val="20"/>
                <w:color w:val="auto"/>
              </w:rPr>
            </w:pPr>
            <w:r>
              <w:rPr>
                <w:rFonts w:ascii="Arial" w:cs="Arial" w:eastAsia="Arial" w:hAnsi="Arial"/>
                <w:sz w:val="14"/>
                <w:szCs w:val="14"/>
                <w:b w:val="1"/>
                <w:bCs w:val="1"/>
                <w:color w:val="auto"/>
              </w:rPr>
              <w:t>(Income)</w:t>
            </w:r>
          </w:p>
        </w:tc>
        <w:tc>
          <w:tcPr>
            <w:tcW w:w="160" w:type="dxa"/>
            <w:vAlign w:val="bottom"/>
          </w:tcPr>
          <w:p>
            <w:pPr>
              <w:spacing w:after="0"/>
              <w:rPr>
                <w:sz w:val="12"/>
                <w:szCs w:val="12"/>
                <w:color w:val="auto"/>
              </w:rPr>
            </w:pPr>
          </w:p>
        </w:tc>
        <w:tc>
          <w:tcPr>
            <w:tcW w:w="920" w:type="dxa"/>
            <w:vAlign w:val="bottom"/>
          </w:tcPr>
          <w:p>
            <w:pPr>
              <w:jc w:val="center"/>
              <w:ind w:right="148"/>
              <w:spacing w:after="0" w:line="139" w:lineRule="exact"/>
              <w:rPr>
                <w:sz w:val="20"/>
                <w:szCs w:val="20"/>
                <w:color w:val="auto"/>
              </w:rPr>
            </w:pPr>
            <w:r>
              <w:rPr>
                <w:rFonts w:ascii="Arial" w:cs="Arial" w:eastAsia="Arial" w:hAnsi="Arial"/>
                <w:sz w:val="14"/>
                <w:szCs w:val="14"/>
                <w:b w:val="1"/>
                <w:bCs w:val="1"/>
                <w:color w:val="auto"/>
              </w:rPr>
              <w:t>Financial</w:t>
            </w:r>
          </w:p>
        </w:tc>
        <w:tc>
          <w:tcPr>
            <w:tcW w:w="340" w:type="dxa"/>
            <w:vAlign w:val="bottom"/>
          </w:tcPr>
          <w:p>
            <w:pPr>
              <w:spacing w:after="0"/>
              <w:rPr>
                <w:sz w:val="12"/>
                <w:szCs w:val="12"/>
                <w:color w:val="auto"/>
              </w:rPr>
            </w:pPr>
          </w:p>
        </w:tc>
        <w:tc>
          <w:tcPr>
            <w:tcW w:w="74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7"/>
        </w:trPr>
        <w:tc>
          <w:tcPr>
            <w:tcW w:w="2860" w:type="dxa"/>
            <w:vAlign w:val="bottom"/>
            <w:tcBorders>
              <w:bottom w:val="single" w:sz="8" w:color="D7282F"/>
            </w:tcBorders>
          </w:tcPr>
          <w:p>
            <w:pPr>
              <w:spacing w:after="0"/>
              <w:rPr>
                <w:sz w:val="17"/>
                <w:szCs w:val="17"/>
                <w:color w:val="auto"/>
              </w:rPr>
            </w:pPr>
          </w:p>
        </w:tc>
        <w:tc>
          <w:tcPr>
            <w:tcW w:w="120" w:type="dxa"/>
            <w:vAlign w:val="bottom"/>
            <w:tcBorders>
              <w:bottom w:val="single" w:sz="8" w:color="D7282F"/>
            </w:tcBorders>
          </w:tcPr>
          <w:p>
            <w:pPr>
              <w:spacing w:after="0"/>
              <w:rPr>
                <w:sz w:val="17"/>
                <w:szCs w:val="17"/>
                <w:color w:val="auto"/>
              </w:rPr>
            </w:pPr>
          </w:p>
        </w:tc>
        <w:tc>
          <w:tcPr>
            <w:tcW w:w="900" w:type="dxa"/>
            <w:vAlign w:val="bottom"/>
            <w:tcBorders>
              <w:bottom w:val="single" w:sz="8" w:color="D7282F"/>
            </w:tcBorders>
            <w:vMerge w:val="continue"/>
          </w:tcPr>
          <w:p>
            <w:pPr>
              <w:spacing w:after="0"/>
              <w:rPr>
                <w:sz w:val="17"/>
                <w:szCs w:val="17"/>
                <w:color w:val="auto"/>
              </w:rPr>
            </w:pPr>
          </w:p>
        </w:tc>
        <w:tc>
          <w:tcPr>
            <w:tcW w:w="260" w:type="dxa"/>
            <w:vAlign w:val="bottom"/>
            <w:tcBorders>
              <w:bottom w:val="single" w:sz="8" w:color="D7282F"/>
            </w:tcBorders>
          </w:tcPr>
          <w:p>
            <w:pPr>
              <w:spacing w:after="0"/>
              <w:rPr>
                <w:sz w:val="17"/>
                <w:szCs w:val="17"/>
                <w:color w:val="auto"/>
              </w:rPr>
            </w:pPr>
          </w:p>
        </w:tc>
        <w:tc>
          <w:tcPr>
            <w:tcW w:w="860" w:type="dxa"/>
            <w:vAlign w:val="bottom"/>
            <w:tcBorders>
              <w:bottom w:val="single" w:sz="8" w:color="D7282F"/>
            </w:tcBorders>
          </w:tcPr>
          <w:p>
            <w:pPr>
              <w:jc w:val="center"/>
              <w:ind w:right="108"/>
              <w:spacing w:after="0"/>
              <w:rPr>
                <w:sz w:val="20"/>
                <w:szCs w:val="20"/>
                <w:color w:val="auto"/>
              </w:rPr>
            </w:pPr>
            <w:r>
              <w:rPr>
                <w:rFonts w:ascii="Arial" w:cs="Arial" w:eastAsia="Arial" w:hAnsi="Arial"/>
                <w:sz w:val="14"/>
                <w:szCs w:val="14"/>
                <w:b w:val="1"/>
                <w:bCs w:val="1"/>
                <w:color w:val="auto"/>
              </w:rPr>
              <w:t>Sold</w:t>
            </w:r>
          </w:p>
        </w:tc>
        <w:tc>
          <w:tcPr>
            <w:tcW w:w="340" w:type="dxa"/>
            <w:vAlign w:val="bottom"/>
            <w:tcBorders>
              <w:bottom w:val="single" w:sz="8" w:color="D7282F"/>
            </w:tcBorders>
          </w:tcPr>
          <w:p>
            <w:pPr>
              <w:spacing w:after="0"/>
              <w:rPr>
                <w:sz w:val="17"/>
                <w:szCs w:val="17"/>
                <w:color w:val="auto"/>
              </w:rPr>
            </w:pPr>
          </w:p>
        </w:tc>
        <w:tc>
          <w:tcPr>
            <w:tcW w:w="920" w:type="dxa"/>
            <w:vAlign w:val="bottom"/>
            <w:tcBorders>
              <w:bottom w:val="single" w:sz="8" w:color="D7282F"/>
            </w:tcBorders>
          </w:tcPr>
          <w:p>
            <w:pPr>
              <w:jc w:val="center"/>
              <w:ind w:right="188"/>
              <w:spacing w:after="0"/>
              <w:rPr>
                <w:sz w:val="20"/>
                <w:szCs w:val="20"/>
                <w:color w:val="auto"/>
              </w:rPr>
            </w:pPr>
            <w:r>
              <w:rPr>
                <w:rFonts w:ascii="Arial" w:cs="Arial" w:eastAsia="Arial" w:hAnsi="Arial"/>
                <w:sz w:val="14"/>
                <w:szCs w:val="14"/>
                <w:b w:val="1"/>
                <w:bCs w:val="1"/>
                <w:color w:val="auto"/>
                <w:w w:val="98"/>
              </w:rPr>
              <w:t>Sold</w:t>
            </w:r>
          </w:p>
        </w:tc>
        <w:tc>
          <w:tcPr>
            <w:tcW w:w="220" w:type="dxa"/>
            <w:vAlign w:val="bottom"/>
            <w:tcBorders>
              <w:bottom w:val="single" w:sz="8" w:color="D7282F"/>
            </w:tcBorders>
          </w:tcPr>
          <w:p>
            <w:pPr>
              <w:spacing w:after="0"/>
              <w:rPr>
                <w:sz w:val="17"/>
                <w:szCs w:val="17"/>
                <w:color w:val="auto"/>
              </w:rPr>
            </w:pPr>
          </w:p>
        </w:tc>
        <w:tc>
          <w:tcPr>
            <w:tcW w:w="1320" w:type="dxa"/>
            <w:vAlign w:val="bottom"/>
            <w:tcBorders>
              <w:bottom w:val="single" w:sz="8" w:color="D7282F"/>
            </w:tcBorders>
          </w:tcPr>
          <w:p>
            <w:pPr>
              <w:jc w:val="center"/>
              <w:ind w:right="128"/>
              <w:spacing w:after="0"/>
              <w:rPr>
                <w:sz w:val="20"/>
                <w:szCs w:val="20"/>
                <w:color w:val="auto"/>
              </w:rPr>
            </w:pPr>
            <w:r>
              <w:rPr>
                <w:rFonts w:ascii="Arial" w:cs="Arial" w:eastAsia="Arial" w:hAnsi="Arial"/>
                <w:sz w:val="14"/>
                <w:szCs w:val="14"/>
                <w:b w:val="1"/>
                <w:bCs w:val="1"/>
                <w:color w:val="auto"/>
              </w:rPr>
              <w:t>Expenses</w:t>
            </w:r>
          </w:p>
        </w:tc>
        <w:tc>
          <w:tcPr>
            <w:tcW w:w="260" w:type="dxa"/>
            <w:vAlign w:val="bottom"/>
            <w:tcBorders>
              <w:bottom w:val="single" w:sz="8" w:color="D7282F"/>
            </w:tcBorders>
          </w:tcPr>
          <w:p>
            <w:pPr>
              <w:spacing w:after="0"/>
              <w:rPr>
                <w:sz w:val="17"/>
                <w:szCs w:val="17"/>
                <w:color w:val="auto"/>
              </w:rPr>
            </w:pPr>
          </w:p>
        </w:tc>
        <w:tc>
          <w:tcPr>
            <w:tcW w:w="1020" w:type="dxa"/>
            <w:vAlign w:val="bottom"/>
            <w:tcBorders>
              <w:bottom w:val="single" w:sz="8" w:color="D7282F"/>
            </w:tcBorders>
          </w:tcPr>
          <w:p>
            <w:pPr>
              <w:jc w:val="right"/>
              <w:ind w:right="308"/>
              <w:spacing w:after="0"/>
              <w:rPr>
                <w:sz w:val="20"/>
                <w:szCs w:val="20"/>
                <w:color w:val="auto"/>
              </w:rPr>
            </w:pPr>
            <w:r>
              <w:rPr>
                <w:rFonts w:ascii="Arial" w:cs="Arial" w:eastAsia="Arial" w:hAnsi="Arial"/>
                <w:sz w:val="14"/>
                <w:szCs w:val="14"/>
                <w:b w:val="1"/>
                <w:bCs w:val="1"/>
                <w:color w:val="auto"/>
              </w:rPr>
              <w:t>Expense</w:t>
            </w:r>
          </w:p>
        </w:tc>
        <w:tc>
          <w:tcPr>
            <w:tcW w:w="160" w:type="dxa"/>
            <w:vAlign w:val="bottom"/>
            <w:tcBorders>
              <w:bottom w:val="single" w:sz="8" w:color="D7282F"/>
            </w:tcBorders>
          </w:tcPr>
          <w:p>
            <w:pPr>
              <w:spacing w:after="0"/>
              <w:rPr>
                <w:sz w:val="17"/>
                <w:szCs w:val="17"/>
                <w:color w:val="auto"/>
              </w:rPr>
            </w:pPr>
          </w:p>
        </w:tc>
        <w:tc>
          <w:tcPr>
            <w:tcW w:w="920" w:type="dxa"/>
            <w:vAlign w:val="bottom"/>
            <w:tcBorders>
              <w:bottom w:val="single" w:sz="8" w:color="D7282F"/>
            </w:tcBorders>
          </w:tcPr>
          <w:p>
            <w:pPr>
              <w:jc w:val="center"/>
              <w:ind w:right="148"/>
              <w:spacing w:after="0"/>
              <w:rPr>
                <w:sz w:val="20"/>
                <w:szCs w:val="20"/>
                <w:color w:val="auto"/>
              </w:rPr>
            </w:pPr>
            <w:r>
              <w:rPr>
                <w:rFonts w:ascii="Arial" w:cs="Arial" w:eastAsia="Arial" w:hAnsi="Arial"/>
                <w:sz w:val="14"/>
                <w:szCs w:val="14"/>
                <w:b w:val="1"/>
                <w:bCs w:val="1"/>
                <w:color w:val="auto"/>
              </w:rPr>
              <w:t>Charges</w:t>
            </w:r>
          </w:p>
        </w:tc>
        <w:tc>
          <w:tcPr>
            <w:tcW w:w="34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860" w:type="dxa"/>
            <w:vAlign w:val="bottom"/>
          </w:tcPr>
          <w:p>
            <w:pPr>
              <w:ind w:left="20"/>
              <w:spacing w:after="0" w:line="143" w:lineRule="exact"/>
              <w:rPr>
                <w:sz w:val="20"/>
                <w:szCs w:val="20"/>
                <w:color w:val="auto"/>
              </w:rPr>
            </w:pPr>
            <w:r>
              <w:rPr>
                <w:rFonts w:ascii="Arial" w:cs="Arial" w:eastAsia="Arial" w:hAnsi="Arial"/>
                <w:sz w:val="14"/>
                <w:szCs w:val="14"/>
                <w:color w:val="auto"/>
              </w:rPr>
              <w:t>Amortization of pension and other</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86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postretirement benefit items</w:t>
            </w:r>
          </w:p>
        </w:tc>
        <w:tc>
          <w:tcPr>
            <w:tcW w:w="120" w:type="dxa"/>
            <w:vAlign w:val="bottom"/>
            <w:tcBorders>
              <w:bottom w:val="single" w:sz="8" w:color="888B8D"/>
            </w:tcBorders>
          </w:tcPr>
          <w:p>
            <w:pPr>
              <w:spacing w:after="0"/>
              <w:rPr>
                <w:sz w:val="16"/>
                <w:szCs w:val="16"/>
                <w:color w:val="auto"/>
              </w:rPr>
            </w:pPr>
          </w:p>
        </w:tc>
        <w:tc>
          <w:tcPr>
            <w:tcW w:w="900" w:type="dxa"/>
            <w:vAlign w:val="bottom"/>
            <w:tcBorders>
              <w:bottom w:val="single" w:sz="8" w:color="888B8D"/>
            </w:tcBorders>
          </w:tcPr>
          <w:p>
            <w:pPr>
              <w:spacing w:after="0"/>
              <w:rPr>
                <w:sz w:val="16"/>
                <w:szCs w:val="16"/>
                <w:color w:val="auto"/>
              </w:rPr>
            </w:pPr>
          </w:p>
        </w:tc>
        <w:tc>
          <w:tcPr>
            <w:tcW w:w="260" w:type="dxa"/>
            <w:vAlign w:val="bottom"/>
            <w:tcBorders>
              <w:bottom w:val="single" w:sz="8" w:color="888B8D"/>
            </w:tcBorders>
          </w:tcPr>
          <w:p>
            <w:pPr>
              <w:spacing w:after="0"/>
              <w:rPr>
                <w:sz w:val="16"/>
                <w:szCs w:val="16"/>
                <w:color w:val="auto"/>
              </w:rPr>
            </w:pPr>
          </w:p>
        </w:tc>
        <w:tc>
          <w:tcPr>
            <w:tcW w:w="860" w:type="dxa"/>
            <w:vAlign w:val="bottom"/>
            <w:tcBorders>
              <w:bottom w:val="single" w:sz="8" w:color="888B8D"/>
            </w:tcBorders>
          </w:tcPr>
          <w:p>
            <w:pPr>
              <w:spacing w:after="0"/>
              <w:rPr>
                <w:sz w:val="16"/>
                <w:szCs w:val="16"/>
                <w:color w:val="auto"/>
              </w:rPr>
            </w:pPr>
          </w:p>
        </w:tc>
        <w:tc>
          <w:tcPr>
            <w:tcW w:w="340" w:type="dxa"/>
            <w:vAlign w:val="bottom"/>
            <w:tcBorders>
              <w:bottom w:val="single" w:sz="8" w:color="888B8D"/>
            </w:tcBorders>
          </w:tcPr>
          <w:p>
            <w:pPr>
              <w:spacing w:after="0"/>
              <w:rPr>
                <w:sz w:val="16"/>
                <w:szCs w:val="16"/>
                <w:color w:val="auto"/>
              </w:rPr>
            </w:pPr>
          </w:p>
        </w:tc>
        <w:tc>
          <w:tcPr>
            <w:tcW w:w="920" w:type="dxa"/>
            <w:vAlign w:val="bottom"/>
            <w:tcBorders>
              <w:bottom w:val="single" w:sz="8" w:color="888B8D"/>
            </w:tcBorders>
          </w:tcPr>
          <w:p>
            <w:pPr>
              <w:spacing w:after="0"/>
              <w:rPr>
                <w:sz w:val="16"/>
                <w:szCs w:val="16"/>
                <w:color w:val="auto"/>
              </w:rPr>
            </w:pPr>
          </w:p>
        </w:tc>
        <w:tc>
          <w:tcPr>
            <w:tcW w:w="220" w:type="dxa"/>
            <w:vAlign w:val="bottom"/>
            <w:tcBorders>
              <w:bottom w:val="single" w:sz="8" w:color="888B8D"/>
            </w:tcBorders>
          </w:tcPr>
          <w:p>
            <w:pPr>
              <w:spacing w:after="0"/>
              <w:rPr>
                <w:sz w:val="16"/>
                <w:szCs w:val="16"/>
                <w:color w:val="auto"/>
              </w:rPr>
            </w:pPr>
          </w:p>
        </w:tc>
        <w:tc>
          <w:tcPr>
            <w:tcW w:w="1320" w:type="dxa"/>
            <w:vAlign w:val="bottom"/>
            <w:tcBorders>
              <w:bottom w:val="single" w:sz="8" w:color="888B8D"/>
            </w:tcBorders>
          </w:tcPr>
          <w:p>
            <w:pPr>
              <w:spacing w:after="0"/>
              <w:rPr>
                <w:sz w:val="16"/>
                <w:szCs w:val="16"/>
                <w:color w:val="auto"/>
              </w:rPr>
            </w:pPr>
          </w:p>
        </w:tc>
        <w:tc>
          <w:tcPr>
            <w:tcW w:w="260" w:type="dxa"/>
            <w:vAlign w:val="bottom"/>
            <w:tcBorders>
              <w:bottom w:val="single" w:sz="8" w:color="888B8D"/>
            </w:tcBorders>
          </w:tcPr>
          <w:p>
            <w:pPr>
              <w:spacing w:after="0"/>
              <w:rPr>
                <w:sz w:val="16"/>
                <w:szCs w:val="16"/>
                <w:color w:val="auto"/>
              </w:rPr>
            </w:pPr>
          </w:p>
        </w:tc>
        <w:tc>
          <w:tcPr>
            <w:tcW w:w="1020" w:type="dxa"/>
            <w:vAlign w:val="bottom"/>
            <w:tcBorders>
              <w:bottom w:val="single" w:sz="8" w:color="888B8D"/>
            </w:tcBorders>
          </w:tcPr>
          <w:p>
            <w:pPr>
              <w:spacing w:after="0"/>
              <w:rPr>
                <w:sz w:val="16"/>
                <w:szCs w:val="16"/>
                <w:color w:val="auto"/>
              </w:rPr>
            </w:pPr>
          </w:p>
        </w:tc>
        <w:tc>
          <w:tcPr>
            <w:tcW w:w="160" w:type="dxa"/>
            <w:vAlign w:val="bottom"/>
            <w:tcBorders>
              <w:bottom w:val="single" w:sz="8" w:color="888B8D"/>
            </w:tcBorders>
          </w:tcPr>
          <w:p>
            <w:pPr>
              <w:spacing w:after="0"/>
              <w:rPr>
                <w:sz w:val="16"/>
                <w:szCs w:val="16"/>
                <w:color w:val="auto"/>
              </w:rPr>
            </w:pPr>
          </w:p>
        </w:tc>
        <w:tc>
          <w:tcPr>
            <w:tcW w:w="920" w:type="dxa"/>
            <w:vAlign w:val="bottom"/>
            <w:tcBorders>
              <w:bottom w:val="single" w:sz="8" w:color="888B8D"/>
            </w:tcBorders>
          </w:tcPr>
          <w:p>
            <w:pPr>
              <w:spacing w:after="0"/>
              <w:rPr>
                <w:sz w:val="16"/>
                <w:szCs w:val="16"/>
                <w:color w:val="auto"/>
              </w:rPr>
            </w:pPr>
          </w:p>
        </w:tc>
        <w:tc>
          <w:tcPr>
            <w:tcW w:w="340" w:type="dxa"/>
            <w:vAlign w:val="bottom"/>
            <w:tcBorders>
              <w:bottom w:val="single" w:sz="8" w:color="888B8D"/>
            </w:tcBorders>
          </w:tcPr>
          <w:p>
            <w:pPr>
              <w:spacing w:after="0"/>
              <w:rPr>
                <w:sz w:val="16"/>
                <w:szCs w:val="16"/>
                <w:color w:val="auto"/>
              </w:rPr>
            </w:pPr>
          </w:p>
        </w:tc>
        <w:tc>
          <w:tcPr>
            <w:tcW w:w="740" w:type="dxa"/>
            <w:vAlign w:val="bottom"/>
            <w:tcBorders>
              <w:bottom w:val="single" w:sz="8" w:color="888B8D"/>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86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Actuarial losses recognized</w:t>
            </w:r>
          </w:p>
        </w:tc>
        <w:tc>
          <w:tcPr>
            <w:tcW w:w="12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888B8D"/>
            </w:tcBorders>
          </w:tcPr>
          <w:p>
            <w:pPr>
              <w:ind w:left="58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888B8D"/>
            </w:tcBorders>
          </w:tcPr>
          <w:p>
            <w:pPr>
              <w:ind w:left="62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888B8D"/>
            </w:tcBorders>
          </w:tcPr>
          <w:p>
            <w:pPr>
              <w:ind w:left="60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888B8D"/>
            </w:tcBorders>
          </w:tcPr>
          <w:p>
            <w:pPr>
              <w:ind w:left="100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888B8D"/>
            </w:tcBorders>
          </w:tcPr>
          <w:p>
            <w:pPr>
              <w:jc w:val="right"/>
              <w:ind w:right="188"/>
              <w:spacing w:after="0"/>
              <w:rPr>
                <w:sz w:val="20"/>
                <w:szCs w:val="20"/>
                <w:color w:val="auto"/>
              </w:rPr>
            </w:pPr>
            <w:r>
              <w:rPr>
                <w:rFonts w:ascii="Arial" w:cs="Arial" w:eastAsia="Arial" w:hAnsi="Arial"/>
                <w:sz w:val="14"/>
                <w:szCs w:val="14"/>
                <w:color w:val="auto"/>
              </w:rPr>
              <w:t>115</w:t>
            </w:r>
          </w:p>
        </w:tc>
        <w:tc>
          <w:tcPr>
            <w:tcW w:w="1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888B8D"/>
            </w:tcBorders>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196"/>
        </w:trPr>
        <w:tc>
          <w:tcPr>
            <w:tcW w:w="286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Prior service (credit) recognized</w:t>
            </w:r>
          </w:p>
        </w:tc>
        <w:tc>
          <w:tcPr>
            <w:tcW w:w="120" w:type="dxa"/>
            <w:vAlign w:val="bottom"/>
            <w:tcBorders>
              <w:bottom w:val="single" w:sz="8" w:color="888B8D"/>
            </w:tcBorders>
          </w:tcPr>
          <w:p>
            <w:pPr>
              <w:spacing w:after="0"/>
              <w:rPr>
                <w:sz w:val="17"/>
                <w:szCs w:val="17"/>
                <w:color w:val="auto"/>
              </w:rPr>
            </w:pPr>
          </w:p>
        </w:tc>
        <w:tc>
          <w:tcPr>
            <w:tcW w:w="900" w:type="dxa"/>
            <w:vAlign w:val="bottom"/>
            <w:tcBorders>
              <w:bottom w:val="single" w:sz="8" w:color="888B8D"/>
            </w:tcBorders>
          </w:tcPr>
          <w:p>
            <w:pPr>
              <w:ind w:left="58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888B8D"/>
            </w:tcBorders>
          </w:tcPr>
          <w:p>
            <w:pPr>
              <w:spacing w:after="0"/>
              <w:rPr>
                <w:sz w:val="17"/>
                <w:szCs w:val="17"/>
                <w:color w:val="auto"/>
              </w:rPr>
            </w:pPr>
          </w:p>
        </w:tc>
        <w:tc>
          <w:tcPr>
            <w:tcW w:w="860" w:type="dxa"/>
            <w:vAlign w:val="bottom"/>
            <w:tcBorders>
              <w:bottom w:val="single" w:sz="8" w:color="888B8D"/>
            </w:tcBorders>
          </w:tcPr>
          <w:p>
            <w:pPr>
              <w:ind w:left="62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888B8D"/>
            </w:tcBorders>
          </w:tcPr>
          <w:p>
            <w:pPr>
              <w:spacing w:after="0"/>
              <w:rPr>
                <w:sz w:val="17"/>
                <w:szCs w:val="17"/>
                <w:color w:val="auto"/>
              </w:rPr>
            </w:pPr>
          </w:p>
        </w:tc>
        <w:tc>
          <w:tcPr>
            <w:tcW w:w="920" w:type="dxa"/>
            <w:vAlign w:val="bottom"/>
            <w:tcBorders>
              <w:bottom w:val="single" w:sz="8" w:color="888B8D"/>
            </w:tcBorders>
          </w:tcPr>
          <w:p>
            <w:pPr>
              <w:ind w:left="60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888B8D"/>
            </w:tcBorders>
          </w:tcPr>
          <w:p>
            <w:pPr>
              <w:spacing w:after="0"/>
              <w:rPr>
                <w:sz w:val="17"/>
                <w:szCs w:val="17"/>
                <w:color w:val="auto"/>
              </w:rPr>
            </w:pPr>
          </w:p>
        </w:tc>
        <w:tc>
          <w:tcPr>
            <w:tcW w:w="1320" w:type="dxa"/>
            <w:vAlign w:val="bottom"/>
            <w:tcBorders>
              <w:bottom w:val="single" w:sz="8" w:color="888B8D"/>
            </w:tcBorders>
          </w:tcPr>
          <w:p>
            <w:pPr>
              <w:ind w:left="100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888B8D"/>
            </w:tcBorders>
          </w:tcPr>
          <w:p>
            <w:pPr>
              <w:spacing w:after="0"/>
              <w:rPr>
                <w:sz w:val="17"/>
                <w:szCs w:val="17"/>
                <w:color w:val="auto"/>
              </w:rPr>
            </w:pPr>
          </w:p>
        </w:tc>
        <w:tc>
          <w:tcPr>
            <w:tcW w:w="1020" w:type="dxa"/>
            <w:vAlign w:val="bottom"/>
            <w:tcBorders>
              <w:bottom w:val="single" w:sz="8" w:color="888B8D"/>
            </w:tcBorders>
          </w:tcPr>
          <w:p>
            <w:pPr>
              <w:jc w:val="right"/>
              <w:ind w:right="148"/>
              <w:spacing w:after="0"/>
              <w:rPr>
                <w:sz w:val="20"/>
                <w:szCs w:val="20"/>
                <w:color w:val="auto"/>
              </w:rPr>
            </w:pPr>
            <w:r>
              <w:rPr>
                <w:rFonts w:ascii="Arial" w:cs="Arial" w:eastAsia="Arial" w:hAnsi="Arial"/>
                <w:sz w:val="14"/>
                <w:szCs w:val="14"/>
                <w:color w:val="auto"/>
              </w:rPr>
              <w:t>(22)</w:t>
            </w:r>
          </w:p>
        </w:tc>
        <w:tc>
          <w:tcPr>
            <w:tcW w:w="160" w:type="dxa"/>
            <w:vAlign w:val="bottom"/>
            <w:tcBorders>
              <w:bottom w:val="single" w:sz="8" w:color="888B8D"/>
            </w:tcBorders>
          </w:tcPr>
          <w:p>
            <w:pPr>
              <w:spacing w:after="0"/>
              <w:rPr>
                <w:sz w:val="17"/>
                <w:szCs w:val="17"/>
                <w:color w:val="auto"/>
              </w:rPr>
            </w:pPr>
          </w:p>
        </w:tc>
        <w:tc>
          <w:tcPr>
            <w:tcW w:w="92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888B8D"/>
            </w:tcBorders>
          </w:tcPr>
          <w:p>
            <w:pPr>
              <w:spacing w:after="0"/>
              <w:rPr>
                <w:sz w:val="17"/>
                <w:szCs w:val="17"/>
                <w:color w:val="auto"/>
              </w:rPr>
            </w:pPr>
          </w:p>
        </w:tc>
        <w:tc>
          <w:tcPr>
            <w:tcW w:w="7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96"/>
        </w:trPr>
        <w:tc>
          <w:tcPr>
            <w:tcW w:w="286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Losses (gains) on cash flow hedges</w:t>
            </w:r>
          </w:p>
        </w:tc>
        <w:tc>
          <w:tcPr>
            <w:tcW w:w="120" w:type="dxa"/>
            <w:vAlign w:val="bottom"/>
            <w:tcBorders>
              <w:bottom w:val="single" w:sz="8" w:color="D7282F"/>
            </w:tcBorders>
          </w:tcPr>
          <w:p>
            <w:pPr>
              <w:spacing w:after="0"/>
              <w:rPr>
                <w:sz w:val="17"/>
                <w:szCs w:val="17"/>
                <w:color w:val="auto"/>
              </w:rPr>
            </w:pPr>
          </w:p>
        </w:tc>
        <w:tc>
          <w:tcPr>
            <w:tcW w:w="900" w:type="dxa"/>
            <w:vAlign w:val="bottom"/>
            <w:tcBorders>
              <w:bottom w:val="single" w:sz="8" w:color="D7282F"/>
            </w:tcBorders>
          </w:tcPr>
          <w:p>
            <w:pPr>
              <w:ind w:left="600"/>
              <w:spacing w:after="0"/>
              <w:rPr>
                <w:sz w:val="20"/>
                <w:szCs w:val="20"/>
                <w:color w:val="auto"/>
              </w:rPr>
            </w:pPr>
            <w:r>
              <w:rPr>
                <w:rFonts w:ascii="Arial" w:cs="Arial" w:eastAsia="Arial" w:hAnsi="Arial"/>
                <w:sz w:val="14"/>
                <w:szCs w:val="14"/>
                <w:color w:val="auto"/>
              </w:rPr>
              <w:t>(2)</w:t>
            </w:r>
          </w:p>
        </w:tc>
        <w:tc>
          <w:tcPr>
            <w:tcW w:w="260" w:type="dxa"/>
            <w:vAlign w:val="bottom"/>
            <w:tcBorders>
              <w:bottom w:val="single" w:sz="8" w:color="D7282F"/>
            </w:tcBorders>
          </w:tcPr>
          <w:p>
            <w:pPr>
              <w:spacing w:after="0"/>
              <w:rPr>
                <w:sz w:val="17"/>
                <w:szCs w:val="17"/>
                <w:color w:val="auto"/>
              </w:rPr>
            </w:pPr>
          </w:p>
        </w:tc>
        <w:tc>
          <w:tcPr>
            <w:tcW w:w="860" w:type="dxa"/>
            <w:vAlign w:val="bottom"/>
            <w:tcBorders>
              <w:bottom w:val="single" w:sz="8" w:color="D7282F"/>
            </w:tcBorders>
          </w:tcPr>
          <w:p>
            <w:pPr>
              <w:ind w:left="620"/>
              <w:spacing w:after="0"/>
              <w:rPr>
                <w:sz w:val="20"/>
                <w:szCs w:val="20"/>
                <w:color w:val="auto"/>
              </w:rPr>
            </w:pPr>
            <w:r>
              <w:rPr>
                <w:rFonts w:ascii="Arial" w:cs="Arial" w:eastAsia="Arial" w:hAnsi="Arial"/>
                <w:sz w:val="14"/>
                <w:szCs w:val="14"/>
                <w:color w:val="auto"/>
              </w:rPr>
              <w:t>(8)</w:t>
            </w:r>
          </w:p>
        </w:tc>
        <w:tc>
          <w:tcPr>
            <w:tcW w:w="340" w:type="dxa"/>
            <w:vAlign w:val="bottom"/>
            <w:tcBorders>
              <w:bottom w:val="single" w:sz="8" w:color="D7282F"/>
            </w:tcBorders>
          </w:tcPr>
          <w:p>
            <w:pPr>
              <w:spacing w:after="0"/>
              <w:rPr>
                <w:sz w:val="17"/>
                <w:szCs w:val="17"/>
                <w:color w:val="auto"/>
              </w:rPr>
            </w:pPr>
          </w:p>
        </w:tc>
        <w:tc>
          <w:tcPr>
            <w:tcW w:w="920" w:type="dxa"/>
            <w:vAlign w:val="bottom"/>
            <w:tcBorders>
              <w:bottom w:val="single" w:sz="8" w:color="D7282F"/>
            </w:tcBorders>
          </w:tcPr>
          <w:p>
            <w:pPr>
              <w:ind w:left="600"/>
              <w:spacing w:after="0"/>
              <w:rPr>
                <w:sz w:val="20"/>
                <w:szCs w:val="20"/>
                <w:color w:val="auto"/>
              </w:rPr>
            </w:pPr>
            <w:r>
              <w:rPr>
                <w:rFonts w:ascii="Arial" w:cs="Arial" w:eastAsia="Arial" w:hAnsi="Arial"/>
                <w:sz w:val="14"/>
                <w:szCs w:val="14"/>
                <w:color w:val="auto"/>
              </w:rPr>
              <w:t>(3)</w:t>
            </w:r>
          </w:p>
        </w:tc>
        <w:tc>
          <w:tcPr>
            <w:tcW w:w="220" w:type="dxa"/>
            <w:vAlign w:val="bottom"/>
            <w:tcBorders>
              <w:bottom w:val="single" w:sz="8" w:color="D7282F"/>
            </w:tcBorders>
          </w:tcPr>
          <w:p>
            <w:pPr>
              <w:spacing w:after="0"/>
              <w:rPr>
                <w:sz w:val="17"/>
                <w:szCs w:val="17"/>
                <w:color w:val="auto"/>
              </w:rPr>
            </w:pPr>
          </w:p>
        </w:tc>
        <w:tc>
          <w:tcPr>
            <w:tcW w:w="1320" w:type="dxa"/>
            <w:vAlign w:val="bottom"/>
            <w:tcBorders>
              <w:bottom w:val="single" w:sz="8" w:color="D7282F"/>
            </w:tcBorders>
          </w:tcPr>
          <w:p>
            <w:pPr>
              <w:ind w:left="1000"/>
              <w:spacing w:after="0"/>
              <w:rPr>
                <w:sz w:val="20"/>
                <w:szCs w:val="20"/>
                <w:color w:val="auto"/>
              </w:rPr>
            </w:pPr>
            <w:r>
              <w:rPr>
                <w:rFonts w:ascii="Arial" w:cs="Arial" w:eastAsia="Arial" w:hAnsi="Arial"/>
                <w:sz w:val="14"/>
                <w:szCs w:val="14"/>
                <w:color w:val="auto"/>
              </w:rPr>
              <w:t>(4)</w:t>
            </w:r>
          </w:p>
        </w:tc>
        <w:tc>
          <w:tcPr>
            <w:tcW w:w="260" w:type="dxa"/>
            <w:vAlign w:val="bottom"/>
            <w:tcBorders>
              <w:bottom w:val="single" w:sz="8" w:color="D7282F"/>
            </w:tcBorders>
          </w:tcPr>
          <w:p>
            <w:pPr>
              <w:spacing w:after="0"/>
              <w:rPr>
                <w:sz w:val="17"/>
                <w:szCs w:val="17"/>
                <w:color w:val="auto"/>
              </w:rPr>
            </w:pPr>
          </w:p>
        </w:tc>
        <w:tc>
          <w:tcPr>
            <w:tcW w:w="1020" w:type="dxa"/>
            <w:vAlign w:val="bottom"/>
            <w:tcBorders>
              <w:bottom w:val="single" w:sz="8" w:color="D7282F"/>
            </w:tcBorders>
          </w:tcPr>
          <w:p>
            <w:pPr>
              <w:jc w:val="right"/>
              <w:ind w:right="18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D7282F"/>
            </w:tcBorders>
          </w:tcPr>
          <w:p>
            <w:pPr>
              <w:spacing w:after="0"/>
              <w:rPr>
                <w:sz w:val="17"/>
                <w:szCs w:val="17"/>
                <w:color w:val="auto"/>
              </w:rPr>
            </w:pPr>
          </w:p>
        </w:tc>
        <w:tc>
          <w:tcPr>
            <w:tcW w:w="92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99"/>
        </w:trPr>
        <w:tc>
          <w:tcPr>
            <w:tcW w:w="286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before tax</w:t>
            </w:r>
          </w:p>
        </w:tc>
        <w:tc>
          <w:tcPr>
            <w:tcW w:w="1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D7282F"/>
            </w:tcBorders>
          </w:tcPr>
          <w:p>
            <w:pPr>
              <w:ind w:left="600"/>
              <w:spacing w:after="0"/>
              <w:rPr>
                <w:sz w:val="20"/>
                <w:szCs w:val="20"/>
                <w:color w:val="auto"/>
              </w:rPr>
            </w:pPr>
            <w:r>
              <w:rPr>
                <w:rFonts w:ascii="Arial" w:cs="Arial" w:eastAsia="Arial" w:hAnsi="Arial"/>
                <w:sz w:val="14"/>
                <w:szCs w:val="14"/>
                <w:b w:val="1"/>
                <w:bCs w:val="1"/>
                <w:color w:val="auto"/>
              </w:rPr>
              <w:t>(2)</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D7282F"/>
            </w:tcBorders>
          </w:tcPr>
          <w:p>
            <w:pPr>
              <w:ind w:left="620"/>
              <w:spacing w:after="0"/>
              <w:rPr>
                <w:sz w:val="20"/>
                <w:szCs w:val="20"/>
                <w:color w:val="auto"/>
              </w:rPr>
            </w:pPr>
            <w:r>
              <w:rPr>
                <w:rFonts w:ascii="Arial" w:cs="Arial" w:eastAsia="Arial" w:hAnsi="Arial"/>
                <w:sz w:val="14"/>
                <w:szCs w:val="14"/>
                <w:b w:val="1"/>
                <w:bCs w:val="1"/>
                <w:color w:val="auto"/>
              </w:rPr>
              <w:t>(8)</w:t>
            </w:r>
          </w:p>
        </w:tc>
        <w:tc>
          <w:tcPr>
            <w:tcW w:w="3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D7282F"/>
            </w:tcBorders>
          </w:tcPr>
          <w:p>
            <w:pPr>
              <w:ind w:left="600"/>
              <w:spacing w:after="0"/>
              <w:rPr>
                <w:sz w:val="20"/>
                <w:szCs w:val="20"/>
                <w:color w:val="auto"/>
              </w:rPr>
            </w:pPr>
            <w:r>
              <w:rPr>
                <w:rFonts w:ascii="Arial" w:cs="Arial" w:eastAsia="Arial" w:hAnsi="Arial"/>
                <w:sz w:val="14"/>
                <w:szCs w:val="14"/>
                <w:b w:val="1"/>
                <w:bCs w:val="1"/>
                <w:color w:val="auto"/>
              </w:rPr>
              <w:t>(3)</w:t>
            </w: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320" w:type="dxa"/>
            <w:vAlign w:val="bottom"/>
            <w:tcBorders>
              <w:bottom w:val="single" w:sz="8" w:color="D7282F"/>
            </w:tcBorders>
          </w:tcPr>
          <w:p>
            <w:pPr>
              <w:ind w:left="1000"/>
              <w:spacing w:after="0"/>
              <w:rPr>
                <w:sz w:val="20"/>
                <w:szCs w:val="20"/>
                <w:color w:val="auto"/>
              </w:rPr>
            </w:pPr>
            <w:r>
              <w:rPr>
                <w:rFonts w:ascii="Arial" w:cs="Arial" w:eastAsia="Arial" w:hAnsi="Arial"/>
                <w:sz w:val="14"/>
                <w:szCs w:val="14"/>
                <w:b w:val="1"/>
                <w:bCs w:val="1"/>
                <w:color w:val="auto"/>
              </w:rPr>
              <w:t>(4)</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D7282F"/>
            </w:tcBorders>
          </w:tcPr>
          <w:p>
            <w:pPr>
              <w:jc w:val="right"/>
              <w:ind w:right="188"/>
              <w:spacing w:after="0"/>
              <w:rPr>
                <w:sz w:val="20"/>
                <w:szCs w:val="20"/>
                <w:color w:val="auto"/>
              </w:rPr>
            </w:pPr>
            <w:r>
              <w:rPr>
                <w:rFonts w:ascii="Arial" w:cs="Arial" w:eastAsia="Arial" w:hAnsi="Arial"/>
                <w:sz w:val="14"/>
                <w:szCs w:val="14"/>
                <w:b w:val="1"/>
                <w:bCs w:val="1"/>
                <w:color w:val="auto"/>
              </w:rPr>
              <w:t>93</w:t>
            </w: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76</w:t>
            </w:r>
          </w:p>
        </w:tc>
        <w:tc>
          <w:tcPr>
            <w:tcW w:w="0" w:type="dxa"/>
            <w:vAlign w:val="bottom"/>
          </w:tcPr>
          <w:p>
            <w:pPr>
              <w:spacing w:after="0"/>
              <w:rPr>
                <w:sz w:val="1"/>
                <w:szCs w:val="1"/>
                <w:color w:val="auto"/>
              </w:rPr>
            </w:pPr>
          </w:p>
        </w:tc>
      </w:tr>
      <w:tr>
        <w:trPr>
          <w:trHeight w:val="196"/>
        </w:trPr>
        <w:tc>
          <w:tcPr>
            <w:tcW w:w="286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Tax expense (benefit)</w:t>
            </w:r>
          </w:p>
        </w:tc>
        <w:tc>
          <w:tcPr>
            <w:tcW w:w="120" w:type="dxa"/>
            <w:vAlign w:val="bottom"/>
            <w:tcBorders>
              <w:bottom w:val="single" w:sz="8" w:color="D7282F"/>
            </w:tcBorders>
          </w:tcPr>
          <w:p>
            <w:pPr>
              <w:spacing w:after="0"/>
              <w:rPr>
                <w:sz w:val="17"/>
                <w:szCs w:val="17"/>
                <w:color w:val="auto"/>
              </w:rPr>
            </w:pPr>
          </w:p>
        </w:tc>
        <w:tc>
          <w:tcPr>
            <w:tcW w:w="900" w:type="dxa"/>
            <w:vAlign w:val="bottom"/>
            <w:tcBorders>
              <w:bottom w:val="single" w:sz="8" w:color="D7282F"/>
            </w:tcBorders>
          </w:tcPr>
          <w:p>
            <w:pPr>
              <w:spacing w:after="0"/>
              <w:rPr>
                <w:sz w:val="17"/>
                <w:szCs w:val="17"/>
                <w:color w:val="auto"/>
              </w:rPr>
            </w:pPr>
          </w:p>
        </w:tc>
        <w:tc>
          <w:tcPr>
            <w:tcW w:w="260" w:type="dxa"/>
            <w:vAlign w:val="bottom"/>
            <w:tcBorders>
              <w:bottom w:val="single" w:sz="8" w:color="D7282F"/>
            </w:tcBorders>
          </w:tcPr>
          <w:p>
            <w:pPr>
              <w:spacing w:after="0"/>
              <w:rPr>
                <w:sz w:val="17"/>
                <w:szCs w:val="17"/>
                <w:color w:val="auto"/>
              </w:rPr>
            </w:pPr>
          </w:p>
        </w:tc>
        <w:tc>
          <w:tcPr>
            <w:tcW w:w="860" w:type="dxa"/>
            <w:vAlign w:val="bottom"/>
            <w:tcBorders>
              <w:bottom w:val="single" w:sz="8" w:color="D7282F"/>
            </w:tcBorders>
          </w:tcPr>
          <w:p>
            <w:pPr>
              <w:spacing w:after="0"/>
              <w:rPr>
                <w:sz w:val="17"/>
                <w:szCs w:val="17"/>
                <w:color w:val="auto"/>
              </w:rPr>
            </w:pPr>
          </w:p>
        </w:tc>
        <w:tc>
          <w:tcPr>
            <w:tcW w:w="340" w:type="dxa"/>
            <w:vAlign w:val="bottom"/>
            <w:tcBorders>
              <w:bottom w:val="single" w:sz="8" w:color="D7282F"/>
            </w:tcBorders>
          </w:tcPr>
          <w:p>
            <w:pPr>
              <w:spacing w:after="0"/>
              <w:rPr>
                <w:sz w:val="17"/>
                <w:szCs w:val="17"/>
                <w:color w:val="auto"/>
              </w:rPr>
            </w:pPr>
          </w:p>
        </w:tc>
        <w:tc>
          <w:tcPr>
            <w:tcW w:w="920" w:type="dxa"/>
            <w:vAlign w:val="bottom"/>
            <w:tcBorders>
              <w:bottom w:val="single" w:sz="8" w:color="D7282F"/>
            </w:tcBorders>
          </w:tcPr>
          <w:p>
            <w:pPr>
              <w:spacing w:after="0"/>
              <w:rPr>
                <w:sz w:val="17"/>
                <w:szCs w:val="17"/>
                <w:color w:val="auto"/>
              </w:rPr>
            </w:pPr>
          </w:p>
        </w:tc>
        <w:tc>
          <w:tcPr>
            <w:tcW w:w="220" w:type="dxa"/>
            <w:vAlign w:val="bottom"/>
            <w:tcBorders>
              <w:bottom w:val="single" w:sz="8" w:color="D7282F"/>
            </w:tcBorders>
          </w:tcPr>
          <w:p>
            <w:pPr>
              <w:spacing w:after="0"/>
              <w:rPr>
                <w:sz w:val="17"/>
                <w:szCs w:val="17"/>
                <w:color w:val="auto"/>
              </w:rPr>
            </w:pPr>
          </w:p>
        </w:tc>
        <w:tc>
          <w:tcPr>
            <w:tcW w:w="1320" w:type="dxa"/>
            <w:vAlign w:val="bottom"/>
            <w:tcBorders>
              <w:bottom w:val="single" w:sz="8" w:color="D7282F"/>
            </w:tcBorders>
          </w:tcPr>
          <w:p>
            <w:pPr>
              <w:spacing w:after="0"/>
              <w:rPr>
                <w:sz w:val="17"/>
                <w:szCs w:val="17"/>
                <w:color w:val="auto"/>
              </w:rPr>
            </w:pPr>
          </w:p>
        </w:tc>
        <w:tc>
          <w:tcPr>
            <w:tcW w:w="260" w:type="dxa"/>
            <w:vAlign w:val="bottom"/>
            <w:tcBorders>
              <w:bottom w:val="single" w:sz="8" w:color="D7282F"/>
            </w:tcBorders>
          </w:tcPr>
          <w:p>
            <w:pPr>
              <w:spacing w:after="0"/>
              <w:rPr>
                <w:sz w:val="17"/>
                <w:szCs w:val="17"/>
                <w:color w:val="auto"/>
              </w:rPr>
            </w:pPr>
          </w:p>
        </w:tc>
        <w:tc>
          <w:tcPr>
            <w:tcW w:w="1020" w:type="dxa"/>
            <w:vAlign w:val="bottom"/>
            <w:tcBorders>
              <w:bottom w:val="single" w:sz="8" w:color="D7282F"/>
            </w:tcBorders>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920" w:type="dxa"/>
            <w:vAlign w:val="bottom"/>
            <w:tcBorders>
              <w:bottom w:val="single" w:sz="8" w:color="D7282F"/>
            </w:tcBorders>
          </w:tcPr>
          <w:p>
            <w:pPr>
              <w:spacing w:after="0"/>
              <w:rPr>
                <w:sz w:val="17"/>
                <w:szCs w:val="17"/>
                <w:color w:val="auto"/>
              </w:rPr>
            </w:pPr>
          </w:p>
        </w:tc>
        <w:tc>
          <w:tcPr>
            <w:tcW w:w="34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(22)</w:t>
            </w:r>
          </w:p>
        </w:tc>
        <w:tc>
          <w:tcPr>
            <w:tcW w:w="0" w:type="dxa"/>
            <w:vAlign w:val="bottom"/>
          </w:tcPr>
          <w:p>
            <w:pPr>
              <w:spacing w:after="0"/>
              <w:rPr>
                <w:sz w:val="1"/>
                <w:szCs w:val="1"/>
                <w:color w:val="auto"/>
              </w:rPr>
            </w:pPr>
          </w:p>
        </w:tc>
      </w:tr>
      <w:tr>
        <w:trPr>
          <w:trHeight w:val="196"/>
        </w:trPr>
        <w:tc>
          <w:tcPr>
            <w:tcW w:w="3880" w:type="dxa"/>
            <w:vAlign w:val="bottom"/>
            <w:tcBorders>
              <w:bottom w:val="single" w:sz="8" w:color="D7282F"/>
            </w:tcBorders>
            <w:gridSpan w:val="3"/>
          </w:tcPr>
          <w:p>
            <w:pPr>
              <w:ind w:left="240"/>
              <w:spacing w:after="0"/>
              <w:rPr>
                <w:sz w:val="20"/>
                <w:szCs w:val="20"/>
                <w:color w:val="auto"/>
              </w:rPr>
            </w:pPr>
            <w:r>
              <w:rPr>
                <w:rFonts w:ascii="Arial" w:cs="Arial" w:eastAsia="Arial" w:hAnsi="Arial"/>
                <w:sz w:val="14"/>
                <w:szCs w:val="14"/>
                <w:b w:val="1"/>
                <w:bCs w:val="1"/>
                <w:color w:val="auto"/>
              </w:rPr>
              <w:t>Total reclassifications for the period, net of tax</w:t>
            </w:r>
          </w:p>
        </w:tc>
        <w:tc>
          <w:tcPr>
            <w:tcW w:w="260" w:type="dxa"/>
            <w:vAlign w:val="bottom"/>
            <w:tcBorders>
              <w:bottom w:val="single" w:sz="8" w:color="D7282F"/>
            </w:tcBorders>
          </w:tcPr>
          <w:p>
            <w:pPr>
              <w:spacing w:after="0"/>
              <w:rPr>
                <w:sz w:val="17"/>
                <w:szCs w:val="17"/>
                <w:color w:val="auto"/>
              </w:rPr>
            </w:pPr>
          </w:p>
        </w:tc>
        <w:tc>
          <w:tcPr>
            <w:tcW w:w="860" w:type="dxa"/>
            <w:vAlign w:val="bottom"/>
            <w:tcBorders>
              <w:bottom w:val="single" w:sz="8" w:color="D7282F"/>
            </w:tcBorders>
          </w:tcPr>
          <w:p>
            <w:pPr>
              <w:spacing w:after="0"/>
              <w:rPr>
                <w:sz w:val="17"/>
                <w:szCs w:val="17"/>
                <w:color w:val="auto"/>
              </w:rPr>
            </w:pPr>
          </w:p>
        </w:tc>
        <w:tc>
          <w:tcPr>
            <w:tcW w:w="340" w:type="dxa"/>
            <w:vAlign w:val="bottom"/>
            <w:tcBorders>
              <w:bottom w:val="single" w:sz="8" w:color="D7282F"/>
            </w:tcBorders>
          </w:tcPr>
          <w:p>
            <w:pPr>
              <w:spacing w:after="0"/>
              <w:rPr>
                <w:sz w:val="17"/>
                <w:szCs w:val="17"/>
                <w:color w:val="auto"/>
              </w:rPr>
            </w:pPr>
          </w:p>
        </w:tc>
        <w:tc>
          <w:tcPr>
            <w:tcW w:w="920" w:type="dxa"/>
            <w:vAlign w:val="bottom"/>
            <w:tcBorders>
              <w:bottom w:val="single" w:sz="8" w:color="D7282F"/>
            </w:tcBorders>
          </w:tcPr>
          <w:p>
            <w:pPr>
              <w:spacing w:after="0"/>
              <w:rPr>
                <w:sz w:val="17"/>
                <w:szCs w:val="17"/>
                <w:color w:val="auto"/>
              </w:rPr>
            </w:pPr>
          </w:p>
        </w:tc>
        <w:tc>
          <w:tcPr>
            <w:tcW w:w="220" w:type="dxa"/>
            <w:vAlign w:val="bottom"/>
            <w:tcBorders>
              <w:bottom w:val="single" w:sz="8" w:color="D7282F"/>
            </w:tcBorders>
          </w:tcPr>
          <w:p>
            <w:pPr>
              <w:spacing w:after="0"/>
              <w:rPr>
                <w:sz w:val="17"/>
                <w:szCs w:val="17"/>
                <w:color w:val="auto"/>
              </w:rPr>
            </w:pPr>
          </w:p>
        </w:tc>
        <w:tc>
          <w:tcPr>
            <w:tcW w:w="1320" w:type="dxa"/>
            <w:vAlign w:val="bottom"/>
            <w:tcBorders>
              <w:bottom w:val="single" w:sz="8" w:color="D7282F"/>
            </w:tcBorders>
          </w:tcPr>
          <w:p>
            <w:pPr>
              <w:spacing w:after="0"/>
              <w:rPr>
                <w:sz w:val="17"/>
                <w:szCs w:val="17"/>
                <w:color w:val="auto"/>
              </w:rPr>
            </w:pPr>
          </w:p>
        </w:tc>
        <w:tc>
          <w:tcPr>
            <w:tcW w:w="260" w:type="dxa"/>
            <w:vAlign w:val="bottom"/>
            <w:tcBorders>
              <w:bottom w:val="single" w:sz="8" w:color="D7282F"/>
            </w:tcBorders>
          </w:tcPr>
          <w:p>
            <w:pPr>
              <w:spacing w:after="0"/>
              <w:rPr>
                <w:sz w:val="17"/>
                <w:szCs w:val="17"/>
                <w:color w:val="auto"/>
              </w:rPr>
            </w:pPr>
          </w:p>
        </w:tc>
        <w:tc>
          <w:tcPr>
            <w:tcW w:w="1020" w:type="dxa"/>
            <w:vAlign w:val="bottom"/>
            <w:tcBorders>
              <w:bottom w:val="single" w:sz="8" w:color="D7282F"/>
            </w:tcBorders>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920" w:type="dxa"/>
            <w:vAlign w:val="bottom"/>
            <w:tcBorders>
              <w:bottom w:val="single" w:sz="8" w:color="D7282F"/>
            </w:tcBorders>
          </w:tcPr>
          <w:p>
            <w:pPr>
              <w:spacing w:after="0"/>
              <w:rPr>
                <w:sz w:val="17"/>
                <w:szCs w:val="17"/>
                <w:color w:val="auto"/>
              </w:rPr>
            </w:pPr>
          </w:p>
        </w:tc>
        <w:tc>
          <w:tcPr>
            <w:tcW w:w="34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54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D7282F"/>
        </w:rPr>
        <w:t>93</w:t>
      </w:r>
      <w:r>
        <w:rPr>
          <w:sz w:val="20"/>
          <w:szCs w:val="20"/>
          <w:color w:val="auto"/>
        </w:rPr>
        <w:tab/>
      </w: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95" w:name="page96"/>
    <w:bookmarkEnd w:id="95"/>
    <w:p>
      <w:pPr>
        <w:ind w:left="20"/>
        <w:spacing w:after="0"/>
        <w:tabs>
          <w:tab w:leader="none" w:pos="784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FINANCIAL STATEMENTS AND SUPPLEMENTARY DATA</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740" w:type="dxa"/>
            <w:vAlign w:val="bottom"/>
            <w:gridSpan w:val="5"/>
          </w:tcPr>
          <w:p>
            <w:pPr>
              <w:jc w:val="center"/>
              <w:ind w:right="268"/>
              <w:spacing w:after="0"/>
              <w:rPr>
                <w:sz w:val="20"/>
                <w:szCs w:val="20"/>
                <w:color w:val="auto"/>
              </w:rPr>
            </w:pPr>
            <w:r>
              <w:rPr>
                <w:rFonts w:ascii="Arial" w:cs="Arial" w:eastAsia="Arial" w:hAnsi="Arial"/>
                <w:sz w:val="14"/>
                <w:szCs w:val="14"/>
                <w:b w:val="1"/>
                <w:bCs w:val="1"/>
                <w:color w:val="auto"/>
              </w:rPr>
              <w:t>Year Ended December 31, 2023</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
        </w:trPr>
        <w:tc>
          <w:tcPr>
            <w:tcW w:w="2840" w:type="dxa"/>
            <w:vAlign w:val="bottom"/>
          </w:tcPr>
          <w:p>
            <w:pPr>
              <w:spacing w:after="0"/>
              <w:rPr>
                <w:sz w:val="2"/>
                <w:szCs w:val="2"/>
                <w:color w:val="auto"/>
              </w:rPr>
            </w:pPr>
          </w:p>
        </w:tc>
        <w:tc>
          <w:tcPr>
            <w:tcW w:w="120" w:type="dxa"/>
            <w:vAlign w:val="bottom"/>
            <w:tcBorders>
              <w:bottom w:val="single" w:sz="8" w:color="D7282F"/>
            </w:tcBorders>
          </w:tcPr>
          <w:p>
            <w:pPr>
              <w:spacing w:after="0"/>
              <w:rPr>
                <w:sz w:val="2"/>
                <w:szCs w:val="2"/>
                <w:color w:val="auto"/>
              </w:rPr>
            </w:pPr>
          </w:p>
        </w:tc>
        <w:tc>
          <w:tcPr>
            <w:tcW w:w="920" w:type="dxa"/>
            <w:vAlign w:val="bottom"/>
            <w:tcBorders>
              <w:bottom w:val="single" w:sz="8" w:color="D7282F"/>
            </w:tcBorders>
          </w:tcPr>
          <w:p>
            <w:pPr>
              <w:spacing w:after="0"/>
              <w:rPr>
                <w:sz w:val="2"/>
                <w:szCs w:val="2"/>
                <w:color w:val="auto"/>
              </w:rPr>
            </w:pPr>
          </w:p>
        </w:tc>
        <w:tc>
          <w:tcPr>
            <w:tcW w:w="260" w:type="dxa"/>
            <w:vAlign w:val="bottom"/>
            <w:tcBorders>
              <w:bottom w:val="single" w:sz="8" w:color="D7282F"/>
            </w:tcBorders>
          </w:tcPr>
          <w:p>
            <w:pPr>
              <w:spacing w:after="0"/>
              <w:rPr>
                <w:sz w:val="2"/>
                <w:szCs w:val="2"/>
                <w:color w:val="auto"/>
              </w:rPr>
            </w:pPr>
          </w:p>
        </w:tc>
        <w:tc>
          <w:tcPr>
            <w:tcW w:w="840" w:type="dxa"/>
            <w:vAlign w:val="bottom"/>
            <w:tcBorders>
              <w:bottom w:val="single" w:sz="8" w:color="D7282F"/>
            </w:tcBorders>
          </w:tcPr>
          <w:p>
            <w:pPr>
              <w:spacing w:after="0"/>
              <w:rPr>
                <w:sz w:val="2"/>
                <w:szCs w:val="2"/>
                <w:color w:val="auto"/>
              </w:rPr>
            </w:pPr>
          </w:p>
        </w:tc>
        <w:tc>
          <w:tcPr>
            <w:tcW w:w="4100" w:type="dxa"/>
            <w:vAlign w:val="bottom"/>
            <w:tcBorders>
              <w:bottom w:val="single" w:sz="8" w:color="D7282F"/>
            </w:tcBorders>
            <w:gridSpan w:val="6"/>
          </w:tcPr>
          <w:p>
            <w:pPr>
              <w:spacing w:after="0"/>
              <w:rPr>
                <w:sz w:val="2"/>
                <w:szCs w:val="2"/>
                <w:color w:val="auto"/>
              </w:rPr>
            </w:pPr>
          </w:p>
        </w:tc>
        <w:tc>
          <w:tcPr>
            <w:tcW w:w="160" w:type="dxa"/>
            <w:vAlign w:val="bottom"/>
            <w:tcBorders>
              <w:bottom w:val="single" w:sz="8" w:color="D7282F"/>
            </w:tcBorders>
          </w:tcPr>
          <w:p>
            <w:pPr>
              <w:spacing w:after="0"/>
              <w:rPr>
                <w:sz w:val="2"/>
                <w:szCs w:val="2"/>
                <w:color w:val="auto"/>
              </w:rPr>
            </w:pPr>
          </w:p>
        </w:tc>
        <w:tc>
          <w:tcPr>
            <w:tcW w:w="940" w:type="dxa"/>
            <w:vAlign w:val="bottom"/>
            <w:tcBorders>
              <w:bottom w:val="single" w:sz="8" w:color="D7282F"/>
            </w:tcBorders>
          </w:tcPr>
          <w:p>
            <w:pPr>
              <w:spacing w:after="0"/>
              <w:rPr>
                <w:sz w:val="2"/>
                <w:szCs w:val="2"/>
                <w:color w:val="auto"/>
              </w:rPr>
            </w:pPr>
          </w:p>
        </w:tc>
        <w:tc>
          <w:tcPr>
            <w:tcW w:w="320" w:type="dxa"/>
            <w:vAlign w:val="bottom"/>
            <w:tcBorders>
              <w:bottom w:val="single" w:sz="8" w:color="D7282F"/>
            </w:tcBorders>
          </w:tcPr>
          <w:p>
            <w:pPr>
              <w:spacing w:after="0"/>
              <w:rPr>
                <w:sz w:val="2"/>
                <w:szCs w:val="2"/>
                <w:color w:val="auto"/>
              </w:rPr>
            </w:pPr>
          </w:p>
        </w:tc>
        <w:tc>
          <w:tcPr>
            <w:tcW w:w="740" w:type="dxa"/>
            <w:vAlign w:val="bottom"/>
            <w:tcBorders>
              <w:bottom w:val="single" w:sz="8" w:color="D7282F"/>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2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100" w:type="dxa"/>
            <w:vAlign w:val="bottom"/>
            <w:gridSpan w:val="6"/>
          </w:tcPr>
          <w:p>
            <w:pPr>
              <w:jc w:val="center"/>
              <w:spacing w:after="0"/>
              <w:rPr>
                <w:sz w:val="20"/>
                <w:szCs w:val="20"/>
                <w:color w:val="auto"/>
              </w:rPr>
            </w:pPr>
            <w:r>
              <w:rPr>
                <w:rFonts w:ascii="Arial" w:cs="Arial" w:eastAsia="Arial" w:hAnsi="Arial"/>
                <w:sz w:val="14"/>
                <w:szCs w:val="14"/>
                <w:b w:val="1"/>
                <w:bCs w:val="1"/>
                <w:color w:val="auto"/>
              </w:rPr>
              <w:t>Affected Line in the Consolidated Statement of Operations</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2840" w:type="dxa"/>
            <w:vAlign w:val="bottom"/>
          </w:tcPr>
          <w:p>
            <w:pPr>
              <w:spacing w:after="0"/>
              <w:rPr>
                <w:sz w:val="2"/>
                <w:szCs w:val="2"/>
                <w:color w:val="auto"/>
              </w:rPr>
            </w:pPr>
          </w:p>
        </w:tc>
        <w:tc>
          <w:tcPr>
            <w:tcW w:w="120" w:type="dxa"/>
            <w:vAlign w:val="bottom"/>
            <w:tcBorders>
              <w:bottom w:val="single" w:sz="8" w:color="D7282F"/>
            </w:tcBorders>
          </w:tcPr>
          <w:p>
            <w:pPr>
              <w:spacing w:after="0"/>
              <w:rPr>
                <w:sz w:val="2"/>
                <w:szCs w:val="2"/>
                <w:color w:val="auto"/>
              </w:rPr>
            </w:pPr>
          </w:p>
        </w:tc>
        <w:tc>
          <w:tcPr>
            <w:tcW w:w="920" w:type="dxa"/>
            <w:vAlign w:val="bottom"/>
            <w:tcBorders>
              <w:bottom w:val="single" w:sz="8" w:color="D7282F"/>
            </w:tcBorders>
          </w:tcPr>
          <w:p>
            <w:pPr>
              <w:spacing w:after="0"/>
              <w:rPr>
                <w:sz w:val="2"/>
                <w:szCs w:val="2"/>
                <w:color w:val="auto"/>
              </w:rPr>
            </w:pPr>
          </w:p>
        </w:tc>
        <w:tc>
          <w:tcPr>
            <w:tcW w:w="260" w:type="dxa"/>
            <w:vAlign w:val="bottom"/>
            <w:tcBorders>
              <w:bottom w:val="single" w:sz="8" w:color="D7282F"/>
            </w:tcBorders>
          </w:tcPr>
          <w:p>
            <w:pPr>
              <w:spacing w:after="0"/>
              <w:rPr>
                <w:sz w:val="2"/>
                <w:szCs w:val="2"/>
                <w:color w:val="auto"/>
              </w:rPr>
            </w:pPr>
          </w:p>
        </w:tc>
        <w:tc>
          <w:tcPr>
            <w:tcW w:w="840" w:type="dxa"/>
            <w:vAlign w:val="bottom"/>
            <w:tcBorders>
              <w:bottom w:val="single" w:sz="8" w:color="D7282F"/>
            </w:tcBorders>
          </w:tcPr>
          <w:p>
            <w:pPr>
              <w:spacing w:after="0"/>
              <w:rPr>
                <w:sz w:val="2"/>
                <w:szCs w:val="2"/>
                <w:color w:val="auto"/>
              </w:rPr>
            </w:pPr>
          </w:p>
        </w:tc>
        <w:tc>
          <w:tcPr>
            <w:tcW w:w="360" w:type="dxa"/>
            <w:vAlign w:val="bottom"/>
            <w:tcBorders>
              <w:bottom w:val="single" w:sz="8" w:color="D7282F"/>
            </w:tcBorders>
          </w:tcPr>
          <w:p>
            <w:pPr>
              <w:spacing w:after="0"/>
              <w:rPr>
                <w:sz w:val="2"/>
                <w:szCs w:val="2"/>
                <w:color w:val="auto"/>
              </w:rPr>
            </w:pPr>
          </w:p>
        </w:tc>
        <w:tc>
          <w:tcPr>
            <w:tcW w:w="920" w:type="dxa"/>
            <w:vAlign w:val="bottom"/>
            <w:tcBorders>
              <w:bottom w:val="single" w:sz="8" w:color="D7282F"/>
            </w:tcBorders>
          </w:tcPr>
          <w:p>
            <w:pPr>
              <w:spacing w:after="0"/>
              <w:rPr>
                <w:sz w:val="2"/>
                <w:szCs w:val="2"/>
                <w:color w:val="auto"/>
              </w:rPr>
            </w:pPr>
          </w:p>
        </w:tc>
        <w:tc>
          <w:tcPr>
            <w:tcW w:w="220" w:type="dxa"/>
            <w:vAlign w:val="bottom"/>
            <w:tcBorders>
              <w:bottom w:val="single" w:sz="8" w:color="D7282F"/>
            </w:tcBorders>
          </w:tcPr>
          <w:p>
            <w:pPr>
              <w:spacing w:after="0"/>
              <w:rPr>
                <w:sz w:val="2"/>
                <w:szCs w:val="2"/>
                <w:color w:val="auto"/>
              </w:rPr>
            </w:pPr>
          </w:p>
        </w:tc>
        <w:tc>
          <w:tcPr>
            <w:tcW w:w="1320" w:type="dxa"/>
            <w:vAlign w:val="bottom"/>
            <w:tcBorders>
              <w:bottom w:val="single" w:sz="8" w:color="D7282F"/>
            </w:tcBorders>
          </w:tcPr>
          <w:p>
            <w:pPr>
              <w:spacing w:after="0"/>
              <w:rPr>
                <w:sz w:val="2"/>
                <w:szCs w:val="2"/>
                <w:color w:val="auto"/>
              </w:rPr>
            </w:pPr>
          </w:p>
        </w:tc>
        <w:tc>
          <w:tcPr>
            <w:tcW w:w="260" w:type="dxa"/>
            <w:vAlign w:val="bottom"/>
            <w:tcBorders>
              <w:bottom w:val="single" w:sz="8" w:color="D7282F"/>
            </w:tcBorders>
          </w:tcPr>
          <w:p>
            <w:pPr>
              <w:spacing w:after="0"/>
              <w:rPr>
                <w:sz w:val="2"/>
                <w:szCs w:val="2"/>
                <w:color w:val="auto"/>
              </w:rPr>
            </w:pPr>
          </w:p>
        </w:tc>
        <w:tc>
          <w:tcPr>
            <w:tcW w:w="1020" w:type="dxa"/>
            <w:vAlign w:val="bottom"/>
            <w:tcBorders>
              <w:bottom w:val="single" w:sz="8" w:color="D7282F"/>
            </w:tcBorders>
          </w:tcPr>
          <w:p>
            <w:pPr>
              <w:spacing w:after="0"/>
              <w:rPr>
                <w:sz w:val="2"/>
                <w:szCs w:val="2"/>
                <w:color w:val="auto"/>
              </w:rPr>
            </w:pPr>
          </w:p>
        </w:tc>
        <w:tc>
          <w:tcPr>
            <w:tcW w:w="1100" w:type="dxa"/>
            <w:vAlign w:val="bottom"/>
            <w:tcBorders>
              <w:bottom w:val="single" w:sz="8" w:color="D7282F"/>
            </w:tcBorders>
            <w:gridSpan w:val="2"/>
          </w:tcPr>
          <w:p>
            <w:pPr>
              <w:spacing w:after="0"/>
              <w:rPr>
                <w:sz w:val="2"/>
                <w:szCs w:val="2"/>
                <w:color w:val="auto"/>
              </w:rPr>
            </w:pPr>
          </w:p>
        </w:tc>
        <w:tc>
          <w:tcPr>
            <w:tcW w:w="320" w:type="dxa"/>
            <w:vAlign w:val="bottom"/>
            <w:tcBorders>
              <w:bottom w:val="single" w:sz="8" w:color="D7282F"/>
            </w:tcBorders>
          </w:tcPr>
          <w:p>
            <w:pPr>
              <w:spacing w:after="0"/>
              <w:rPr>
                <w:sz w:val="2"/>
                <w:szCs w:val="2"/>
                <w:color w:val="auto"/>
              </w:rPr>
            </w:pPr>
          </w:p>
        </w:tc>
        <w:tc>
          <w:tcPr>
            <w:tcW w:w="740" w:type="dxa"/>
            <w:vAlign w:val="bottom"/>
            <w:tcBorders>
              <w:bottom w:val="single" w:sz="8" w:color="D7282F"/>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2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rPr>
              <w:t>Cost of</w:t>
            </w:r>
          </w:p>
        </w:tc>
        <w:tc>
          <w:tcPr>
            <w:tcW w:w="360" w:type="dxa"/>
            <w:vAlign w:val="bottom"/>
          </w:tcPr>
          <w:p>
            <w:pPr>
              <w:spacing w:after="0"/>
              <w:rPr>
                <w:sz w:val="12"/>
                <w:szCs w:val="12"/>
                <w:color w:val="auto"/>
              </w:rPr>
            </w:pPr>
          </w:p>
        </w:tc>
        <w:tc>
          <w:tcPr>
            <w:tcW w:w="920" w:type="dxa"/>
            <w:vAlign w:val="bottom"/>
            <w:vMerge w:val="restart"/>
          </w:tcPr>
          <w:p>
            <w:pPr>
              <w:jc w:val="center"/>
              <w:ind w:right="188"/>
              <w:spacing w:after="0"/>
              <w:rPr>
                <w:sz w:val="20"/>
                <w:szCs w:val="20"/>
                <w:color w:val="auto"/>
              </w:rPr>
            </w:pPr>
            <w:r>
              <w:rPr>
                <w:rFonts w:ascii="Arial" w:cs="Arial" w:eastAsia="Arial" w:hAnsi="Arial"/>
                <w:sz w:val="14"/>
                <w:szCs w:val="14"/>
                <w:b w:val="1"/>
                <w:bCs w:val="1"/>
                <w:color w:val="auto"/>
              </w:rPr>
              <w:t>Cost of</w:t>
            </w:r>
          </w:p>
        </w:tc>
        <w:tc>
          <w:tcPr>
            <w:tcW w:w="220" w:type="dxa"/>
            <w:vAlign w:val="bottom"/>
          </w:tcPr>
          <w:p>
            <w:pPr>
              <w:spacing w:after="0"/>
              <w:rPr>
                <w:sz w:val="12"/>
                <w:szCs w:val="12"/>
                <w:color w:val="auto"/>
              </w:rPr>
            </w:pPr>
          </w:p>
        </w:tc>
        <w:tc>
          <w:tcPr>
            <w:tcW w:w="1320" w:type="dxa"/>
            <w:vAlign w:val="bottom"/>
          </w:tcPr>
          <w:p>
            <w:pPr>
              <w:jc w:val="center"/>
              <w:ind w:right="128"/>
              <w:spacing w:after="0" w:line="147" w:lineRule="exact"/>
              <w:rPr>
                <w:sz w:val="20"/>
                <w:szCs w:val="20"/>
                <w:color w:val="auto"/>
              </w:rPr>
            </w:pPr>
            <w:r>
              <w:rPr>
                <w:rFonts w:ascii="Arial" w:cs="Arial" w:eastAsia="Arial" w:hAnsi="Arial"/>
                <w:sz w:val="14"/>
                <w:szCs w:val="14"/>
                <w:b w:val="1"/>
                <w:bCs w:val="1"/>
                <w:color w:val="auto"/>
              </w:rPr>
              <w:t>Selling, General</w:t>
            </w:r>
          </w:p>
        </w:tc>
        <w:tc>
          <w:tcPr>
            <w:tcW w:w="260" w:type="dxa"/>
            <w:vAlign w:val="bottom"/>
          </w:tcPr>
          <w:p>
            <w:pPr>
              <w:spacing w:after="0"/>
              <w:rPr>
                <w:sz w:val="12"/>
                <w:szCs w:val="12"/>
                <w:color w:val="auto"/>
              </w:rPr>
            </w:pPr>
          </w:p>
        </w:tc>
        <w:tc>
          <w:tcPr>
            <w:tcW w:w="1020" w:type="dxa"/>
            <w:vAlign w:val="bottom"/>
            <w:vMerge w:val="restart"/>
          </w:tcPr>
          <w:p>
            <w:pPr>
              <w:jc w:val="center"/>
              <w:ind w:right="268"/>
              <w:spacing w:after="0"/>
              <w:rPr>
                <w:sz w:val="20"/>
                <w:szCs w:val="20"/>
                <w:color w:val="auto"/>
              </w:rPr>
            </w:pPr>
            <w:r>
              <w:rPr>
                <w:rFonts w:ascii="Arial" w:cs="Arial" w:eastAsia="Arial" w:hAnsi="Arial"/>
                <w:sz w:val="14"/>
                <w:szCs w:val="14"/>
                <w:b w:val="1"/>
                <w:bCs w:val="1"/>
                <w:color w:val="auto"/>
              </w:rPr>
              <w:t>Other</w:t>
            </w:r>
          </w:p>
        </w:tc>
        <w:tc>
          <w:tcPr>
            <w:tcW w:w="1100" w:type="dxa"/>
            <w:vAlign w:val="bottom"/>
            <w:gridSpan w:val="2"/>
          </w:tcPr>
          <w:p>
            <w:pPr>
              <w:jc w:val="right"/>
              <w:ind w:right="108"/>
              <w:spacing w:after="0" w:line="147" w:lineRule="exact"/>
              <w:rPr>
                <w:sz w:val="20"/>
                <w:szCs w:val="20"/>
                <w:color w:val="auto"/>
              </w:rPr>
            </w:pPr>
            <w:r>
              <w:rPr>
                <w:rFonts w:ascii="Arial" w:cs="Arial" w:eastAsia="Arial" w:hAnsi="Arial"/>
                <w:sz w:val="14"/>
                <w:szCs w:val="14"/>
                <w:b w:val="1"/>
                <w:bCs w:val="1"/>
                <w:color w:val="auto"/>
              </w:rPr>
              <w:t>Interest and</w:t>
            </w: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jc w:val="center"/>
              <w:ind w:right="148"/>
              <w:spacing w:after="0" w:line="145" w:lineRule="exact"/>
              <w:rPr>
                <w:sz w:val="20"/>
                <w:szCs w:val="20"/>
                <w:color w:val="auto"/>
              </w:rPr>
            </w:pPr>
            <w:r>
              <w:rPr>
                <w:rFonts w:ascii="Arial" w:cs="Arial" w:eastAsia="Arial" w:hAnsi="Arial"/>
                <w:sz w:val="14"/>
                <w:szCs w:val="14"/>
                <w:b w:val="1"/>
                <w:bCs w:val="1"/>
                <w:color w:val="auto"/>
              </w:rPr>
              <w:t>and</w:t>
            </w:r>
          </w:p>
        </w:tc>
        <w:tc>
          <w:tcPr>
            <w:tcW w:w="26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ind w:right="168"/>
              <w:spacing w:after="0" w:line="145" w:lineRule="exact"/>
              <w:rPr>
                <w:sz w:val="20"/>
                <w:szCs w:val="20"/>
                <w:color w:val="auto"/>
              </w:rPr>
            </w:pPr>
            <w:r>
              <w:rPr>
                <w:rFonts w:ascii="Arial" w:cs="Arial" w:eastAsia="Arial" w:hAnsi="Arial"/>
                <w:sz w:val="14"/>
                <w:szCs w:val="14"/>
                <w:b w:val="1"/>
                <w:bCs w:val="1"/>
                <w:color w:val="auto"/>
              </w:rPr>
              <w:t>Other</w:t>
            </w: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Net Sales</w:t>
            </w:r>
          </w:p>
        </w:tc>
        <w:tc>
          <w:tcPr>
            <w:tcW w:w="260" w:type="dxa"/>
            <w:vAlign w:val="bottom"/>
          </w:tcPr>
          <w:p>
            <w:pPr>
              <w:spacing w:after="0"/>
              <w:rPr>
                <w:sz w:val="12"/>
                <w:szCs w:val="12"/>
                <w:color w:val="auto"/>
              </w:rPr>
            </w:pPr>
          </w:p>
        </w:tc>
        <w:tc>
          <w:tcPr>
            <w:tcW w:w="84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rPr>
              <w:t>Products</w:t>
            </w:r>
          </w:p>
        </w:tc>
        <w:tc>
          <w:tcPr>
            <w:tcW w:w="360" w:type="dxa"/>
            <w:vAlign w:val="bottom"/>
          </w:tcPr>
          <w:p>
            <w:pPr>
              <w:spacing w:after="0"/>
              <w:rPr>
                <w:sz w:val="12"/>
                <w:szCs w:val="12"/>
                <w:color w:val="auto"/>
              </w:rPr>
            </w:pPr>
          </w:p>
        </w:tc>
        <w:tc>
          <w:tcPr>
            <w:tcW w:w="920" w:type="dxa"/>
            <w:vAlign w:val="bottom"/>
          </w:tcPr>
          <w:p>
            <w:pPr>
              <w:jc w:val="center"/>
              <w:ind w:right="188"/>
              <w:spacing w:after="0" w:line="149" w:lineRule="exact"/>
              <w:rPr>
                <w:sz w:val="20"/>
                <w:szCs w:val="20"/>
                <w:color w:val="auto"/>
              </w:rPr>
            </w:pPr>
            <w:r>
              <w:rPr>
                <w:rFonts w:ascii="Arial" w:cs="Arial" w:eastAsia="Arial" w:hAnsi="Arial"/>
                <w:sz w:val="14"/>
                <w:szCs w:val="14"/>
                <w:b w:val="1"/>
                <w:bCs w:val="1"/>
                <w:color w:val="auto"/>
              </w:rPr>
              <w:t>Services</w:t>
            </w:r>
          </w:p>
        </w:tc>
        <w:tc>
          <w:tcPr>
            <w:tcW w:w="220" w:type="dxa"/>
            <w:vAlign w:val="bottom"/>
          </w:tcPr>
          <w:p>
            <w:pPr>
              <w:spacing w:after="0"/>
              <w:rPr>
                <w:sz w:val="12"/>
                <w:szCs w:val="12"/>
                <w:color w:val="auto"/>
              </w:rPr>
            </w:pPr>
          </w:p>
        </w:tc>
        <w:tc>
          <w:tcPr>
            <w:tcW w:w="1320" w:type="dxa"/>
            <w:vAlign w:val="bottom"/>
          </w:tcPr>
          <w:p>
            <w:pPr>
              <w:jc w:val="center"/>
              <w:ind w:right="128"/>
              <w:spacing w:after="0" w:line="149" w:lineRule="exact"/>
              <w:rPr>
                <w:sz w:val="20"/>
                <w:szCs w:val="20"/>
                <w:color w:val="auto"/>
              </w:rPr>
            </w:pPr>
            <w:r>
              <w:rPr>
                <w:rFonts w:ascii="Arial" w:cs="Arial" w:eastAsia="Arial" w:hAnsi="Arial"/>
                <w:sz w:val="14"/>
                <w:szCs w:val="14"/>
                <w:b w:val="1"/>
                <w:bCs w:val="1"/>
                <w:color w:val="auto"/>
              </w:rPr>
              <w:t>Administrative</w:t>
            </w:r>
          </w:p>
        </w:tc>
        <w:tc>
          <w:tcPr>
            <w:tcW w:w="260" w:type="dxa"/>
            <w:vAlign w:val="bottom"/>
          </w:tcPr>
          <w:p>
            <w:pPr>
              <w:spacing w:after="0"/>
              <w:rPr>
                <w:sz w:val="12"/>
                <w:szCs w:val="12"/>
                <w:color w:val="auto"/>
              </w:rPr>
            </w:pPr>
          </w:p>
        </w:tc>
        <w:tc>
          <w:tcPr>
            <w:tcW w:w="1020" w:type="dxa"/>
            <w:vAlign w:val="bottom"/>
          </w:tcPr>
          <w:p>
            <w:pPr>
              <w:jc w:val="center"/>
              <w:ind w:right="268"/>
              <w:spacing w:after="0" w:line="149" w:lineRule="exact"/>
              <w:rPr>
                <w:sz w:val="20"/>
                <w:szCs w:val="20"/>
                <w:color w:val="auto"/>
              </w:rPr>
            </w:pPr>
            <w:r>
              <w:rPr>
                <w:rFonts w:ascii="Arial" w:cs="Arial" w:eastAsia="Arial" w:hAnsi="Arial"/>
                <w:sz w:val="14"/>
                <w:szCs w:val="14"/>
                <w:b w:val="1"/>
                <w:bCs w:val="1"/>
                <w:color w:val="auto"/>
              </w:rPr>
              <w:t>(Income)</w:t>
            </w:r>
          </w:p>
        </w:tc>
        <w:tc>
          <w:tcPr>
            <w:tcW w:w="160" w:type="dxa"/>
            <w:vAlign w:val="bottom"/>
          </w:tcPr>
          <w:p>
            <w:pPr>
              <w:spacing w:after="0"/>
              <w:rPr>
                <w:sz w:val="12"/>
                <w:szCs w:val="12"/>
                <w:color w:val="auto"/>
              </w:rPr>
            </w:pPr>
          </w:p>
        </w:tc>
        <w:tc>
          <w:tcPr>
            <w:tcW w:w="940" w:type="dxa"/>
            <w:vAlign w:val="bottom"/>
          </w:tcPr>
          <w:p>
            <w:pPr>
              <w:jc w:val="center"/>
              <w:ind w:right="168"/>
              <w:spacing w:after="0" w:line="149" w:lineRule="exact"/>
              <w:rPr>
                <w:sz w:val="20"/>
                <w:szCs w:val="20"/>
                <w:color w:val="auto"/>
              </w:rPr>
            </w:pPr>
            <w:r>
              <w:rPr>
                <w:rFonts w:ascii="Arial" w:cs="Arial" w:eastAsia="Arial" w:hAnsi="Arial"/>
                <w:sz w:val="14"/>
                <w:szCs w:val="14"/>
                <w:b w:val="1"/>
                <w:bCs w:val="1"/>
                <w:color w:val="auto"/>
              </w:rPr>
              <w:t>Financial</w:t>
            </w:r>
          </w:p>
        </w:tc>
        <w:tc>
          <w:tcPr>
            <w:tcW w:w="320" w:type="dxa"/>
            <w:vAlign w:val="bottom"/>
          </w:tcPr>
          <w:p>
            <w:pPr>
              <w:spacing w:after="0"/>
              <w:rPr>
                <w:sz w:val="12"/>
                <w:szCs w:val="12"/>
                <w:color w:val="auto"/>
              </w:rPr>
            </w:pPr>
          </w:p>
        </w:tc>
        <w:tc>
          <w:tcPr>
            <w:tcW w:w="74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2840" w:type="dxa"/>
            <w:vAlign w:val="bottom"/>
            <w:tcBorders>
              <w:bottom w:val="single" w:sz="8" w:color="D7282F"/>
            </w:tcBorders>
          </w:tcPr>
          <w:p>
            <w:pPr>
              <w:spacing w:after="0"/>
              <w:rPr>
                <w:sz w:val="16"/>
                <w:szCs w:val="16"/>
                <w:color w:val="auto"/>
              </w:rPr>
            </w:pPr>
          </w:p>
        </w:tc>
        <w:tc>
          <w:tcPr>
            <w:tcW w:w="120" w:type="dxa"/>
            <w:vAlign w:val="bottom"/>
            <w:tcBorders>
              <w:bottom w:val="single" w:sz="8" w:color="D7282F"/>
            </w:tcBorders>
          </w:tcPr>
          <w:p>
            <w:pPr>
              <w:spacing w:after="0"/>
              <w:rPr>
                <w:sz w:val="16"/>
                <w:szCs w:val="16"/>
                <w:color w:val="auto"/>
              </w:rPr>
            </w:pPr>
          </w:p>
        </w:tc>
        <w:tc>
          <w:tcPr>
            <w:tcW w:w="920" w:type="dxa"/>
            <w:vAlign w:val="bottom"/>
            <w:tcBorders>
              <w:bottom w:val="single" w:sz="8" w:color="D7282F"/>
            </w:tcBorders>
            <w:vMerge w:val="continue"/>
          </w:tcPr>
          <w:p>
            <w:pPr>
              <w:spacing w:after="0"/>
              <w:rPr>
                <w:sz w:val="16"/>
                <w:szCs w:val="16"/>
                <w:color w:val="auto"/>
              </w:rPr>
            </w:pPr>
          </w:p>
        </w:tc>
        <w:tc>
          <w:tcPr>
            <w:tcW w:w="260" w:type="dxa"/>
            <w:vAlign w:val="bottom"/>
            <w:tcBorders>
              <w:bottom w:val="single" w:sz="8" w:color="D7282F"/>
            </w:tcBorders>
          </w:tcPr>
          <w:p>
            <w:pPr>
              <w:spacing w:after="0"/>
              <w:rPr>
                <w:sz w:val="16"/>
                <w:szCs w:val="16"/>
                <w:color w:val="auto"/>
              </w:rPr>
            </w:pPr>
          </w:p>
        </w:tc>
        <w:tc>
          <w:tcPr>
            <w:tcW w:w="840" w:type="dxa"/>
            <w:vAlign w:val="bottom"/>
            <w:tcBorders>
              <w:bottom w:val="single" w:sz="8" w:color="D7282F"/>
            </w:tcBorders>
          </w:tcPr>
          <w:p>
            <w:pPr>
              <w:jc w:val="center"/>
              <w:ind w:right="88"/>
              <w:spacing w:after="0"/>
              <w:rPr>
                <w:sz w:val="20"/>
                <w:szCs w:val="20"/>
                <w:color w:val="auto"/>
              </w:rPr>
            </w:pPr>
            <w:r>
              <w:rPr>
                <w:rFonts w:ascii="Arial" w:cs="Arial" w:eastAsia="Arial" w:hAnsi="Arial"/>
                <w:sz w:val="14"/>
                <w:szCs w:val="14"/>
                <w:b w:val="1"/>
                <w:bCs w:val="1"/>
                <w:color w:val="auto"/>
              </w:rPr>
              <w:t>Sold</w:t>
            </w:r>
          </w:p>
        </w:tc>
        <w:tc>
          <w:tcPr>
            <w:tcW w:w="360" w:type="dxa"/>
            <w:vAlign w:val="bottom"/>
            <w:tcBorders>
              <w:bottom w:val="single" w:sz="8" w:color="D7282F"/>
            </w:tcBorders>
          </w:tcPr>
          <w:p>
            <w:pPr>
              <w:spacing w:after="0"/>
              <w:rPr>
                <w:sz w:val="16"/>
                <w:szCs w:val="16"/>
                <w:color w:val="auto"/>
              </w:rPr>
            </w:pPr>
          </w:p>
        </w:tc>
        <w:tc>
          <w:tcPr>
            <w:tcW w:w="920" w:type="dxa"/>
            <w:vAlign w:val="bottom"/>
            <w:tcBorders>
              <w:bottom w:val="single" w:sz="8" w:color="D7282F"/>
            </w:tcBorders>
          </w:tcPr>
          <w:p>
            <w:pPr>
              <w:jc w:val="center"/>
              <w:ind w:right="188"/>
              <w:spacing w:after="0"/>
              <w:rPr>
                <w:sz w:val="20"/>
                <w:szCs w:val="20"/>
                <w:color w:val="auto"/>
              </w:rPr>
            </w:pPr>
            <w:r>
              <w:rPr>
                <w:rFonts w:ascii="Arial" w:cs="Arial" w:eastAsia="Arial" w:hAnsi="Arial"/>
                <w:sz w:val="14"/>
                <w:szCs w:val="14"/>
                <w:b w:val="1"/>
                <w:bCs w:val="1"/>
                <w:color w:val="auto"/>
                <w:w w:val="98"/>
              </w:rPr>
              <w:t>Sold</w:t>
            </w:r>
          </w:p>
        </w:tc>
        <w:tc>
          <w:tcPr>
            <w:tcW w:w="220" w:type="dxa"/>
            <w:vAlign w:val="bottom"/>
            <w:tcBorders>
              <w:bottom w:val="single" w:sz="8" w:color="D7282F"/>
            </w:tcBorders>
          </w:tcPr>
          <w:p>
            <w:pPr>
              <w:spacing w:after="0"/>
              <w:rPr>
                <w:sz w:val="16"/>
                <w:szCs w:val="16"/>
                <w:color w:val="auto"/>
              </w:rPr>
            </w:pPr>
          </w:p>
        </w:tc>
        <w:tc>
          <w:tcPr>
            <w:tcW w:w="1320" w:type="dxa"/>
            <w:vAlign w:val="bottom"/>
            <w:tcBorders>
              <w:bottom w:val="single" w:sz="8" w:color="D7282F"/>
            </w:tcBorders>
          </w:tcPr>
          <w:p>
            <w:pPr>
              <w:jc w:val="center"/>
              <w:ind w:right="128"/>
              <w:spacing w:after="0"/>
              <w:rPr>
                <w:sz w:val="20"/>
                <w:szCs w:val="20"/>
                <w:color w:val="auto"/>
              </w:rPr>
            </w:pPr>
            <w:r>
              <w:rPr>
                <w:rFonts w:ascii="Arial" w:cs="Arial" w:eastAsia="Arial" w:hAnsi="Arial"/>
                <w:sz w:val="14"/>
                <w:szCs w:val="14"/>
                <w:b w:val="1"/>
                <w:bCs w:val="1"/>
                <w:color w:val="auto"/>
              </w:rPr>
              <w:t>Expenses</w:t>
            </w:r>
          </w:p>
        </w:tc>
        <w:tc>
          <w:tcPr>
            <w:tcW w:w="260" w:type="dxa"/>
            <w:vAlign w:val="bottom"/>
            <w:tcBorders>
              <w:bottom w:val="single" w:sz="8" w:color="D7282F"/>
            </w:tcBorders>
          </w:tcPr>
          <w:p>
            <w:pPr>
              <w:spacing w:after="0"/>
              <w:rPr>
                <w:sz w:val="16"/>
                <w:szCs w:val="16"/>
                <w:color w:val="auto"/>
              </w:rPr>
            </w:pPr>
          </w:p>
        </w:tc>
        <w:tc>
          <w:tcPr>
            <w:tcW w:w="1020" w:type="dxa"/>
            <w:vAlign w:val="bottom"/>
            <w:tcBorders>
              <w:bottom w:val="single" w:sz="8" w:color="D7282F"/>
            </w:tcBorders>
          </w:tcPr>
          <w:p>
            <w:pPr>
              <w:jc w:val="center"/>
              <w:ind w:right="268"/>
              <w:spacing w:after="0"/>
              <w:rPr>
                <w:sz w:val="20"/>
                <w:szCs w:val="20"/>
                <w:color w:val="auto"/>
              </w:rPr>
            </w:pPr>
            <w:r>
              <w:rPr>
                <w:rFonts w:ascii="Arial" w:cs="Arial" w:eastAsia="Arial" w:hAnsi="Arial"/>
                <w:sz w:val="14"/>
                <w:szCs w:val="14"/>
                <w:b w:val="1"/>
                <w:bCs w:val="1"/>
                <w:color w:val="auto"/>
              </w:rPr>
              <w:t>Expense</w:t>
            </w:r>
          </w:p>
        </w:tc>
        <w:tc>
          <w:tcPr>
            <w:tcW w:w="160" w:type="dxa"/>
            <w:vAlign w:val="bottom"/>
            <w:tcBorders>
              <w:bottom w:val="single" w:sz="8" w:color="D7282F"/>
            </w:tcBorders>
          </w:tcPr>
          <w:p>
            <w:pPr>
              <w:spacing w:after="0"/>
              <w:rPr>
                <w:sz w:val="16"/>
                <w:szCs w:val="16"/>
                <w:color w:val="auto"/>
              </w:rPr>
            </w:pPr>
          </w:p>
        </w:tc>
        <w:tc>
          <w:tcPr>
            <w:tcW w:w="940" w:type="dxa"/>
            <w:vAlign w:val="bottom"/>
            <w:tcBorders>
              <w:bottom w:val="single" w:sz="8" w:color="D7282F"/>
            </w:tcBorders>
          </w:tcPr>
          <w:p>
            <w:pPr>
              <w:jc w:val="center"/>
              <w:ind w:right="168"/>
              <w:spacing w:after="0"/>
              <w:rPr>
                <w:sz w:val="20"/>
                <w:szCs w:val="20"/>
                <w:color w:val="auto"/>
              </w:rPr>
            </w:pPr>
            <w:r>
              <w:rPr>
                <w:rFonts w:ascii="Arial" w:cs="Arial" w:eastAsia="Arial" w:hAnsi="Arial"/>
                <w:sz w:val="14"/>
                <w:szCs w:val="14"/>
                <w:b w:val="1"/>
                <w:bCs w:val="1"/>
                <w:color w:val="auto"/>
              </w:rPr>
              <w:t>Charges</w:t>
            </w:r>
          </w:p>
        </w:tc>
        <w:tc>
          <w:tcPr>
            <w:tcW w:w="320" w:type="dxa"/>
            <w:vAlign w:val="bottom"/>
            <w:tcBorders>
              <w:bottom w:val="single" w:sz="8" w:color="D7282F"/>
            </w:tcBorders>
          </w:tcPr>
          <w:p>
            <w:pPr>
              <w:spacing w:after="0"/>
              <w:rPr>
                <w:sz w:val="16"/>
                <w:szCs w:val="16"/>
                <w:color w:val="auto"/>
              </w:rPr>
            </w:pPr>
          </w:p>
        </w:tc>
        <w:tc>
          <w:tcPr>
            <w:tcW w:w="740" w:type="dxa"/>
            <w:vAlign w:val="bottom"/>
            <w:tcBorders>
              <w:bottom w:val="single" w:sz="8" w:color="D7282F"/>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840" w:type="dxa"/>
            <w:vAlign w:val="bottom"/>
          </w:tcPr>
          <w:p>
            <w:pPr>
              <w:ind w:left="20"/>
              <w:spacing w:after="0" w:line="147" w:lineRule="exact"/>
              <w:rPr>
                <w:sz w:val="20"/>
                <w:szCs w:val="20"/>
                <w:color w:val="auto"/>
              </w:rPr>
            </w:pPr>
            <w:r>
              <w:rPr>
                <w:rFonts w:ascii="Arial" w:cs="Arial" w:eastAsia="Arial" w:hAnsi="Arial"/>
                <w:sz w:val="14"/>
                <w:szCs w:val="14"/>
                <w:color w:val="auto"/>
              </w:rPr>
              <w:t>Amortization of pension and other</w:t>
            </w: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8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postretirement benefit items</w:t>
            </w:r>
          </w:p>
        </w:tc>
        <w:tc>
          <w:tcPr>
            <w:tcW w:w="120" w:type="dxa"/>
            <w:vAlign w:val="bottom"/>
            <w:tcBorders>
              <w:bottom w:val="single" w:sz="8" w:color="61656A"/>
            </w:tcBorders>
          </w:tcPr>
          <w:p>
            <w:pPr>
              <w:spacing w:after="0"/>
              <w:rPr>
                <w:sz w:val="16"/>
                <w:szCs w:val="16"/>
                <w:color w:val="auto"/>
              </w:rPr>
            </w:pPr>
          </w:p>
        </w:tc>
        <w:tc>
          <w:tcPr>
            <w:tcW w:w="920" w:type="dxa"/>
            <w:vAlign w:val="bottom"/>
            <w:tcBorders>
              <w:bottom w:val="single" w:sz="8" w:color="61656A"/>
            </w:tcBorders>
          </w:tcPr>
          <w:p>
            <w:pPr>
              <w:spacing w:after="0"/>
              <w:rPr>
                <w:sz w:val="16"/>
                <w:szCs w:val="16"/>
                <w:color w:val="auto"/>
              </w:rPr>
            </w:pPr>
          </w:p>
        </w:tc>
        <w:tc>
          <w:tcPr>
            <w:tcW w:w="260" w:type="dxa"/>
            <w:vAlign w:val="bottom"/>
            <w:tcBorders>
              <w:bottom w:val="single" w:sz="8" w:color="61656A"/>
            </w:tcBorders>
          </w:tcPr>
          <w:p>
            <w:pPr>
              <w:spacing w:after="0"/>
              <w:rPr>
                <w:sz w:val="16"/>
                <w:szCs w:val="16"/>
                <w:color w:val="auto"/>
              </w:rPr>
            </w:pPr>
          </w:p>
        </w:tc>
        <w:tc>
          <w:tcPr>
            <w:tcW w:w="840" w:type="dxa"/>
            <w:vAlign w:val="bottom"/>
            <w:tcBorders>
              <w:bottom w:val="single" w:sz="8" w:color="61656A"/>
            </w:tcBorders>
          </w:tcPr>
          <w:p>
            <w:pPr>
              <w:spacing w:after="0"/>
              <w:rPr>
                <w:sz w:val="16"/>
                <w:szCs w:val="16"/>
                <w:color w:val="auto"/>
              </w:rPr>
            </w:pPr>
          </w:p>
        </w:tc>
        <w:tc>
          <w:tcPr>
            <w:tcW w:w="360" w:type="dxa"/>
            <w:vAlign w:val="bottom"/>
            <w:tcBorders>
              <w:bottom w:val="single" w:sz="8" w:color="61656A"/>
            </w:tcBorders>
          </w:tcPr>
          <w:p>
            <w:pPr>
              <w:spacing w:after="0"/>
              <w:rPr>
                <w:sz w:val="16"/>
                <w:szCs w:val="16"/>
                <w:color w:val="auto"/>
              </w:rPr>
            </w:pPr>
          </w:p>
        </w:tc>
        <w:tc>
          <w:tcPr>
            <w:tcW w:w="92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1320" w:type="dxa"/>
            <w:vAlign w:val="bottom"/>
            <w:tcBorders>
              <w:bottom w:val="single" w:sz="8" w:color="61656A"/>
            </w:tcBorders>
          </w:tcPr>
          <w:p>
            <w:pPr>
              <w:spacing w:after="0"/>
              <w:rPr>
                <w:sz w:val="16"/>
                <w:szCs w:val="16"/>
                <w:color w:val="auto"/>
              </w:rPr>
            </w:pPr>
          </w:p>
        </w:tc>
        <w:tc>
          <w:tcPr>
            <w:tcW w:w="260" w:type="dxa"/>
            <w:vAlign w:val="bottom"/>
            <w:tcBorders>
              <w:bottom w:val="single" w:sz="8" w:color="61656A"/>
            </w:tcBorders>
          </w:tcPr>
          <w:p>
            <w:pPr>
              <w:spacing w:after="0"/>
              <w:rPr>
                <w:sz w:val="16"/>
                <w:szCs w:val="16"/>
                <w:color w:val="auto"/>
              </w:rPr>
            </w:pPr>
          </w:p>
        </w:tc>
        <w:tc>
          <w:tcPr>
            <w:tcW w:w="1020" w:type="dxa"/>
            <w:vAlign w:val="bottom"/>
            <w:tcBorders>
              <w:bottom w:val="single" w:sz="8" w:color="61656A"/>
            </w:tcBorders>
          </w:tcPr>
          <w:p>
            <w:pPr>
              <w:spacing w:after="0"/>
              <w:rPr>
                <w:sz w:val="16"/>
                <w:szCs w:val="16"/>
                <w:color w:val="auto"/>
              </w:rPr>
            </w:pPr>
          </w:p>
        </w:tc>
        <w:tc>
          <w:tcPr>
            <w:tcW w:w="16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740" w:type="dxa"/>
            <w:vAlign w:val="bottom"/>
            <w:tcBorders>
              <w:bottom w:val="single" w:sz="8" w:color="61656A"/>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84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Actuarial losses recognized</w:t>
            </w:r>
          </w:p>
        </w:tc>
        <w:tc>
          <w:tcPr>
            <w:tcW w:w="1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61656A"/>
            </w:tcBorders>
          </w:tcPr>
          <w:p>
            <w:pPr>
              <w:jc w:val="center"/>
              <w:ind w:left="348"/>
              <w:spacing w:after="0"/>
              <w:rPr>
                <w:sz w:val="20"/>
                <w:szCs w:val="20"/>
                <w:color w:val="auto"/>
              </w:rPr>
            </w:pPr>
            <w:r>
              <w:rPr>
                <w:rFonts w:ascii="Arial" w:cs="Arial" w:eastAsia="Arial" w:hAnsi="Arial"/>
                <w:sz w:val="14"/>
                <w:szCs w:val="14"/>
                <w:color w:val="auto"/>
                <w:w w:val="99"/>
              </w:rPr>
              <w:t>—</w:t>
            </w:r>
          </w:p>
        </w:tc>
        <w:tc>
          <w:tcPr>
            <w:tcW w:w="2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61656A"/>
            </w:tcBorders>
          </w:tcPr>
          <w:p>
            <w:pPr>
              <w:jc w:val="center"/>
              <w:ind w:left="468"/>
              <w:spacing w:after="0"/>
              <w:rPr>
                <w:sz w:val="20"/>
                <w:szCs w:val="20"/>
                <w:color w:val="auto"/>
              </w:rPr>
            </w:pPr>
            <w:r>
              <w:rPr>
                <w:rFonts w:ascii="Arial" w:cs="Arial" w:eastAsia="Arial" w:hAnsi="Arial"/>
                <w:sz w:val="14"/>
                <w:szCs w:val="14"/>
                <w:color w:val="auto"/>
                <w:w w:val="99"/>
              </w:rPr>
              <w:t>—</w:t>
            </w:r>
          </w:p>
        </w:tc>
        <w:tc>
          <w:tcPr>
            <w:tcW w:w="3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61656A"/>
            </w:tcBorders>
          </w:tcPr>
          <w:p>
            <w:pPr>
              <w:jc w:val="center"/>
              <w:ind w:left="348"/>
              <w:spacing w:after="0"/>
              <w:rPr>
                <w:sz w:val="20"/>
                <w:szCs w:val="20"/>
                <w:color w:val="auto"/>
              </w:rPr>
            </w:pPr>
            <w:r>
              <w:rPr>
                <w:rFonts w:ascii="Arial" w:cs="Arial" w:eastAsia="Arial" w:hAnsi="Arial"/>
                <w:sz w:val="14"/>
                <w:szCs w:val="14"/>
                <w:color w:val="auto"/>
                <w:w w:val="99"/>
              </w:rPr>
              <w:t>—</w:t>
            </w:r>
          </w:p>
        </w:tc>
        <w:tc>
          <w:tcPr>
            <w:tcW w:w="2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61656A"/>
            </w:tcBorders>
          </w:tcPr>
          <w:p>
            <w:pPr>
              <w:jc w:val="right"/>
              <w:ind w:right="188"/>
              <w:spacing w:after="0"/>
              <w:rPr>
                <w:sz w:val="20"/>
                <w:szCs w:val="20"/>
                <w:color w:val="auto"/>
              </w:rPr>
            </w:pPr>
            <w:r>
              <w:rPr>
                <w:rFonts w:ascii="Arial" w:cs="Arial" w:eastAsia="Arial" w:hAnsi="Arial"/>
                <w:sz w:val="14"/>
                <w:szCs w:val="14"/>
                <w:color w:val="auto"/>
              </w:rPr>
              <w:t>141</w:t>
            </w:r>
          </w:p>
        </w:tc>
        <w:tc>
          <w:tcPr>
            <w:tcW w:w="1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141</w:t>
            </w:r>
          </w:p>
        </w:tc>
        <w:tc>
          <w:tcPr>
            <w:tcW w:w="0" w:type="dxa"/>
            <w:vAlign w:val="bottom"/>
          </w:tcPr>
          <w:p>
            <w:pPr>
              <w:spacing w:after="0"/>
              <w:rPr>
                <w:sz w:val="1"/>
                <w:szCs w:val="1"/>
                <w:color w:val="auto"/>
              </w:rPr>
            </w:pPr>
          </w:p>
        </w:tc>
      </w:tr>
      <w:tr>
        <w:trPr>
          <w:trHeight w:val="196"/>
        </w:trPr>
        <w:tc>
          <w:tcPr>
            <w:tcW w:w="284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Prior service (credit) recognized</w:t>
            </w:r>
          </w:p>
        </w:tc>
        <w:tc>
          <w:tcPr>
            <w:tcW w:w="120" w:type="dxa"/>
            <w:vAlign w:val="bottom"/>
            <w:tcBorders>
              <w:bottom w:val="single" w:sz="8" w:color="888B8D"/>
            </w:tcBorders>
          </w:tcPr>
          <w:p>
            <w:pPr>
              <w:spacing w:after="0"/>
              <w:rPr>
                <w:sz w:val="17"/>
                <w:szCs w:val="17"/>
                <w:color w:val="auto"/>
              </w:rPr>
            </w:pPr>
          </w:p>
        </w:tc>
        <w:tc>
          <w:tcPr>
            <w:tcW w:w="920" w:type="dxa"/>
            <w:vAlign w:val="bottom"/>
            <w:tcBorders>
              <w:bottom w:val="single" w:sz="8" w:color="888B8D"/>
            </w:tcBorders>
          </w:tcPr>
          <w:p>
            <w:pPr>
              <w:jc w:val="center"/>
              <w:ind w:left="348"/>
              <w:spacing w:after="0"/>
              <w:rPr>
                <w:sz w:val="20"/>
                <w:szCs w:val="20"/>
                <w:color w:val="auto"/>
              </w:rPr>
            </w:pPr>
            <w:r>
              <w:rPr>
                <w:rFonts w:ascii="Arial" w:cs="Arial" w:eastAsia="Arial" w:hAnsi="Arial"/>
                <w:sz w:val="14"/>
                <w:szCs w:val="14"/>
                <w:color w:val="auto"/>
                <w:w w:val="99"/>
              </w:rPr>
              <w:t>—</w:t>
            </w:r>
          </w:p>
        </w:tc>
        <w:tc>
          <w:tcPr>
            <w:tcW w:w="260" w:type="dxa"/>
            <w:vAlign w:val="bottom"/>
            <w:tcBorders>
              <w:bottom w:val="single" w:sz="8" w:color="888B8D"/>
            </w:tcBorders>
          </w:tcPr>
          <w:p>
            <w:pPr>
              <w:spacing w:after="0"/>
              <w:rPr>
                <w:sz w:val="17"/>
                <w:szCs w:val="17"/>
                <w:color w:val="auto"/>
              </w:rPr>
            </w:pPr>
          </w:p>
        </w:tc>
        <w:tc>
          <w:tcPr>
            <w:tcW w:w="840" w:type="dxa"/>
            <w:vAlign w:val="bottom"/>
            <w:tcBorders>
              <w:bottom w:val="single" w:sz="8" w:color="888B8D"/>
            </w:tcBorders>
          </w:tcPr>
          <w:p>
            <w:pPr>
              <w:jc w:val="center"/>
              <w:ind w:left="468"/>
              <w:spacing w:after="0"/>
              <w:rPr>
                <w:sz w:val="20"/>
                <w:szCs w:val="20"/>
                <w:color w:val="auto"/>
              </w:rPr>
            </w:pPr>
            <w:r>
              <w:rPr>
                <w:rFonts w:ascii="Arial" w:cs="Arial" w:eastAsia="Arial" w:hAnsi="Arial"/>
                <w:sz w:val="14"/>
                <w:szCs w:val="14"/>
                <w:color w:val="auto"/>
                <w:w w:val="99"/>
              </w:rPr>
              <w:t>—</w:t>
            </w:r>
          </w:p>
        </w:tc>
        <w:tc>
          <w:tcPr>
            <w:tcW w:w="360" w:type="dxa"/>
            <w:vAlign w:val="bottom"/>
            <w:tcBorders>
              <w:bottom w:val="single" w:sz="8" w:color="888B8D"/>
            </w:tcBorders>
          </w:tcPr>
          <w:p>
            <w:pPr>
              <w:spacing w:after="0"/>
              <w:rPr>
                <w:sz w:val="17"/>
                <w:szCs w:val="17"/>
                <w:color w:val="auto"/>
              </w:rPr>
            </w:pPr>
          </w:p>
        </w:tc>
        <w:tc>
          <w:tcPr>
            <w:tcW w:w="920" w:type="dxa"/>
            <w:vAlign w:val="bottom"/>
            <w:tcBorders>
              <w:bottom w:val="single" w:sz="8" w:color="888B8D"/>
            </w:tcBorders>
          </w:tcPr>
          <w:p>
            <w:pPr>
              <w:jc w:val="center"/>
              <w:ind w:left="348"/>
              <w:spacing w:after="0"/>
              <w:rPr>
                <w:sz w:val="20"/>
                <w:szCs w:val="20"/>
                <w:color w:val="auto"/>
              </w:rPr>
            </w:pPr>
            <w:r>
              <w:rPr>
                <w:rFonts w:ascii="Arial" w:cs="Arial" w:eastAsia="Arial" w:hAnsi="Arial"/>
                <w:sz w:val="14"/>
                <w:szCs w:val="14"/>
                <w:color w:val="auto"/>
                <w:w w:val="99"/>
              </w:rPr>
              <w:t>—</w:t>
            </w:r>
          </w:p>
        </w:tc>
        <w:tc>
          <w:tcPr>
            <w:tcW w:w="220" w:type="dxa"/>
            <w:vAlign w:val="bottom"/>
            <w:tcBorders>
              <w:bottom w:val="single" w:sz="8" w:color="888B8D"/>
            </w:tcBorders>
          </w:tcPr>
          <w:p>
            <w:pPr>
              <w:spacing w:after="0"/>
              <w:rPr>
                <w:sz w:val="17"/>
                <w:szCs w:val="17"/>
                <w:color w:val="auto"/>
              </w:rPr>
            </w:pPr>
          </w:p>
        </w:tc>
        <w:tc>
          <w:tcPr>
            <w:tcW w:w="13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888B8D"/>
            </w:tcBorders>
          </w:tcPr>
          <w:p>
            <w:pPr>
              <w:spacing w:after="0"/>
              <w:rPr>
                <w:sz w:val="17"/>
                <w:szCs w:val="17"/>
                <w:color w:val="auto"/>
              </w:rPr>
            </w:pPr>
          </w:p>
        </w:tc>
        <w:tc>
          <w:tcPr>
            <w:tcW w:w="1020" w:type="dxa"/>
            <w:vAlign w:val="bottom"/>
            <w:tcBorders>
              <w:bottom w:val="single" w:sz="8" w:color="888B8D"/>
            </w:tcBorders>
          </w:tcPr>
          <w:p>
            <w:pPr>
              <w:jc w:val="right"/>
              <w:ind w:right="148"/>
              <w:spacing w:after="0"/>
              <w:rPr>
                <w:sz w:val="20"/>
                <w:szCs w:val="20"/>
                <w:color w:val="auto"/>
              </w:rPr>
            </w:pPr>
            <w:r>
              <w:rPr>
                <w:rFonts w:ascii="Arial" w:cs="Arial" w:eastAsia="Arial" w:hAnsi="Arial"/>
                <w:sz w:val="14"/>
                <w:szCs w:val="14"/>
                <w:color w:val="auto"/>
              </w:rPr>
              <w:t>(63)</w:t>
            </w:r>
          </w:p>
        </w:tc>
        <w:tc>
          <w:tcPr>
            <w:tcW w:w="160" w:type="dxa"/>
            <w:vAlign w:val="bottom"/>
            <w:tcBorders>
              <w:bottom w:val="single" w:sz="8" w:color="888B8D"/>
            </w:tcBorders>
          </w:tcPr>
          <w:p>
            <w:pPr>
              <w:spacing w:after="0"/>
              <w:rPr>
                <w:sz w:val="17"/>
                <w:szCs w:val="17"/>
                <w:color w:val="auto"/>
              </w:rPr>
            </w:pPr>
          </w:p>
        </w:tc>
        <w:tc>
          <w:tcPr>
            <w:tcW w:w="94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888B8D"/>
            </w:tcBorders>
          </w:tcPr>
          <w:p>
            <w:pPr>
              <w:spacing w:after="0"/>
              <w:rPr>
                <w:sz w:val="17"/>
                <w:szCs w:val="17"/>
                <w:color w:val="auto"/>
              </w:rPr>
            </w:pPr>
          </w:p>
        </w:tc>
        <w:tc>
          <w:tcPr>
            <w:tcW w:w="7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196"/>
        </w:trPr>
        <w:tc>
          <w:tcPr>
            <w:tcW w:w="284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Losses (gains) on cash flow hedges</w:t>
            </w:r>
          </w:p>
        </w:tc>
        <w:tc>
          <w:tcPr>
            <w:tcW w:w="120" w:type="dxa"/>
            <w:vAlign w:val="bottom"/>
            <w:tcBorders>
              <w:bottom w:val="single" w:sz="8" w:color="D7282F"/>
            </w:tcBorders>
          </w:tcPr>
          <w:p>
            <w:pPr>
              <w:spacing w:after="0"/>
              <w:rPr>
                <w:sz w:val="17"/>
                <w:szCs w:val="17"/>
                <w:color w:val="auto"/>
              </w:rPr>
            </w:pPr>
          </w:p>
        </w:tc>
        <w:tc>
          <w:tcPr>
            <w:tcW w:w="920" w:type="dxa"/>
            <w:vAlign w:val="bottom"/>
            <w:tcBorders>
              <w:bottom w:val="single" w:sz="8" w:color="D7282F"/>
            </w:tcBorders>
          </w:tcPr>
          <w:p>
            <w:pPr>
              <w:jc w:val="center"/>
              <w:ind w:left="328"/>
              <w:spacing w:after="0"/>
              <w:rPr>
                <w:sz w:val="20"/>
                <w:szCs w:val="20"/>
                <w:color w:val="auto"/>
              </w:rPr>
            </w:pPr>
            <w:r>
              <w:rPr>
                <w:rFonts w:ascii="Arial" w:cs="Arial" w:eastAsia="Arial" w:hAnsi="Arial"/>
                <w:sz w:val="14"/>
                <w:szCs w:val="14"/>
                <w:color w:val="auto"/>
                <w:w w:val="96"/>
              </w:rPr>
              <w:t>(15)</w:t>
            </w:r>
          </w:p>
        </w:tc>
        <w:tc>
          <w:tcPr>
            <w:tcW w:w="260" w:type="dxa"/>
            <w:vAlign w:val="bottom"/>
            <w:tcBorders>
              <w:bottom w:val="single" w:sz="8" w:color="D7282F"/>
            </w:tcBorders>
          </w:tcPr>
          <w:p>
            <w:pPr>
              <w:spacing w:after="0"/>
              <w:rPr>
                <w:sz w:val="17"/>
                <w:szCs w:val="17"/>
                <w:color w:val="auto"/>
              </w:rPr>
            </w:pPr>
          </w:p>
        </w:tc>
        <w:tc>
          <w:tcPr>
            <w:tcW w:w="840" w:type="dxa"/>
            <w:vAlign w:val="bottom"/>
            <w:tcBorders>
              <w:bottom w:val="single" w:sz="8" w:color="D7282F"/>
            </w:tcBorders>
          </w:tcPr>
          <w:p>
            <w:pPr>
              <w:jc w:val="center"/>
              <w:ind w:left="428"/>
              <w:spacing w:after="0"/>
              <w:rPr>
                <w:sz w:val="20"/>
                <w:szCs w:val="20"/>
                <w:color w:val="auto"/>
              </w:rPr>
            </w:pPr>
            <w:r>
              <w:rPr>
                <w:rFonts w:ascii="Arial" w:cs="Arial" w:eastAsia="Arial" w:hAnsi="Arial"/>
                <w:sz w:val="14"/>
                <w:szCs w:val="14"/>
                <w:color w:val="auto"/>
              </w:rPr>
              <w:t>(28)</w:t>
            </w:r>
          </w:p>
        </w:tc>
        <w:tc>
          <w:tcPr>
            <w:tcW w:w="360" w:type="dxa"/>
            <w:vAlign w:val="bottom"/>
            <w:tcBorders>
              <w:bottom w:val="single" w:sz="8" w:color="D7282F"/>
            </w:tcBorders>
          </w:tcPr>
          <w:p>
            <w:pPr>
              <w:spacing w:after="0"/>
              <w:rPr>
                <w:sz w:val="17"/>
                <w:szCs w:val="17"/>
                <w:color w:val="auto"/>
              </w:rPr>
            </w:pPr>
          </w:p>
        </w:tc>
        <w:tc>
          <w:tcPr>
            <w:tcW w:w="920" w:type="dxa"/>
            <w:vAlign w:val="bottom"/>
            <w:tcBorders>
              <w:bottom w:val="single" w:sz="8" w:color="D7282F"/>
            </w:tcBorders>
          </w:tcPr>
          <w:p>
            <w:pPr>
              <w:jc w:val="center"/>
              <w:ind w:left="308"/>
              <w:spacing w:after="0"/>
              <w:rPr>
                <w:sz w:val="20"/>
                <w:szCs w:val="20"/>
                <w:color w:val="auto"/>
              </w:rPr>
            </w:pPr>
            <w:r>
              <w:rPr>
                <w:rFonts w:ascii="Arial" w:cs="Arial" w:eastAsia="Arial" w:hAnsi="Arial"/>
                <w:sz w:val="14"/>
                <w:szCs w:val="14"/>
                <w:color w:val="auto"/>
              </w:rPr>
              <w:t>(10)</w:t>
            </w:r>
          </w:p>
        </w:tc>
        <w:tc>
          <w:tcPr>
            <w:tcW w:w="220" w:type="dxa"/>
            <w:vAlign w:val="bottom"/>
            <w:tcBorders>
              <w:bottom w:val="single" w:sz="8" w:color="D7282F"/>
            </w:tcBorders>
          </w:tcPr>
          <w:p>
            <w:pPr>
              <w:spacing w:after="0"/>
              <w:rPr>
                <w:sz w:val="17"/>
                <w:szCs w:val="17"/>
                <w:color w:val="auto"/>
              </w:rPr>
            </w:pPr>
          </w:p>
        </w:tc>
        <w:tc>
          <w:tcPr>
            <w:tcW w:w="13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(10)</w:t>
            </w:r>
          </w:p>
        </w:tc>
        <w:tc>
          <w:tcPr>
            <w:tcW w:w="260" w:type="dxa"/>
            <w:vAlign w:val="bottom"/>
            <w:tcBorders>
              <w:bottom w:val="single" w:sz="8" w:color="D7282F"/>
            </w:tcBorders>
          </w:tcPr>
          <w:p>
            <w:pPr>
              <w:spacing w:after="0"/>
              <w:rPr>
                <w:sz w:val="17"/>
                <w:szCs w:val="17"/>
                <w:color w:val="auto"/>
              </w:rPr>
            </w:pPr>
          </w:p>
        </w:tc>
        <w:tc>
          <w:tcPr>
            <w:tcW w:w="1020" w:type="dxa"/>
            <w:vAlign w:val="bottom"/>
            <w:tcBorders>
              <w:bottom w:val="single" w:sz="8" w:color="D7282F"/>
            </w:tcBorders>
          </w:tcPr>
          <w:p>
            <w:pPr>
              <w:jc w:val="right"/>
              <w:ind w:right="18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199"/>
        </w:trPr>
        <w:tc>
          <w:tcPr>
            <w:tcW w:w="284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before tax</w:t>
            </w:r>
          </w:p>
        </w:tc>
        <w:tc>
          <w:tcPr>
            <w:tcW w:w="1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D7282F"/>
            </w:tcBorders>
          </w:tcPr>
          <w:p>
            <w:pPr>
              <w:jc w:val="center"/>
              <w:ind w:left="328"/>
              <w:spacing w:after="0"/>
              <w:rPr>
                <w:sz w:val="20"/>
                <w:szCs w:val="20"/>
                <w:color w:val="auto"/>
              </w:rPr>
            </w:pPr>
            <w:r>
              <w:rPr>
                <w:rFonts w:ascii="Arial" w:cs="Arial" w:eastAsia="Arial" w:hAnsi="Arial"/>
                <w:sz w:val="14"/>
                <w:szCs w:val="14"/>
                <w:b w:val="1"/>
                <w:bCs w:val="1"/>
                <w:color w:val="auto"/>
                <w:w w:val="96"/>
              </w:rPr>
              <w:t>(15)</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D7282F"/>
            </w:tcBorders>
          </w:tcPr>
          <w:p>
            <w:pPr>
              <w:jc w:val="center"/>
              <w:ind w:left="428"/>
              <w:spacing w:after="0"/>
              <w:rPr>
                <w:sz w:val="20"/>
                <w:szCs w:val="20"/>
                <w:color w:val="auto"/>
              </w:rPr>
            </w:pPr>
            <w:r>
              <w:rPr>
                <w:rFonts w:ascii="Arial" w:cs="Arial" w:eastAsia="Arial" w:hAnsi="Arial"/>
                <w:sz w:val="14"/>
                <w:szCs w:val="14"/>
                <w:b w:val="1"/>
                <w:bCs w:val="1"/>
                <w:color w:val="auto"/>
              </w:rPr>
              <w:t>(28)</w:t>
            </w:r>
          </w:p>
        </w:tc>
        <w:tc>
          <w:tcPr>
            <w:tcW w:w="3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D7282F"/>
            </w:tcBorders>
          </w:tcPr>
          <w:p>
            <w:pPr>
              <w:jc w:val="center"/>
              <w:ind w:left="308"/>
              <w:spacing w:after="0"/>
              <w:rPr>
                <w:sz w:val="20"/>
                <w:szCs w:val="20"/>
                <w:color w:val="auto"/>
              </w:rPr>
            </w:pPr>
            <w:r>
              <w:rPr>
                <w:rFonts w:ascii="Arial" w:cs="Arial" w:eastAsia="Arial" w:hAnsi="Arial"/>
                <w:sz w:val="14"/>
                <w:szCs w:val="14"/>
                <w:b w:val="1"/>
                <w:bCs w:val="1"/>
                <w:color w:val="auto"/>
              </w:rPr>
              <w:t>(10)</w:t>
            </w: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3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(10)</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D7282F"/>
            </w:tcBorders>
          </w:tcPr>
          <w:p>
            <w:pPr>
              <w:jc w:val="right"/>
              <w:ind w:right="188"/>
              <w:spacing w:after="0"/>
              <w:rPr>
                <w:sz w:val="20"/>
                <w:szCs w:val="20"/>
                <w:color w:val="auto"/>
              </w:rPr>
            </w:pPr>
            <w:r>
              <w:rPr>
                <w:rFonts w:ascii="Arial" w:cs="Arial" w:eastAsia="Arial" w:hAnsi="Arial"/>
                <w:sz w:val="14"/>
                <w:szCs w:val="14"/>
                <w:b w:val="1"/>
                <w:bCs w:val="1"/>
                <w:color w:val="auto"/>
              </w:rPr>
              <w:t>78</w:t>
            </w: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15</w:t>
            </w:r>
          </w:p>
        </w:tc>
        <w:tc>
          <w:tcPr>
            <w:tcW w:w="0" w:type="dxa"/>
            <w:vAlign w:val="bottom"/>
          </w:tcPr>
          <w:p>
            <w:pPr>
              <w:spacing w:after="0"/>
              <w:rPr>
                <w:sz w:val="1"/>
                <w:szCs w:val="1"/>
                <w:color w:val="auto"/>
              </w:rPr>
            </w:pPr>
          </w:p>
        </w:tc>
      </w:tr>
      <w:tr>
        <w:trPr>
          <w:trHeight w:val="196"/>
        </w:trPr>
        <w:tc>
          <w:tcPr>
            <w:tcW w:w="284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Tax expense (benefit)</w:t>
            </w:r>
          </w:p>
        </w:tc>
        <w:tc>
          <w:tcPr>
            <w:tcW w:w="120" w:type="dxa"/>
            <w:vAlign w:val="bottom"/>
            <w:tcBorders>
              <w:bottom w:val="single" w:sz="8" w:color="D7282F"/>
            </w:tcBorders>
          </w:tcPr>
          <w:p>
            <w:pPr>
              <w:spacing w:after="0"/>
              <w:rPr>
                <w:sz w:val="17"/>
                <w:szCs w:val="17"/>
                <w:color w:val="auto"/>
              </w:rPr>
            </w:pPr>
          </w:p>
        </w:tc>
        <w:tc>
          <w:tcPr>
            <w:tcW w:w="920" w:type="dxa"/>
            <w:vAlign w:val="bottom"/>
            <w:tcBorders>
              <w:bottom w:val="single" w:sz="8" w:color="D7282F"/>
            </w:tcBorders>
          </w:tcPr>
          <w:p>
            <w:pPr>
              <w:spacing w:after="0"/>
              <w:rPr>
                <w:sz w:val="17"/>
                <w:szCs w:val="17"/>
                <w:color w:val="auto"/>
              </w:rPr>
            </w:pPr>
          </w:p>
        </w:tc>
        <w:tc>
          <w:tcPr>
            <w:tcW w:w="260" w:type="dxa"/>
            <w:vAlign w:val="bottom"/>
            <w:tcBorders>
              <w:bottom w:val="single" w:sz="8" w:color="D7282F"/>
            </w:tcBorders>
          </w:tcPr>
          <w:p>
            <w:pPr>
              <w:spacing w:after="0"/>
              <w:rPr>
                <w:sz w:val="17"/>
                <w:szCs w:val="17"/>
                <w:color w:val="auto"/>
              </w:rPr>
            </w:pPr>
          </w:p>
        </w:tc>
        <w:tc>
          <w:tcPr>
            <w:tcW w:w="840" w:type="dxa"/>
            <w:vAlign w:val="bottom"/>
            <w:tcBorders>
              <w:bottom w:val="single" w:sz="8" w:color="D7282F"/>
            </w:tcBorders>
          </w:tcPr>
          <w:p>
            <w:pPr>
              <w:spacing w:after="0"/>
              <w:rPr>
                <w:sz w:val="17"/>
                <w:szCs w:val="17"/>
                <w:color w:val="auto"/>
              </w:rPr>
            </w:pPr>
          </w:p>
        </w:tc>
        <w:tc>
          <w:tcPr>
            <w:tcW w:w="360" w:type="dxa"/>
            <w:vAlign w:val="bottom"/>
            <w:tcBorders>
              <w:bottom w:val="single" w:sz="8" w:color="D7282F"/>
            </w:tcBorders>
          </w:tcPr>
          <w:p>
            <w:pPr>
              <w:spacing w:after="0"/>
              <w:rPr>
                <w:sz w:val="17"/>
                <w:szCs w:val="17"/>
                <w:color w:val="auto"/>
              </w:rPr>
            </w:pPr>
          </w:p>
        </w:tc>
        <w:tc>
          <w:tcPr>
            <w:tcW w:w="920" w:type="dxa"/>
            <w:vAlign w:val="bottom"/>
            <w:tcBorders>
              <w:bottom w:val="single" w:sz="8" w:color="D7282F"/>
            </w:tcBorders>
          </w:tcPr>
          <w:p>
            <w:pPr>
              <w:spacing w:after="0"/>
              <w:rPr>
                <w:sz w:val="17"/>
                <w:szCs w:val="17"/>
                <w:color w:val="auto"/>
              </w:rPr>
            </w:pPr>
          </w:p>
        </w:tc>
        <w:tc>
          <w:tcPr>
            <w:tcW w:w="220" w:type="dxa"/>
            <w:vAlign w:val="bottom"/>
            <w:tcBorders>
              <w:bottom w:val="single" w:sz="8" w:color="D7282F"/>
            </w:tcBorders>
          </w:tcPr>
          <w:p>
            <w:pPr>
              <w:spacing w:after="0"/>
              <w:rPr>
                <w:sz w:val="17"/>
                <w:szCs w:val="17"/>
                <w:color w:val="auto"/>
              </w:rPr>
            </w:pPr>
          </w:p>
        </w:tc>
        <w:tc>
          <w:tcPr>
            <w:tcW w:w="1320" w:type="dxa"/>
            <w:vAlign w:val="bottom"/>
            <w:tcBorders>
              <w:bottom w:val="single" w:sz="8" w:color="D7282F"/>
            </w:tcBorders>
          </w:tcPr>
          <w:p>
            <w:pPr>
              <w:spacing w:after="0"/>
              <w:rPr>
                <w:sz w:val="17"/>
                <w:szCs w:val="17"/>
                <w:color w:val="auto"/>
              </w:rPr>
            </w:pPr>
          </w:p>
        </w:tc>
        <w:tc>
          <w:tcPr>
            <w:tcW w:w="260" w:type="dxa"/>
            <w:vAlign w:val="bottom"/>
            <w:tcBorders>
              <w:bottom w:val="single" w:sz="8" w:color="D7282F"/>
            </w:tcBorders>
          </w:tcPr>
          <w:p>
            <w:pPr>
              <w:spacing w:after="0"/>
              <w:rPr>
                <w:sz w:val="17"/>
                <w:szCs w:val="17"/>
                <w:color w:val="auto"/>
              </w:rPr>
            </w:pPr>
          </w:p>
        </w:tc>
        <w:tc>
          <w:tcPr>
            <w:tcW w:w="1020" w:type="dxa"/>
            <w:vAlign w:val="bottom"/>
            <w:tcBorders>
              <w:bottom w:val="single" w:sz="8" w:color="D7282F"/>
            </w:tcBorders>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tcPr>
          <w:p>
            <w:pPr>
              <w:spacing w:after="0"/>
              <w:rPr>
                <w:sz w:val="17"/>
                <w:szCs w:val="17"/>
                <w:color w:val="auto"/>
              </w:rPr>
            </w:pPr>
          </w:p>
        </w:tc>
        <w:tc>
          <w:tcPr>
            <w:tcW w:w="32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w:t>
            </w:r>
          </w:p>
        </w:tc>
        <w:tc>
          <w:tcPr>
            <w:tcW w:w="0" w:type="dxa"/>
            <w:vAlign w:val="bottom"/>
          </w:tcPr>
          <w:p>
            <w:pPr>
              <w:spacing w:after="0"/>
              <w:rPr>
                <w:sz w:val="1"/>
                <w:szCs w:val="1"/>
                <w:color w:val="auto"/>
              </w:rPr>
            </w:pPr>
          </w:p>
        </w:tc>
      </w:tr>
      <w:tr>
        <w:trPr>
          <w:trHeight w:val="196"/>
        </w:trPr>
        <w:tc>
          <w:tcPr>
            <w:tcW w:w="3880" w:type="dxa"/>
            <w:vAlign w:val="bottom"/>
            <w:tcBorders>
              <w:bottom w:val="single" w:sz="8" w:color="D7282F"/>
            </w:tcBorders>
            <w:gridSpan w:val="3"/>
          </w:tcPr>
          <w:p>
            <w:pPr>
              <w:ind w:left="240"/>
              <w:spacing w:after="0"/>
              <w:rPr>
                <w:sz w:val="20"/>
                <w:szCs w:val="20"/>
                <w:color w:val="auto"/>
              </w:rPr>
            </w:pPr>
            <w:r>
              <w:rPr>
                <w:rFonts w:ascii="Arial" w:cs="Arial" w:eastAsia="Arial" w:hAnsi="Arial"/>
                <w:sz w:val="14"/>
                <w:szCs w:val="14"/>
                <w:b w:val="1"/>
                <w:bCs w:val="1"/>
                <w:color w:val="auto"/>
              </w:rPr>
              <w:t>Total reclassifications for the period, net of tax</w:t>
            </w:r>
          </w:p>
        </w:tc>
        <w:tc>
          <w:tcPr>
            <w:tcW w:w="260" w:type="dxa"/>
            <w:vAlign w:val="bottom"/>
            <w:tcBorders>
              <w:bottom w:val="single" w:sz="8" w:color="D7282F"/>
            </w:tcBorders>
          </w:tcPr>
          <w:p>
            <w:pPr>
              <w:spacing w:after="0"/>
              <w:rPr>
                <w:sz w:val="17"/>
                <w:szCs w:val="17"/>
                <w:color w:val="auto"/>
              </w:rPr>
            </w:pPr>
          </w:p>
        </w:tc>
        <w:tc>
          <w:tcPr>
            <w:tcW w:w="840" w:type="dxa"/>
            <w:vAlign w:val="bottom"/>
            <w:tcBorders>
              <w:bottom w:val="single" w:sz="8" w:color="D7282F"/>
            </w:tcBorders>
          </w:tcPr>
          <w:p>
            <w:pPr>
              <w:spacing w:after="0"/>
              <w:rPr>
                <w:sz w:val="17"/>
                <w:szCs w:val="17"/>
                <w:color w:val="auto"/>
              </w:rPr>
            </w:pPr>
          </w:p>
        </w:tc>
        <w:tc>
          <w:tcPr>
            <w:tcW w:w="360" w:type="dxa"/>
            <w:vAlign w:val="bottom"/>
            <w:tcBorders>
              <w:bottom w:val="single" w:sz="8" w:color="D7282F"/>
            </w:tcBorders>
          </w:tcPr>
          <w:p>
            <w:pPr>
              <w:spacing w:after="0"/>
              <w:rPr>
                <w:sz w:val="17"/>
                <w:szCs w:val="17"/>
                <w:color w:val="auto"/>
              </w:rPr>
            </w:pPr>
          </w:p>
        </w:tc>
        <w:tc>
          <w:tcPr>
            <w:tcW w:w="920" w:type="dxa"/>
            <w:vAlign w:val="bottom"/>
            <w:tcBorders>
              <w:bottom w:val="single" w:sz="8" w:color="D7282F"/>
            </w:tcBorders>
          </w:tcPr>
          <w:p>
            <w:pPr>
              <w:spacing w:after="0"/>
              <w:rPr>
                <w:sz w:val="17"/>
                <w:szCs w:val="17"/>
                <w:color w:val="auto"/>
              </w:rPr>
            </w:pPr>
          </w:p>
        </w:tc>
        <w:tc>
          <w:tcPr>
            <w:tcW w:w="220" w:type="dxa"/>
            <w:vAlign w:val="bottom"/>
            <w:tcBorders>
              <w:bottom w:val="single" w:sz="8" w:color="D7282F"/>
            </w:tcBorders>
          </w:tcPr>
          <w:p>
            <w:pPr>
              <w:spacing w:after="0"/>
              <w:rPr>
                <w:sz w:val="17"/>
                <w:szCs w:val="17"/>
                <w:color w:val="auto"/>
              </w:rPr>
            </w:pPr>
          </w:p>
        </w:tc>
        <w:tc>
          <w:tcPr>
            <w:tcW w:w="1320" w:type="dxa"/>
            <w:vAlign w:val="bottom"/>
            <w:tcBorders>
              <w:bottom w:val="single" w:sz="8" w:color="D7282F"/>
            </w:tcBorders>
          </w:tcPr>
          <w:p>
            <w:pPr>
              <w:spacing w:after="0"/>
              <w:rPr>
                <w:sz w:val="17"/>
                <w:szCs w:val="17"/>
                <w:color w:val="auto"/>
              </w:rPr>
            </w:pPr>
          </w:p>
        </w:tc>
        <w:tc>
          <w:tcPr>
            <w:tcW w:w="260" w:type="dxa"/>
            <w:vAlign w:val="bottom"/>
            <w:tcBorders>
              <w:bottom w:val="single" w:sz="8" w:color="D7282F"/>
            </w:tcBorders>
          </w:tcPr>
          <w:p>
            <w:pPr>
              <w:spacing w:after="0"/>
              <w:rPr>
                <w:sz w:val="17"/>
                <w:szCs w:val="17"/>
                <w:color w:val="auto"/>
              </w:rPr>
            </w:pPr>
          </w:p>
        </w:tc>
        <w:tc>
          <w:tcPr>
            <w:tcW w:w="1020" w:type="dxa"/>
            <w:vAlign w:val="bottom"/>
            <w:tcBorders>
              <w:bottom w:val="single" w:sz="8" w:color="D7282F"/>
            </w:tcBorders>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tcPr>
          <w:p>
            <w:pPr>
              <w:spacing w:after="0"/>
              <w:rPr>
                <w:sz w:val="17"/>
                <w:szCs w:val="17"/>
                <w:color w:val="auto"/>
              </w:rPr>
            </w:pPr>
          </w:p>
        </w:tc>
        <w:tc>
          <w:tcPr>
            <w:tcW w:w="32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21</w:t>
            </w:r>
          </w:p>
        </w:tc>
        <w:tc>
          <w:tcPr>
            <w:tcW w:w="0" w:type="dxa"/>
            <w:vAlign w:val="bottom"/>
          </w:tcPr>
          <w:p>
            <w:pPr>
              <w:spacing w:after="0"/>
              <w:rPr>
                <w:sz w:val="1"/>
                <w:szCs w:val="1"/>
                <w:color w:val="auto"/>
              </w:rPr>
            </w:pPr>
          </w:p>
        </w:tc>
      </w:tr>
      <w:tr>
        <w:trPr>
          <w:trHeight w:val="451"/>
        </w:trPr>
        <w:tc>
          <w:tcPr>
            <w:tcW w:w="2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740" w:type="dxa"/>
            <w:vAlign w:val="bottom"/>
            <w:gridSpan w:val="5"/>
          </w:tcPr>
          <w:p>
            <w:pPr>
              <w:jc w:val="center"/>
              <w:ind w:right="268"/>
              <w:spacing w:after="0"/>
              <w:rPr>
                <w:sz w:val="20"/>
                <w:szCs w:val="20"/>
                <w:color w:val="auto"/>
              </w:rPr>
            </w:pPr>
            <w:r>
              <w:rPr>
                <w:rFonts w:ascii="Arial" w:cs="Arial" w:eastAsia="Arial" w:hAnsi="Arial"/>
                <w:sz w:val="14"/>
                <w:szCs w:val="14"/>
                <w:b w:val="1"/>
                <w:bCs w:val="1"/>
                <w:color w:val="auto"/>
              </w:rPr>
              <w:t>Year Ended December 31, 2022</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2840" w:type="dxa"/>
            <w:vAlign w:val="bottom"/>
          </w:tcPr>
          <w:p>
            <w:pPr>
              <w:spacing w:after="0"/>
              <w:rPr>
                <w:sz w:val="2"/>
                <w:szCs w:val="2"/>
                <w:color w:val="auto"/>
              </w:rPr>
            </w:pPr>
          </w:p>
        </w:tc>
        <w:tc>
          <w:tcPr>
            <w:tcW w:w="120" w:type="dxa"/>
            <w:vAlign w:val="bottom"/>
            <w:tcBorders>
              <w:bottom w:val="single" w:sz="8" w:color="D7282F"/>
            </w:tcBorders>
          </w:tcPr>
          <w:p>
            <w:pPr>
              <w:spacing w:after="0"/>
              <w:rPr>
                <w:sz w:val="2"/>
                <w:szCs w:val="2"/>
                <w:color w:val="auto"/>
              </w:rPr>
            </w:pPr>
          </w:p>
        </w:tc>
        <w:tc>
          <w:tcPr>
            <w:tcW w:w="920" w:type="dxa"/>
            <w:vAlign w:val="bottom"/>
            <w:tcBorders>
              <w:bottom w:val="single" w:sz="8" w:color="D7282F"/>
            </w:tcBorders>
          </w:tcPr>
          <w:p>
            <w:pPr>
              <w:spacing w:after="0"/>
              <w:rPr>
                <w:sz w:val="2"/>
                <w:szCs w:val="2"/>
                <w:color w:val="auto"/>
              </w:rPr>
            </w:pPr>
          </w:p>
        </w:tc>
        <w:tc>
          <w:tcPr>
            <w:tcW w:w="260" w:type="dxa"/>
            <w:vAlign w:val="bottom"/>
            <w:tcBorders>
              <w:bottom w:val="single" w:sz="8" w:color="D7282F"/>
            </w:tcBorders>
          </w:tcPr>
          <w:p>
            <w:pPr>
              <w:spacing w:after="0"/>
              <w:rPr>
                <w:sz w:val="2"/>
                <w:szCs w:val="2"/>
                <w:color w:val="auto"/>
              </w:rPr>
            </w:pPr>
          </w:p>
        </w:tc>
        <w:tc>
          <w:tcPr>
            <w:tcW w:w="840" w:type="dxa"/>
            <w:vAlign w:val="bottom"/>
            <w:tcBorders>
              <w:bottom w:val="single" w:sz="8" w:color="D7282F"/>
            </w:tcBorders>
          </w:tcPr>
          <w:p>
            <w:pPr>
              <w:spacing w:after="0"/>
              <w:rPr>
                <w:sz w:val="2"/>
                <w:szCs w:val="2"/>
                <w:color w:val="auto"/>
              </w:rPr>
            </w:pPr>
          </w:p>
        </w:tc>
        <w:tc>
          <w:tcPr>
            <w:tcW w:w="4100" w:type="dxa"/>
            <w:vAlign w:val="bottom"/>
            <w:tcBorders>
              <w:bottom w:val="single" w:sz="8" w:color="D7282F"/>
            </w:tcBorders>
            <w:gridSpan w:val="6"/>
          </w:tcPr>
          <w:p>
            <w:pPr>
              <w:spacing w:after="0"/>
              <w:rPr>
                <w:sz w:val="2"/>
                <w:szCs w:val="2"/>
                <w:color w:val="auto"/>
              </w:rPr>
            </w:pPr>
          </w:p>
        </w:tc>
        <w:tc>
          <w:tcPr>
            <w:tcW w:w="160" w:type="dxa"/>
            <w:vAlign w:val="bottom"/>
            <w:tcBorders>
              <w:bottom w:val="single" w:sz="8" w:color="D7282F"/>
            </w:tcBorders>
          </w:tcPr>
          <w:p>
            <w:pPr>
              <w:spacing w:after="0"/>
              <w:rPr>
                <w:sz w:val="2"/>
                <w:szCs w:val="2"/>
                <w:color w:val="auto"/>
              </w:rPr>
            </w:pPr>
          </w:p>
        </w:tc>
        <w:tc>
          <w:tcPr>
            <w:tcW w:w="940" w:type="dxa"/>
            <w:vAlign w:val="bottom"/>
            <w:tcBorders>
              <w:bottom w:val="single" w:sz="8" w:color="D7282F"/>
            </w:tcBorders>
          </w:tcPr>
          <w:p>
            <w:pPr>
              <w:spacing w:after="0"/>
              <w:rPr>
                <w:sz w:val="2"/>
                <w:szCs w:val="2"/>
                <w:color w:val="auto"/>
              </w:rPr>
            </w:pPr>
          </w:p>
        </w:tc>
        <w:tc>
          <w:tcPr>
            <w:tcW w:w="320" w:type="dxa"/>
            <w:vAlign w:val="bottom"/>
            <w:tcBorders>
              <w:bottom w:val="single" w:sz="8" w:color="D7282F"/>
            </w:tcBorders>
          </w:tcPr>
          <w:p>
            <w:pPr>
              <w:spacing w:after="0"/>
              <w:rPr>
                <w:sz w:val="2"/>
                <w:szCs w:val="2"/>
                <w:color w:val="auto"/>
              </w:rPr>
            </w:pPr>
          </w:p>
        </w:tc>
        <w:tc>
          <w:tcPr>
            <w:tcW w:w="740" w:type="dxa"/>
            <w:vAlign w:val="bottom"/>
            <w:tcBorders>
              <w:bottom w:val="single" w:sz="8" w:color="D7282F"/>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2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100" w:type="dxa"/>
            <w:vAlign w:val="bottom"/>
            <w:gridSpan w:val="6"/>
          </w:tcPr>
          <w:p>
            <w:pPr>
              <w:jc w:val="center"/>
              <w:spacing w:after="0"/>
              <w:rPr>
                <w:sz w:val="20"/>
                <w:szCs w:val="20"/>
                <w:color w:val="auto"/>
              </w:rPr>
            </w:pPr>
            <w:r>
              <w:rPr>
                <w:rFonts w:ascii="Arial" w:cs="Arial" w:eastAsia="Arial" w:hAnsi="Arial"/>
                <w:sz w:val="14"/>
                <w:szCs w:val="14"/>
                <w:b w:val="1"/>
                <w:bCs w:val="1"/>
                <w:color w:val="auto"/>
              </w:rPr>
              <w:t>Affected Line in the Consolidated Statement of Operations</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2840" w:type="dxa"/>
            <w:vAlign w:val="bottom"/>
          </w:tcPr>
          <w:p>
            <w:pPr>
              <w:spacing w:after="0"/>
              <w:rPr>
                <w:sz w:val="2"/>
                <w:szCs w:val="2"/>
                <w:color w:val="auto"/>
              </w:rPr>
            </w:pPr>
          </w:p>
        </w:tc>
        <w:tc>
          <w:tcPr>
            <w:tcW w:w="120" w:type="dxa"/>
            <w:vAlign w:val="bottom"/>
            <w:tcBorders>
              <w:bottom w:val="single" w:sz="8" w:color="D7282F"/>
            </w:tcBorders>
          </w:tcPr>
          <w:p>
            <w:pPr>
              <w:spacing w:after="0"/>
              <w:rPr>
                <w:sz w:val="2"/>
                <w:szCs w:val="2"/>
                <w:color w:val="auto"/>
              </w:rPr>
            </w:pPr>
          </w:p>
        </w:tc>
        <w:tc>
          <w:tcPr>
            <w:tcW w:w="920" w:type="dxa"/>
            <w:vAlign w:val="bottom"/>
            <w:tcBorders>
              <w:bottom w:val="single" w:sz="8" w:color="D7282F"/>
            </w:tcBorders>
          </w:tcPr>
          <w:p>
            <w:pPr>
              <w:spacing w:after="0"/>
              <w:rPr>
                <w:sz w:val="2"/>
                <w:szCs w:val="2"/>
                <w:color w:val="auto"/>
              </w:rPr>
            </w:pPr>
          </w:p>
        </w:tc>
        <w:tc>
          <w:tcPr>
            <w:tcW w:w="260" w:type="dxa"/>
            <w:vAlign w:val="bottom"/>
            <w:tcBorders>
              <w:bottom w:val="single" w:sz="8" w:color="D7282F"/>
            </w:tcBorders>
          </w:tcPr>
          <w:p>
            <w:pPr>
              <w:spacing w:after="0"/>
              <w:rPr>
                <w:sz w:val="2"/>
                <w:szCs w:val="2"/>
                <w:color w:val="auto"/>
              </w:rPr>
            </w:pPr>
          </w:p>
        </w:tc>
        <w:tc>
          <w:tcPr>
            <w:tcW w:w="840" w:type="dxa"/>
            <w:vAlign w:val="bottom"/>
            <w:tcBorders>
              <w:bottom w:val="single" w:sz="8" w:color="D7282F"/>
            </w:tcBorders>
          </w:tcPr>
          <w:p>
            <w:pPr>
              <w:spacing w:after="0"/>
              <w:rPr>
                <w:sz w:val="2"/>
                <w:szCs w:val="2"/>
                <w:color w:val="auto"/>
              </w:rPr>
            </w:pPr>
          </w:p>
        </w:tc>
        <w:tc>
          <w:tcPr>
            <w:tcW w:w="360" w:type="dxa"/>
            <w:vAlign w:val="bottom"/>
            <w:tcBorders>
              <w:bottom w:val="single" w:sz="8" w:color="D7282F"/>
            </w:tcBorders>
          </w:tcPr>
          <w:p>
            <w:pPr>
              <w:spacing w:after="0"/>
              <w:rPr>
                <w:sz w:val="2"/>
                <w:szCs w:val="2"/>
                <w:color w:val="auto"/>
              </w:rPr>
            </w:pPr>
          </w:p>
        </w:tc>
        <w:tc>
          <w:tcPr>
            <w:tcW w:w="920" w:type="dxa"/>
            <w:vAlign w:val="bottom"/>
            <w:tcBorders>
              <w:bottom w:val="single" w:sz="8" w:color="D7282F"/>
            </w:tcBorders>
          </w:tcPr>
          <w:p>
            <w:pPr>
              <w:spacing w:after="0"/>
              <w:rPr>
                <w:sz w:val="2"/>
                <w:szCs w:val="2"/>
                <w:color w:val="auto"/>
              </w:rPr>
            </w:pPr>
          </w:p>
        </w:tc>
        <w:tc>
          <w:tcPr>
            <w:tcW w:w="220" w:type="dxa"/>
            <w:vAlign w:val="bottom"/>
            <w:tcBorders>
              <w:bottom w:val="single" w:sz="8" w:color="D7282F"/>
            </w:tcBorders>
          </w:tcPr>
          <w:p>
            <w:pPr>
              <w:spacing w:after="0"/>
              <w:rPr>
                <w:sz w:val="2"/>
                <w:szCs w:val="2"/>
                <w:color w:val="auto"/>
              </w:rPr>
            </w:pPr>
          </w:p>
        </w:tc>
        <w:tc>
          <w:tcPr>
            <w:tcW w:w="1320" w:type="dxa"/>
            <w:vAlign w:val="bottom"/>
            <w:tcBorders>
              <w:bottom w:val="single" w:sz="8" w:color="D7282F"/>
            </w:tcBorders>
          </w:tcPr>
          <w:p>
            <w:pPr>
              <w:spacing w:after="0"/>
              <w:rPr>
                <w:sz w:val="2"/>
                <w:szCs w:val="2"/>
                <w:color w:val="auto"/>
              </w:rPr>
            </w:pPr>
          </w:p>
        </w:tc>
        <w:tc>
          <w:tcPr>
            <w:tcW w:w="260" w:type="dxa"/>
            <w:vAlign w:val="bottom"/>
            <w:tcBorders>
              <w:bottom w:val="single" w:sz="8" w:color="D7282F"/>
            </w:tcBorders>
          </w:tcPr>
          <w:p>
            <w:pPr>
              <w:spacing w:after="0"/>
              <w:rPr>
                <w:sz w:val="2"/>
                <w:szCs w:val="2"/>
                <w:color w:val="auto"/>
              </w:rPr>
            </w:pPr>
          </w:p>
        </w:tc>
        <w:tc>
          <w:tcPr>
            <w:tcW w:w="1020" w:type="dxa"/>
            <w:vAlign w:val="bottom"/>
            <w:tcBorders>
              <w:bottom w:val="single" w:sz="8" w:color="D7282F"/>
            </w:tcBorders>
          </w:tcPr>
          <w:p>
            <w:pPr>
              <w:spacing w:after="0"/>
              <w:rPr>
                <w:sz w:val="2"/>
                <w:szCs w:val="2"/>
                <w:color w:val="auto"/>
              </w:rPr>
            </w:pPr>
          </w:p>
        </w:tc>
        <w:tc>
          <w:tcPr>
            <w:tcW w:w="1100" w:type="dxa"/>
            <w:vAlign w:val="bottom"/>
            <w:tcBorders>
              <w:bottom w:val="single" w:sz="8" w:color="D7282F"/>
            </w:tcBorders>
            <w:gridSpan w:val="2"/>
          </w:tcPr>
          <w:p>
            <w:pPr>
              <w:spacing w:after="0"/>
              <w:rPr>
                <w:sz w:val="2"/>
                <w:szCs w:val="2"/>
                <w:color w:val="auto"/>
              </w:rPr>
            </w:pPr>
          </w:p>
        </w:tc>
        <w:tc>
          <w:tcPr>
            <w:tcW w:w="320" w:type="dxa"/>
            <w:vAlign w:val="bottom"/>
            <w:tcBorders>
              <w:bottom w:val="single" w:sz="8" w:color="D7282F"/>
            </w:tcBorders>
          </w:tcPr>
          <w:p>
            <w:pPr>
              <w:spacing w:after="0"/>
              <w:rPr>
                <w:sz w:val="2"/>
                <w:szCs w:val="2"/>
                <w:color w:val="auto"/>
              </w:rPr>
            </w:pPr>
          </w:p>
        </w:tc>
        <w:tc>
          <w:tcPr>
            <w:tcW w:w="740" w:type="dxa"/>
            <w:vAlign w:val="bottom"/>
            <w:tcBorders>
              <w:bottom w:val="single" w:sz="8" w:color="D7282F"/>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rPr>
              <w:t>Cost of</w:t>
            </w:r>
          </w:p>
        </w:tc>
        <w:tc>
          <w:tcPr>
            <w:tcW w:w="360" w:type="dxa"/>
            <w:vAlign w:val="bottom"/>
          </w:tcPr>
          <w:p>
            <w:pPr>
              <w:spacing w:after="0"/>
              <w:rPr>
                <w:sz w:val="15"/>
                <w:szCs w:val="15"/>
                <w:color w:val="auto"/>
              </w:rPr>
            </w:pPr>
          </w:p>
        </w:tc>
        <w:tc>
          <w:tcPr>
            <w:tcW w:w="920" w:type="dxa"/>
            <w:vAlign w:val="bottom"/>
            <w:vMerge w:val="restart"/>
          </w:tcPr>
          <w:p>
            <w:pPr>
              <w:jc w:val="center"/>
              <w:ind w:right="188"/>
              <w:spacing w:after="0"/>
              <w:rPr>
                <w:sz w:val="20"/>
                <w:szCs w:val="20"/>
                <w:color w:val="auto"/>
              </w:rPr>
            </w:pPr>
            <w:r>
              <w:rPr>
                <w:rFonts w:ascii="Arial" w:cs="Arial" w:eastAsia="Arial" w:hAnsi="Arial"/>
                <w:sz w:val="14"/>
                <w:szCs w:val="14"/>
                <w:b w:val="1"/>
                <w:bCs w:val="1"/>
                <w:color w:val="auto"/>
              </w:rPr>
              <w:t>Cost of</w:t>
            </w:r>
          </w:p>
        </w:tc>
        <w:tc>
          <w:tcPr>
            <w:tcW w:w="220" w:type="dxa"/>
            <w:vAlign w:val="bottom"/>
          </w:tcPr>
          <w:p>
            <w:pPr>
              <w:spacing w:after="0"/>
              <w:rPr>
                <w:sz w:val="15"/>
                <w:szCs w:val="15"/>
                <w:color w:val="auto"/>
              </w:rPr>
            </w:pPr>
          </w:p>
        </w:tc>
        <w:tc>
          <w:tcPr>
            <w:tcW w:w="1320" w:type="dxa"/>
            <w:vAlign w:val="bottom"/>
          </w:tcPr>
          <w:p>
            <w:pPr>
              <w:jc w:val="center"/>
              <w:ind w:right="128"/>
              <w:spacing w:after="0"/>
              <w:rPr>
                <w:sz w:val="20"/>
                <w:szCs w:val="20"/>
                <w:color w:val="auto"/>
              </w:rPr>
            </w:pPr>
            <w:r>
              <w:rPr>
                <w:rFonts w:ascii="Arial" w:cs="Arial" w:eastAsia="Arial" w:hAnsi="Arial"/>
                <w:sz w:val="14"/>
                <w:szCs w:val="14"/>
                <w:b w:val="1"/>
                <w:bCs w:val="1"/>
                <w:color w:val="auto"/>
              </w:rPr>
              <w:t>Selling, General</w:t>
            </w:r>
          </w:p>
        </w:tc>
        <w:tc>
          <w:tcPr>
            <w:tcW w:w="260" w:type="dxa"/>
            <w:vAlign w:val="bottom"/>
          </w:tcPr>
          <w:p>
            <w:pPr>
              <w:spacing w:after="0"/>
              <w:rPr>
                <w:sz w:val="15"/>
                <w:szCs w:val="15"/>
                <w:color w:val="auto"/>
              </w:rPr>
            </w:pPr>
          </w:p>
        </w:tc>
        <w:tc>
          <w:tcPr>
            <w:tcW w:w="1020" w:type="dxa"/>
            <w:vAlign w:val="bottom"/>
            <w:vMerge w:val="restart"/>
          </w:tcPr>
          <w:p>
            <w:pPr>
              <w:jc w:val="center"/>
              <w:ind w:right="268"/>
              <w:spacing w:after="0"/>
              <w:rPr>
                <w:sz w:val="20"/>
                <w:szCs w:val="20"/>
                <w:color w:val="auto"/>
              </w:rPr>
            </w:pPr>
            <w:r>
              <w:rPr>
                <w:rFonts w:ascii="Arial" w:cs="Arial" w:eastAsia="Arial" w:hAnsi="Arial"/>
                <w:sz w:val="14"/>
                <w:szCs w:val="14"/>
                <w:b w:val="1"/>
                <w:bCs w:val="1"/>
                <w:color w:val="auto"/>
              </w:rPr>
              <w:t>Other</w:t>
            </w:r>
          </w:p>
        </w:tc>
        <w:tc>
          <w:tcPr>
            <w:tcW w:w="1100" w:type="dxa"/>
            <w:vAlign w:val="bottom"/>
            <w:gridSpan w:val="2"/>
          </w:tcPr>
          <w:p>
            <w:pPr>
              <w:jc w:val="right"/>
              <w:ind w:right="108"/>
              <w:spacing w:after="0"/>
              <w:rPr>
                <w:sz w:val="20"/>
                <w:szCs w:val="20"/>
                <w:color w:val="auto"/>
              </w:rPr>
            </w:pPr>
            <w:r>
              <w:rPr>
                <w:rFonts w:ascii="Arial" w:cs="Arial" w:eastAsia="Arial" w:hAnsi="Arial"/>
                <w:sz w:val="14"/>
                <w:szCs w:val="14"/>
                <w:b w:val="1"/>
                <w:bCs w:val="1"/>
                <w:color w:val="auto"/>
              </w:rPr>
              <w:t>Interest and</w:t>
            </w: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jc w:val="center"/>
              <w:ind w:right="148"/>
              <w:spacing w:after="0" w:line="149" w:lineRule="exact"/>
              <w:rPr>
                <w:sz w:val="20"/>
                <w:szCs w:val="20"/>
                <w:color w:val="auto"/>
              </w:rPr>
            </w:pPr>
            <w:r>
              <w:rPr>
                <w:rFonts w:ascii="Arial" w:cs="Arial" w:eastAsia="Arial" w:hAnsi="Arial"/>
                <w:sz w:val="14"/>
                <w:szCs w:val="14"/>
                <w:b w:val="1"/>
                <w:bCs w:val="1"/>
                <w:color w:val="auto"/>
              </w:rPr>
              <w:t>and</w:t>
            </w:r>
          </w:p>
        </w:tc>
        <w:tc>
          <w:tcPr>
            <w:tcW w:w="26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ind w:right="168"/>
              <w:spacing w:after="0" w:line="149" w:lineRule="exact"/>
              <w:rPr>
                <w:sz w:val="20"/>
                <w:szCs w:val="20"/>
                <w:color w:val="auto"/>
              </w:rPr>
            </w:pPr>
            <w:r>
              <w:rPr>
                <w:rFonts w:ascii="Arial" w:cs="Arial" w:eastAsia="Arial" w:hAnsi="Arial"/>
                <w:sz w:val="14"/>
                <w:szCs w:val="14"/>
                <w:b w:val="1"/>
                <w:bCs w:val="1"/>
                <w:color w:val="auto"/>
              </w:rPr>
              <w:t>Other</w:t>
            </w: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Net Sales</w:t>
            </w:r>
          </w:p>
        </w:tc>
        <w:tc>
          <w:tcPr>
            <w:tcW w:w="260" w:type="dxa"/>
            <w:vAlign w:val="bottom"/>
          </w:tcPr>
          <w:p>
            <w:pPr>
              <w:spacing w:after="0"/>
              <w:rPr>
                <w:sz w:val="12"/>
                <w:szCs w:val="12"/>
                <w:color w:val="auto"/>
              </w:rPr>
            </w:pPr>
          </w:p>
        </w:tc>
        <w:tc>
          <w:tcPr>
            <w:tcW w:w="840" w:type="dxa"/>
            <w:vAlign w:val="bottom"/>
          </w:tcPr>
          <w:p>
            <w:pPr>
              <w:jc w:val="center"/>
              <w:ind w:right="68"/>
              <w:spacing w:after="0" w:line="139" w:lineRule="exact"/>
              <w:rPr>
                <w:sz w:val="20"/>
                <w:szCs w:val="20"/>
                <w:color w:val="auto"/>
              </w:rPr>
            </w:pPr>
            <w:r>
              <w:rPr>
                <w:rFonts w:ascii="Arial" w:cs="Arial" w:eastAsia="Arial" w:hAnsi="Arial"/>
                <w:sz w:val="14"/>
                <w:szCs w:val="14"/>
                <w:b w:val="1"/>
                <w:bCs w:val="1"/>
                <w:color w:val="auto"/>
              </w:rPr>
              <w:t>Products</w:t>
            </w:r>
          </w:p>
        </w:tc>
        <w:tc>
          <w:tcPr>
            <w:tcW w:w="360" w:type="dxa"/>
            <w:vAlign w:val="bottom"/>
          </w:tcPr>
          <w:p>
            <w:pPr>
              <w:spacing w:after="0"/>
              <w:rPr>
                <w:sz w:val="12"/>
                <w:szCs w:val="12"/>
                <w:color w:val="auto"/>
              </w:rPr>
            </w:pPr>
          </w:p>
        </w:tc>
        <w:tc>
          <w:tcPr>
            <w:tcW w:w="920" w:type="dxa"/>
            <w:vAlign w:val="bottom"/>
          </w:tcPr>
          <w:p>
            <w:pPr>
              <w:jc w:val="center"/>
              <w:ind w:right="188"/>
              <w:spacing w:after="0" w:line="139" w:lineRule="exact"/>
              <w:rPr>
                <w:sz w:val="20"/>
                <w:szCs w:val="20"/>
                <w:color w:val="auto"/>
              </w:rPr>
            </w:pPr>
            <w:r>
              <w:rPr>
                <w:rFonts w:ascii="Arial" w:cs="Arial" w:eastAsia="Arial" w:hAnsi="Arial"/>
                <w:sz w:val="14"/>
                <w:szCs w:val="14"/>
                <w:b w:val="1"/>
                <w:bCs w:val="1"/>
                <w:color w:val="auto"/>
              </w:rPr>
              <w:t>Services</w:t>
            </w:r>
          </w:p>
        </w:tc>
        <w:tc>
          <w:tcPr>
            <w:tcW w:w="220" w:type="dxa"/>
            <w:vAlign w:val="bottom"/>
          </w:tcPr>
          <w:p>
            <w:pPr>
              <w:spacing w:after="0"/>
              <w:rPr>
                <w:sz w:val="12"/>
                <w:szCs w:val="12"/>
                <w:color w:val="auto"/>
              </w:rPr>
            </w:pPr>
          </w:p>
        </w:tc>
        <w:tc>
          <w:tcPr>
            <w:tcW w:w="1320" w:type="dxa"/>
            <w:vAlign w:val="bottom"/>
          </w:tcPr>
          <w:p>
            <w:pPr>
              <w:jc w:val="center"/>
              <w:ind w:right="128"/>
              <w:spacing w:after="0" w:line="139" w:lineRule="exact"/>
              <w:rPr>
                <w:sz w:val="20"/>
                <w:szCs w:val="20"/>
                <w:color w:val="auto"/>
              </w:rPr>
            </w:pPr>
            <w:r>
              <w:rPr>
                <w:rFonts w:ascii="Arial" w:cs="Arial" w:eastAsia="Arial" w:hAnsi="Arial"/>
                <w:sz w:val="14"/>
                <w:szCs w:val="14"/>
                <w:b w:val="1"/>
                <w:bCs w:val="1"/>
                <w:color w:val="auto"/>
              </w:rPr>
              <w:t>Administrative</w:t>
            </w:r>
          </w:p>
        </w:tc>
        <w:tc>
          <w:tcPr>
            <w:tcW w:w="260" w:type="dxa"/>
            <w:vAlign w:val="bottom"/>
          </w:tcPr>
          <w:p>
            <w:pPr>
              <w:spacing w:after="0"/>
              <w:rPr>
                <w:sz w:val="12"/>
                <w:szCs w:val="12"/>
                <w:color w:val="auto"/>
              </w:rPr>
            </w:pPr>
          </w:p>
        </w:tc>
        <w:tc>
          <w:tcPr>
            <w:tcW w:w="1020" w:type="dxa"/>
            <w:vAlign w:val="bottom"/>
          </w:tcPr>
          <w:p>
            <w:pPr>
              <w:jc w:val="center"/>
              <w:ind w:right="268"/>
              <w:spacing w:after="0" w:line="139" w:lineRule="exact"/>
              <w:rPr>
                <w:sz w:val="20"/>
                <w:szCs w:val="20"/>
                <w:color w:val="auto"/>
              </w:rPr>
            </w:pPr>
            <w:r>
              <w:rPr>
                <w:rFonts w:ascii="Arial" w:cs="Arial" w:eastAsia="Arial" w:hAnsi="Arial"/>
                <w:sz w:val="14"/>
                <w:szCs w:val="14"/>
                <w:b w:val="1"/>
                <w:bCs w:val="1"/>
                <w:color w:val="auto"/>
              </w:rPr>
              <w:t>(Income)</w:t>
            </w:r>
          </w:p>
        </w:tc>
        <w:tc>
          <w:tcPr>
            <w:tcW w:w="160" w:type="dxa"/>
            <w:vAlign w:val="bottom"/>
          </w:tcPr>
          <w:p>
            <w:pPr>
              <w:spacing w:after="0"/>
              <w:rPr>
                <w:sz w:val="12"/>
                <w:szCs w:val="12"/>
                <w:color w:val="auto"/>
              </w:rPr>
            </w:pPr>
          </w:p>
        </w:tc>
        <w:tc>
          <w:tcPr>
            <w:tcW w:w="940" w:type="dxa"/>
            <w:vAlign w:val="bottom"/>
          </w:tcPr>
          <w:p>
            <w:pPr>
              <w:jc w:val="center"/>
              <w:ind w:right="128"/>
              <w:spacing w:after="0" w:line="139" w:lineRule="exact"/>
              <w:rPr>
                <w:sz w:val="20"/>
                <w:szCs w:val="20"/>
                <w:color w:val="auto"/>
              </w:rPr>
            </w:pPr>
            <w:r>
              <w:rPr>
                <w:rFonts w:ascii="Arial" w:cs="Arial" w:eastAsia="Arial" w:hAnsi="Arial"/>
                <w:sz w:val="14"/>
                <w:szCs w:val="14"/>
                <w:b w:val="1"/>
                <w:bCs w:val="1"/>
                <w:color w:val="auto"/>
              </w:rPr>
              <w:t>Financial</w:t>
            </w:r>
          </w:p>
        </w:tc>
        <w:tc>
          <w:tcPr>
            <w:tcW w:w="320" w:type="dxa"/>
            <w:vAlign w:val="bottom"/>
          </w:tcPr>
          <w:p>
            <w:pPr>
              <w:spacing w:after="0"/>
              <w:rPr>
                <w:sz w:val="12"/>
                <w:szCs w:val="12"/>
                <w:color w:val="auto"/>
              </w:rPr>
            </w:pPr>
          </w:p>
        </w:tc>
        <w:tc>
          <w:tcPr>
            <w:tcW w:w="74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7"/>
        </w:trPr>
        <w:tc>
          <w:tcPr>
            <w:tcW w:w="2840" w:type="dxa"/>
            <w:vAlign w:val="bottom"/>
            <w:tcBorders>
              <w:bottom w:val="single" w:sz="8" w:color="D7282F"/>
            </w:tcBorders>
          </w:tcPr>
          <w:p>
            <w:pPr>
              <w:spacing w:after="0"/>
              <w:rPr>
                <w:sz w:val="17"/>
                <w:szCs w:val="17"/>
                <w:color w:val="auto"/>
              </w:rPr>
            </w:pPr>
          </w:p>
        </w:tc>
        <w:tc>
          <w:tcPr>
            <w:tcW w:w="120" w:type="dxa"/>
            <w:vAlign w:val="bottom"/>
            <w:tcBorders>
              <w:bottom w:val="single" w:sz="8" w:color="D7282F"/>
            </w:tcBorders>
          </w:tcPr>
          <w:p>
            <w:pPr>
              <w:spacing w:after="0"/>
              <w:rPr>
                <w:sz w:val="17"/>
                <w:szCs w:val="17"/>
                <w:color w:val="auto"/>
              </w:rPr>
            </w:pPr>
          </w:p>
        </w:tc>
        <w:tc>
          <w:tcPr>
            <w:tcW w:w="920" w:type="dxa"/>
            <w:vAlign w:val="bottom"/>
            <w:tcBorders>
              <w:bottom w:val="single" w:sz="8" w:color="D7282F"/>
            </w:tcBorders>
            <w:vMerge w:val="continue"/>
          </w:tcPr>
          <w:p>
            <w:pPr>
              <w:spacing w:after="0"/>
              <w:rPr>
                <w:sz w:val="17"/>
                <w:szCs w:val="17"/>
                <w:color w:val="auto"/>
              </w:rPr>
            </w:pPr>
          </w:p>
        </w:tc>
        <w:tc>
          <w:tcPr>
            <w:tcW w:w="260" w:type="dxa"/>
            <w:vAlign w:val="bottom"/>
            <w:tcBorders>
              <w:bottom w:val="single" w:sz="8" w:color="D7282F"/>
            </w:tcBorders>
          </w:tcPr>
          <w:p>
            <w:pPr>
              <w:spacing w:after="0"/>
              <w:rPr>
                <w:sz w:val="17"/>
                <w:szCs w:val="17"/>
                <w:color w:val="auto"/>
              </w:rPr>
            </w:pPr>
          </w:p>
        </w:tc>
        <w:tc>
          <w:tcPr>
            <w:tcW w:w="840" w:type="dxa"/>
            <w:vAlign w:val="bottom"/>
            <w:tcBorders>
              <w:bottom w:val="single" w:sz="8" w:color="D7282F"/>
            </w:tcBorders>
          </w:tcPr>
          <w:p>
            <w:pPr>
              <w:jc w:val="center"/>
              <w:ind w:right="88"/>
              <w:spacing w:after="0"/>
              <w:rPr>
                <w:sz w:val="20"/>
                <w:szCs w:val="20"/>
                <w:color w:val="auto"/>
              </w:rPr>
            </w:pPr>
            <w:r>
              <w:rPr>
                <w:rFonts w:ascii="Arial" w:cs="Arial" w:eastAsia="Arial" w:hAnsi="Arial"/>
                <w:sz w:val="14"/>
                <w:szCs w:val="14"/>
                <w:b w:val="1"/>
                <w:bCs w:val="1"/>
                <w:color w:val="auto"/>
              </w:rPr>
              <w:t>Sold</w:t>
            </w:r>
          </w:p>
        </w:tc>
        <w:tc>
          <w:tcPr>
            <w:tcW w:w="360" w:type="dxa"/>
            <w:vAlign w:val="bottom"/>
            <w:tcBorders>
              <w:bottom w:val="single" w:sz="8" w:color="D7282F"/>
            </w:tcBorders>
          </w:tcPr>
          <w:p>
            <w:pPr>
              <w:spacing w:after="0"/>
              <w:rPr>
                <w:sz w:val="17"/>
                <w:szCs w:val="17"/>
                <w:color w:val="auto"/>
              </w:rPr>
            </w:pPr>
          </w:p>
        </w:tc>
        <w:tc>
          <w:tcPr>
            <w:tcW w:w="920" w:type="dxa"/>
            <w:vAlign w:val="bottom"/>
            <w:tcBorders>
              <w:bottom w:val="single" w:sz="8" w:color="D7282F"/>
            </w:tcBorders>
          </w:tcPr>
          <w:p>
            <w:pPr>
              <w:jc w:val="center"/>
              <w:ind w:right="188"/>
              <w:spacing w:after="0"/>
              <w:rPr>
                <w:sz w:val="20"/>
                <w:szCs w:val="20"/>
                <w:color w:val="auto"/>
              </w:rPr>
            </w:pPr>
            <w:r>
              <w:rPr>
                <w:rFonts w:ascii="Arial" w:cs="Arial" w:eastAsia="Arial" w:hAnsi="Arial"/>
                <w:sz w:val="14"/>
                <w:szCs w:val="14"/>
                <w:b w:val="1"/>
                <w:bCs w:val="1"/>
                <w:color w:val="auto"/>
                <w:w w:val="98"/>
              </w:rPr>
              <w:t>Sold</w:t>
            </w:r>
          </w:p>
        </w:tc>
        <w:tc>
          <w:tcPr>
            <w:tcW w:w="220" w:type="dxa"/>
            <w:vAlign w:val="bottom"/>
            <w:tcBorders>
              <w:bottom w:val="single" w:sz="8" w:color="D7282F"/>
            </w:tcBorders>
          </w:tcPr>
          <w:p>
            <w:pPr>
              <w:spacing w:after="0"/>
              <w:rPr>
                <w:sz w:val="17"/>
                <w:szCs w:val="17"/>
                <w:color w:val="auto"/>
              </w:rPr>
            </w:pPr>
          </w:p>
        </w:tc>
        <w:tc>
          <w:tcPr>
            <w:tcW w:w="1320" w:type="dxa"/>
            <w:vAlign w:val="bottom"/>
            <w:tcBorders>
              <w:bottom w:val="single" w:sz="8" w:color="D7282F"/>
            </w:tcBorders>
          </w:tcPr>
          <w:p>
            <w:pPr>
              <w:jc w:val="center"/>
              <w:ind w:right="128"/>
              <w:spacing w:after="0"/>
              <w:rPr>
                <w:sz w:val="20"/>
                <w:szCs w:val="20"/>
                <w:color w:val="auto"/>
              </w:rPr>
            </w:pPr>
            <w:r>
              <w:rPr>
                <w:rFonts w:ascii="Arial" w:cs="Arial" w:eastAsia="Arial" w:hAnsi="Arial"/>
                <w:sz w:val="14"/>
                <w:szCs w:val="14"/>
                <w:b w:val="1"/>
                <w:bCs w:val="1"/>
                <w:color w:val="auto"/>
              </w:rPr>
              <w:t>Expenses</w:t>
            </w:r>
          </w:p>
        </w:tc>
        <w:tc>
          <w:tcPr>
            <w:tcW w:w="260" w:type="dxa"/>
            <w:vAlign w:val="bottom"/>
            <w:tcBorders>
              <w:bottom w:val="single" w:sz="8" w:color="D7282F"/>
            </w:tcBorders>
          </w:tcPr>
          <w:p>
            <w:pPr>
              <w:spacing w:after="0"/>
              <w:rPr>
                <w:sz w:val="17"/>
                <w:szCs w:val="17"/>
                <w:color w:val="auto"/>
              </w:rPr>
            </w:pPr>
          </w:p>
        </w:tc>
        <w:tc>
          <w:tcPr>
            <w:tcW w:w="1020" w:type="dxa"/>
            <w:vAlign w:val="bottom"/>
            <w:tcBorders>
              <w:bottom w:val="single" w:sz="8" w:color="D7282F"/>
            </w:tcBorders>
          </w:tcPr>
          <w:p>
            <w:pPr>
              <w:jc w:val="center"/>
              <w:ind w:right="268"/>
              <w:spacing w:after="0"/>
              <w:rPr>
                <w:sz w:val="20"/>
                <w:szCs w:val="20"/>
                <w:color w:val="auto"/>
              </w:rPr>
            </w:pPr>
            <w:r>
              <w:rPr>
                <w:rFonts w:ascii="Arial" w:cs="Arial" w:eastAsia="Arial" w:hAnsi="Arial"/>
                <w:sz w:val="14"/>
                <w:szCs w:val="14"/>
                <w:b w:val="1"/>
                <w:bCs w:val="1"/>
                <w:color w:val="auto"/>
              </w:rPr>
              <w:t>Expense</w:t>
            </w:r>
          </w:p>
        </w:tc>
        <w:tc>
          <w:tcPr>
            <w:tcW w:w="16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tcPr>
          <w:p>
            <w:pPr>
              <w:jc w:val="center"/>
              <w:ind w:right="168"/>
              <w:spacing w:after="0"/>
              <w:rPr>
                <w:sz w:val="20"/>
                <w:szCs w:val="20"/>
                <w:color w:val="auto"/>
              </w:rPr>
            </w:pPr>
            <w:r>
              <w:rPr>
                <w:rFonts w:ascii="Arial" w:cs="Arial" w:eastAsia="Arial" w:hAnsi="Arial"/>
                <w:sz w:val="14"/>
                <w:szCs w:val="14"/>
                <w:b w:val="1"/>
                <w:bCs w:val="1"/>
                <w:color w:val="auto"/>
              </w:rPr>
              <w:t>Charges</w:t>
            </w:r>
          </w:p>
        </w:tc>
        <w:tc>
          <w:tcPr>
            <w:tcW w:w="32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840" w:type="dxa"/>
            <w:vAlign w:val="bottom"/>
          </w:tcPr>
          <w:p>
            <w:pPr>
              <w:ind w:left="20"/>
              <w:spacing w:after="0" w:line="143" w:lineRule="exact"/>
              <w:rPr>
                <w:sz w:val="20"/>
                <w:szCs w:val="20"/>
                <w:color w:val="auto"/>
              </w:rPr>
            </w:pPr>
            <w:r>
              <w:rPr>
                <w:rFonts w:ascii="Arial" w:cs="Arial" w:eastAsia="Arial" w:hAnsi="Arial"/>
                <w:sz w:val="14"/>
                <w:szCs w:val="14"/>
                <w:color w:val="auto"/>
              </w:rPr>
              <w:t>Amortization of pension and other</w:t>
            </w: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84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postretirement benefit items</w:t>
            </w:r>
          </w:p>
        </w:tc>
        <w:tc>
          <w:tcPr>
            <w:tcW w:w="120" w:type="dxa"/>
            <w:vAlign w:val="bottom"/>
            <w:tcBorders>
              <w:bottom w:val="single" w:sz="8" w:color="888B8D"/>
            </w:tcBorders>
          </w:tcPr>
          <w:p>
            <w:pPr>
              <w:spacing w:after="0"/>
              <w:rPr>
                <w:sz w:val="16"/>
                <w:szCs w:val="16"/>
                <w:color w:val="auto"/>
              </w:rPr>
            </w:pPr>
          </w:p>
        </w:tc>
        <w:tc>
          <w:tcPr>
            <w:tcW w:w="920" w:type="dxa"/>
            <w:vAlign w:val="bottom"/>
            <w:tcBorders>
              <w:bottom w:val="single" w:sz="8" w:color="888B8D"/>
            </w:tcBorders>
          </w:tcPr>
          <w:p>
            <w:pPr>
              <w:spacing w:after="0"/>
              <w:rPr>
                <w:sz w:val="16"/>
                <w:szCs w:val="16"/>
                <w:color w:val="auto"/>
              </w:rPr>
            </w:pPr>
          </w:p>
        </w:tc>
        <w:tc>
          <w:tcPr>
            <w:tcW w:w="260" w:type="dxa"/>
            <w:vAlign w:val="bottom"/>
            <w:tcBorders>
              <w:bottom w:val="single" w:sz="8" w:color="888B8D"/>
            </w:tcBorders>
          </w:tcPr>
          <w:p>
            <w:pPr>
              <w:spacing w:after="0"/>
              <w:rPr>
                <w:sz w:val="16"/>
                <w:szCs w:val="16"/>
                <w:color w:val="auto"/>
              </w:rPr>
            </w:pPr>
          </w:p>
        </w:tc>
        <w:tc>
          <w:tcPr>
            <w:tcW w:w="840" w:type="dxa"/>
            <w:vAlign w:val="bottom"/>
            <w:tcBorders>
              <w:bottom w:val="single" w:sz="8" w:color="888B8D"/>
            </w:tcBorders>
          </w:tcPr>
          <w:p>
            <w:pPr>
              <w:spacing w:after="0"/>
              <w:rPr>
                <w:sz w:val="16"/>
                <w:szCs w:val="16"/>
                <w:color w:val="auto"/>
              </w:rPr>
            </w:pPr>
          </w:p>
        </w:tc>
        <w:tc>
          <w:tcPr>
            <w:tcW w:w="360" w:type="dxa"/>
            <w:vAlign w:val="bottom"/>
            <w:tcBorders>
              <w:bottom w:val="single" w:sz="8" w:color="888B8D"/>
            </w:tcBorders>
          </w:tcPr>
          <w:p>
            <w:pPr>
              <w:spacing w:after="0"/>
              <w:rPr>
                <w:sz w:val="16"/>
                <w:szCs w:val="16"/>
                <w:color w:val="auto"/>
              </w:rPr>
            </w:pPr>
          </w:p>
        </w:tc>
        <w:tc>
          <w:tcPr>
            <w:tcW w:w="920" w:type="dxa"/>
            <w:vAlign w:val="bottom"/>
            <w:tcBorders>
              <w:bottom w:val="single" w:sz="8" w:color="888B8D"/>
            </w:tcBorders>
          </w:tcPr>
          <w:p>
            <w:pPr>
              <w:spacing w:after="0"/>
              <w:rPr>
                <w:sz w:val="16"/>
                <w:szCs w:val="16"/>
                <w:color w:val="auto"/>
              </w:rPr>
            </w:pPr>
          </w:p>
        </w:tc>
        <w:tc>
          <w:tcPr>
            <w:tcW w:w="220" w:type="dxa"/>
            <w:vAlign w:val="bottom"/>
            <w:tcBorders>
              <w:bottom w:val="single" w:sz="8" w:color="888B8D"/>
            </w:tcBorders>
          </w:tcPr>
          <w:p>
            <w:pPr>
              <w:spacing w:after="0"/>
              <w:rPr>
                <w:sz w:val="16"/>
                <w:szCs w:val="16"/>
                <w:color w:val="auto"/>
              </w:rPr>
            </w:pPr>
          </w:p>
        </w:tc>
        <w:tc>
          <w:tcPr>
            <w:tcW w:w="1320" w:type="dxa"/>
            <w:vAlign w:val="bottom"/>
            <w:tcBorders>
              <w:bottom w:val="single" w:sz="8" w:color="888B8D"/>
            </w:tcBorders>
          </w:tcPr>
          <w:p>
            <w:pPr>
              <w:spacing w:after="0"/>
              <w:rPr>
                <w:sz w:val="16"/>
                <w:szCs w:val="16"/>
                <w:color w:val="auto"/>
              </w:rPr>
            </w:pPr>
          </w:p>
        </w:tc>
        <w:tc>
          <w:tcPr>
            <w:tcW w:w="260" w:type="dxa"/>
            <w:vAlign w:val="bottom"/>
            <w:tcBorders>
              <w:bottom w:val="single" w:sz="8" w:color="888B8D"/>
            </w:tcBorders>
          </w:tcPr>
          <w:p>
            <w:pPr>
              <w:spacing w:after="0"/>
              <w:rPr>
                <w:sz w:val="16"/>
                <w:szCs w:val="16"/>
                <w:color w:val="auto"/>
              </w:rPr>
            </w:pPr>
          </w:p>
        </w:tc>
        <w:tc>
          <w:tcPr>
            <w:tcW w:w="1020" w:type="dxa"/>
            <w:vAlign w:val="bottom"/>
            <w:tcBorders>
              <w:bottom w:val="single" w:sz="8" w:color="888B8D"/>
            </w:tcBorders>
          </w:tcPr>
          <w:p>
            <w:pPr>
              <w:spacing w:after="0"/>
              <w:rPr>
                <w:sz w:val="16"/>
                <w:szCs w:val="16"/>
                <w:color w:val="auto"/>
              </w:rPr>
            </w:pPr>
          </w:p>
        </w:tc>
        <w:tc>
          <w:tcPr>
            <w:tcW w:w="160" w:type="dxa"/>
            <w:vAlign w:val="bottom"/>
            <w:tcBorders>
              <w:bottom w:val="single" w:sz="8" w:color="888B8D"/>
            </w:tcBorders>
          </w:tcPr>
          <w:p>
            <w:pPr>
              <w:spacing w:after="0"/>
              <w:rPr>
                <w:sz w:val="16"/>
                <w:szCs w:val="16"/>
                <w:color w:val="auto"/>
              </w:rPr>
            </w:pPr>
          </w:p>
        </w:tc>
        <w:tc>
          <w:tcPr>
            <w:tcW w:w="940" w:type="dxa"/>
            <w:vAlign w:val="bottom"/>
            <w:tcBorders>
              <w:bottom w:val="single" w:sz="8" w:color="888B8D"/>
            </w:tcBorders>
          </w:tcPr>
          <w:p>
            <w:pPr>
              <w:spacing w:after="0"/>
              <w:rPr>
                <w:sz w:val="16"/>
                <w:szCs w:val="16"/>
                <w:color w:val="auto"/>
              </w:rPr>
            </w:pPr>
          </w:p>
        </w:tc>
        <w:tc>
          <w:tcPr>
            <w:tcW w:w="320" w:type="dxa"/>
            <w:vAlign w:val="bottom"/>
            <w:tcBorders>
              <w:bottom w:val="single" w:sz="8" w:color="888B8D"/>
            </w:tcBorders>
          </w:tcPr>
          <w:p>
            <w:pPr>
              <w:spacing w:after="0"/>
              <w:rPr>
                <w:sz w:val="16"/>
                <w:szCs w:val="16"/>
                <w:color w:val="auto"/>
              </w:rPr>
            </w:pPr>
          </w:p>
        </w:tc>
        <w:tc>
          <w:tcPr>
            <w:tcW w:w="740" w:type="dxa"/>
            <w:vAlign w:val="bottom"/>
            <w:tcBorders>
              <w:bottom w:val="single" w:sz="8" w:color="888B8D"/>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84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Actuarial losses recognized</w:t>
            </w:r>
          </w:p>
        </w:tc>
        <w:tc>
          <w:tcPr>
            <w:tcW w:w="12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888B8D"/>
            </w:tcBorders>
          </w:tcPr>
          <w:p>
            <w:pPr>
              <w:jc w:val="center"/>
              <w:ind w:left="348"/>
              <w:spacing w:after="0"/>
              <w:rPr>
                <w:sz w:val="20"/>
                <w:szCs w:val="20"/>
                <w:color w:val="auto"/>
              </w:rPr>
            </w:pPr>
            <w:r>
              <w:rPr>
                <w:rFonts w:ascii="Arial" w:cs="Arial" w:eastAsia="Arial" w:hAnsi="Arial"/>
                <w:sz w:val="14"/>
                <w:szCs w:val="14"/>
                <w:color w:val="auto"/>
                <w:w w:val="99"/>
              </w:rPr>
              <w:t>—</w:t>
            </w:r>
          </w:p>
        </w:tc>
        <w:tc>
          <w:tcPr>
            <w:tcW w:w="2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888B8D"/>
            </w:tcBorders>
          </w:tcPr>
          <w:p>
            <w:pPr>
              <w:jc w:val="center"/>
              <w:ind w:left="468"/>
              <w:spacing w:after="0"/>
              <w:rPr>
                <w:sz w:val="20"/>
                <w:szCs w:val="20"/>
                <w:color w:val="auto"/>
              </w:rPr>
            </w:pPr>
            <w:r>
              <w:rPr>
                <w:rFonts w:ascii="Arial" w:cs="Arial" w:eastAsia="Arial" w:hAnsi="Arial"/>
                <w:sz w:val="14"/>
                <w:szCs w:val="14"/>
                <w:color w:val="auto"/>
                <w:w w:val="99"/>
              </w:rPr>
              <w:t>—</w:t>
            </w:r>
          </w:p>
        </w:tc>
        <w:tc>
          <w:tcPr>
            <w:tcW w:w="3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888B8D"/>
            </w:tcBorders>
          </w:tcPr>
          <w:p>
            <w:pPr>
              <w:jc w:val="center"/>
              <w:ind w:left="348"/>
              <w:spacing w:after="0"/>
              <w:rPr>
                <w:sz w:val="20"/>
                <w:szCs w:val="20"/>
                <w:color w:val="auto"/>
              </w:rPr>
            </w:pPr>
            <w:r>
              <w:rPr>
                <w:rFonts w:ascii="Arial" w:cs="Arial" w:eastAsia="Arial" w:hAnsi="Arial"/>
                <w:sz w:val="14"/>
                <w:szCs w:val="14"/>
                <w:color w:val="auto"/>
                <w:w w:val="99"/>
              </w:rPr>
              <w:t>—</w:t>
            </w:r>
          </w:p>
        </w:tc>
        <w:tc>
          <w:tcPr>
            <w:tcW w:w="22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888B8D"/>
            </w:tcBorders>
          </w:tcPr>
          <w:p>
            <w:pPr>
              <w:jc w:val="right"/>
              <w:ind w:right="188"/>
              <w:spacing w:after="0"/>
              <w:rPr>
                <w:sz w:val="20"/>
                <w:szCs w:val="20"/>
                <w:color w:val="auto"/>
              </w:rPr>
            </w:pPr>
            <w:r>
              <w:rPr>
                <w:rFonts w:ascii="Arial" w:cs="Arial" w:eastAsia="Arial" w:hAnsi="Arial"/>
                <w:sz w:val="14"/>
                <w:szCs w:val="14"/>
                <w:color w:val="auto"/>
              </w:rPr>
              <w:t>516</w:t>
            </w:r>
          </w:p>
        </w:tc>
        <w:tc>
          <w:tcPr>
            <w:tcW w:w="1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888B8D"/>
            </w:tcBorders>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516</w:t>
            </w:r>
          </w:p>
        </w:tc>
        <w:tc>
          <w:tcPr>
            <w:tcW w:w="0" w:type="dxa"/>
            <w:vAlign w:val="bottom"/>
          </w:tcPr>
          <w:p>
            <w:pPr>
              <w:spacing w:after="0"/>
              <w:rPr>
                <w:sz w:val="1"/>
                <w:szCs w:val="1"/>
                <w:color w:val="auto"/>
              </w:rPr>
            </w:pPr>
          </w:p>
        </w:tc>
      </w:tr>
      <w:tr>
        <w:trPr>
          <w:trHeight w:val="196"/>
        </w:trPr>
        <w:tc>
          <w:tcPr>
            <w:tcW w:w="284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Prior service (credit) recognized</w:t>
            </w:r>
          </w:p>
        </w:tc>
        <w:tc>
          <w:tcPr>
            <w:tcW w:w="120" w:type="dxa"/>
            <w:vAlign w:val="bottom"/>
            <w:tcBorders>
              <w:bottom w:val="single" w:sz="8" w:color="888B8D"/>
            </w:tcBorders>
          </w:tcPr>
          <w:p>
            <w:pPr>
              <w:spacing w:after="0"/>
              <w:rPr>
                <w:sz w:val="17"/>
                <w:szCs w:val="17"/>
                <w:color w:val="auto"/>
              </w:rPr>
            </w:pPr>
          </w:p>
        </w:tc>
        <w:tc>
          <w:tcPr>
            <w:tcW w:w="920" w:type="dxa"/>
            <w:vAlign w:val="bottom"/>
            <w:tcBorders>
              <w:bottom w:val="single" w:sz="8" w:color="888B8D"/>
            </w:tcBorders>
          </w:tcPr>
          <w:p>
            <w:pPr>
              <w:jc w:val="center"/>
              <w:ind w:left="348"/>
              <w:spacing w:after="0"/>
              <w:rPr>
                <w:sz w:val="20"/>
                <w:szCs w:val="20"/>
                <w:color w:val="auto"/>
              </w:rPr>
            </w:pPr>
            <w:r>
              <w:rPr>
                <w:rFonts w:ascii="Arial" w:cs="Arial" w:eastAsia="Arial" w:hAnsi="Arial"/>
                <w:sz w:val="14"/>
                <w:szCs w:val="14"/>
                <w:color w:val="auto"/>
                <w:w w:val="99"/>
              </w:rPr>
              <w:t>—</w:t>
            </w:r>
          </w:p>
        </w:tc>
        <w:tc>
          <w:tcPr>
            <w:tcW w:w="260" w:type="dxa"/>
            <w:vAlign w:val="bottom"/>
            <w:tcBorders>
              <w:bottom w:val="single" w:sz="8" w:color="888B8D"/>
            </w:tcBorders>
          </w:tcPr>
          <w:p>
            <w:pPr>
              <w:spacing w:after="0"/>
              <w:rPr>
                <w:sz w:val="17"/>
                <w:szCs w:val="17"/>
                <w:color w:val="auto"/>
              </w:rPr>
            </w:pPr>
          </w:p>
        </w:tc>
        <w:tc>
          <w:tcPr>
            <w:tcW w:w="840" w:type="dxa"/>
            <w:vAlign w:val="bottom"/>
            <w:tcBorders>
              <w:bottom w:val="single" w:sz="8" w:color="888B8D"/>
            </w:tcBorders>
          </w:tcPr>
          <w:p>
            <w:pPr>
              <w:jc w:val="center"/>
              <w:ind w:left="468"/>
              <w:spacing w:after="0"/>
              <w:rPr>
                <w:sz w:val="20"/>
                <w:szCs w:val="20"/>
                <w:color w:val="auto"/>
              </w:rPr>
            </w:pPr>
            <w:r>
              <w:rPr>
                <w:rFonts w:ascii="Arial" w:cs="Arial" w:eastAsia="Arial" w:hAnsi="Arial"/>
                <w:sz w:val="14"/>
                <w:szCs w:val="14"/>
                <w:color w:val="auto"/>
                <w:w w:val="99"/>
              </w:rPr>
              <w:t>—</w:t>
            </w:r>
          </w:p>
        </w:tc>
        <w:tc>
          <w:tcPr>
            <w:tcW w:w="360" w:type="dxa"/>
            <w:vAlign w:val="bottom"/>
            <w:tcBorders>
              <w:bottom w:val="single" w:sz="8" w:color="888B8D"/>
            </w:tcBorders>
          </w:tcPr>
          <w:p>
            <w:pPr>
              <w:spacing w:after="0"/>
              <w:rPr>
                <w:sz w:val="17"/>
                <w:szCs w:val="17"/>
                <w:color w:val="auto"/>
              </w:rPr>
            </w:pPr>
          </w:p>
        </w:tc>
        <w:tc>
          <w:tcPr>
            <w:tcW w:w="920" w:type="dxa"/>
            <w:vAlign w:val="bottom"/>
            <w:tcBorders>
              <w:bottom w:val="single" w:sz="8" w:color="888B8D"/>
            </w:tcBorders>
          </w:tcPr>
          <w:p>
            <w:pPr>
              <w:jc w:val="center"/>
              <w:ind w:left="348"/>
              <w:spacing w:after="0"/>
              <w:rPr>
                <w:sz w:val="20"/>
                <w:szCs w:val="20"/>
                <w:color w:val="auto"/>
              </w:rPr>
            </w:pPr>
            <w:r>
              <w:rPr>
                <w:rFonts w:ascii="Arial" w:cs="Arial" w:eastAsia="Arial" w:hAnsi="Arial"/>
                <w:sz w:val="14"/>
                <w:szCs w:val="14"/>
                <w:color w:val="auto"/>
                <w:w w:val="99"/>
              </w:rPr>
              <w:t>—</w:t>
            </w:r>
          </w:p>
        </w:tc>
        <w:tc>
          <w:tcPr>
            <w:tcW w:w="220" w:type="dxa"/>
            <w:vAlign w:val="bottom"/>
            <w:tcBorders>
              <w:bottom w:val="single" w:sz="8" w:color="888B8D"/>
            </w:tcBorders>
          </w:tcPr>
          <w:p>
            <w:pPr>
              <w:spacing w:after="0"/>
              <w:rPr>
                <w:sz w:val="17"/>
                <w:szCs w:val="17"/>
                <w:color w:val="auto"/>
              </w:rPr>
            </w:pPr>
          </w:p>
        </w:tc>
        <w:tc>
          <w:tcPr>
            <w:tcW w:w="13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888B8D"/>
            </w:tcBorders>
          </w:tcPr>
          <w:p>
            <w:pPr>
              <w:spacing w:after="0"/>
              <w:rPr>
                <w:sz w:val="17"/>
                <w:szCs w:val="17"/>
                <w:color w:val="auto"/>
              </w:rPr>
            </w:pPr>
          </w:p>
        </w:tc>
        <w:tc>
          <w:tcPr>
            <w:tcW w:w="1020" w:type="dxa"/>
            <w:vAlign w:val="bottom"/>
            <w:tcBorders>
              <w:bottom w:val="single" w:sz="8" w:color="888B8D"/>
            </w:tcBorders>
          </w:tcPr>
          <w:p>
            <w:pPr>
              <w:jc w:val="right"/>
              <w:ind w:right="148"/>
              <w:spacing w:after="0"/>
              <w:rPr>
                <w:sz w:val="20"/>
                <w:szCs w:val="20"/>
                <w:color w:val="auto"/>
              </w:rPr>
            </w:pPr>
            <w:r>
              <w:rPr>
                <w:rFonts w:ascii="Arial" w:cs="Arial" w:eastAsia="Arial" w:hAnsi="Arial"/>
                <w:sz w:val="14"/>
                <w:szCs w:val="14"/>
                <w:color w:val="auto"/>
              </w:rPr>
              <w:t>(84)</w:t>
            </w:r>
          </w:p>
        </w:tc>
        <w:tc>
          <w:tcPr>
            <w:tcW w:w="160" w:type="dxa"/>
            <w:vAlign w:val="bottom"/>
            <w:tcBorders>
              <w:bottom w:val="single" w:sz="8" w:color="888B8D"/>
            </w:tcBorders>
          </w:tcPr>
          <w:p>
            <w:pPr>
              <w:spacing w:after="0"/>
              <w:rPr>
                <w:sz w:val="17"/>
                <w:szCs w:val="17"/>
                <w:color w:val="auto"/>
              </w:rPr>
            </w:pPr>
          </w:p>
        </w:tc>
        <w:tc>
          <w:tcPr>
            <w:tcW w:w="94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888B8D"/>
            </w:tcBorders>
          </w:tcPr>
          <w:p>
            <w:pPr>
              <w:spacing w:after="0"/>
              <w:rPr>
                <w:sz w:val="17"/>
                <w:szCs w:val="17"/>
                <w:color w:val="auto"/>
              </w:rPr>
            </w:pPr>
          </w:p>
        </w:tc>
        <w:tc>
          <w:tcPr>
            <w:tcW w:w="7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196"/>
        </w:trPr>
        <w:tc>
          <w:tcPr>
            <w:tcW w:w="284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Losses (gains) on cash flow hedges</w:t>
            </w:r>
          </w:p>
        </w:tc>
        <w:tc>
          <w:tcPr>
            <w:tcW w:w="120" w:type="dxa"/>
            <w:vAlign w:val="bottom"/>
            <w:tcBorders>
              <w:bottom w:val="single" w:sz="8" w:color="888B8D"/>
            </w:tcBorders>
          </w:tcPr>
          <w:p>
            <w:pPr>
              <w:spacing w:after="0"/>
              <w:rPr>
                <w:sz w:val="17"/>
                <w:szCs w:val="17"/>
                <w:color w:val="auto"/>
              </w:rPr>
            </w:pPr>
          </w:p>
        </w:tc>
        <w:tc>
          <w:tcPr>
            <w:tcW w:w="920" w:type="dxa"/>
            <w:vAlign w:val="bottom"/>
            <w:tcBorders>
              <w:bottom w:val="single" w:sz="8" w:color="888B8D"/>
            </w:tcBorders>
          </w:tcPr>
          <w:p>
            <w:pPr>
              <w:jc w:val="center"/>
              <w:ind w:left="328"/>
              <w:spacing w:after="0"/>
              <w:rPr>
                <w:sz w:val="20"/>
                <w:szCs w:val="20"/>
                <w:color w:val="auto"/>
              </w:rPr>
            </w:pPr>
            <w:r>
              <w:rPr>
                <w:rFonts w:ascii="Arial" w:cs="Arial" w:eastAsia="Arial" w:hAnsi="Arial"/>
                <w:sz w:val="14"/>
                <w:szCs w:val="14"/>
                <w:color w:val="auto"/>
                <w:w w:val="96"/>
              </w:rPr>
              <w:t>(13)</w:t>
            </w:r>
          </w:p>
        </w:tc>
        <w:tc>
          <w:tcPr>
            <w:tcW w:w="260" w:type="dxa"/>
            <w:vAlign w:val="bottom"/>
            <w:tcBorders>
              <w:bottom w:val="single" w:sz="8" w:color="888B8D"/>
            </w:tcBorders>
          </w:tcPr>
          <w:p>
            <w:pPr>
              <w:spacing w:after="0"/>
              <w:rPr>
                <w:sz w:val="17"/>
                <w:szCs w:val="17"/>
                <w:color w:val="auto"/>
              </w:rPr>
            </w:pPr>
          </w:p>
        </w:tc>
        <w:tc>
          <w:tcPr>
            <w:tcW w:w="840" w:type="dxa"/>
            <w:vAlign w:val="bottom"/>
            <w:tcBorders>
              <w:bottom w:val="single" w:sz="8" w:color="888B8D"/>
            </w:tcBorders>
          </w:tcPr>
          <w:p>
            <w:pPr>
              <w:jc w:val="center"/>
              <w:ind w:left="428"/>
              <w:spacing w:after="0"/>
              <w:rPr>
                <w:sz w:val="20"/>
                <w:szCs w:val="20"/>
                <w:color w:val="auto"/>
              </w:rPr>
            </w:pPr>
            <w:r>
              <w:rPr>
                <w:rFonts w:ascii="Arial" w:cs="Arial" w:eastAsia="Arial" w:hAnsi="Arial"/>
                <w:sz w:val="14"/>
                <w:szCs w:val="14"/>
                <w:color w:val="auto"/>
              </w:rPr>
              <w:t>(48)</w:t>
            </w:r>
          </w:p>
        </w:tc>
        <w:tc>
          <w:tcPr>
            <w:tcW w:w="360" w:type="dxa"/>
            <w:vAlign w:val="bottom"/>
            <w:tcBorders>
              <w:bottom w:val="single" w:sz="8" w:color="888B8D"/>
            </w:tcBorders>
          </w:tcPr>
          <w:p>
            <w:pPr>
              <w:spacing w:after="0"/>
              <w:rPr>
                <w:sz w:val="17"/>
                <w:szCs w:val="17"/>
                <w:color w:val="auto"/>
              </w:rPr>
            </w:pPr>
          </w:p>
        </w:tc>
        <w:tc>
          <w:tcPr>
            <w:tcW w:w="920" w:type="dxa"/>
            <w:vAlign w:val="bottom"/>
            <w:tcBorders>
              <w:bottom w:val="single" w:sz="8" w:color="888B8D"/>
            </w:tcBorders>
          </w:tcPr>
          <w:p>
            <w:pPr>
              <w:jc w:val="center"/>
              <w:ind w:left="308"/>
              <w:spacing w:after="0"/>
              <w:rPr>
                <w:sz w:val="20"/>
                <w:szCs w:val="20"/>
                <w:color w:val="auto"/>
              </w:rPr>
            </w:pPr>
            <w:r>
              <w:rPr>
                <w:rFonts w:ascii="Arial" w:cs="Arial" w:eastAsia="Arial" w:hAnsi="Arial"/>
                <w:sz w:val="14"/>
                <w:szCs w:val="14"/>
                <w:color w:val="auto"/>
              </w:rPr>
              <w:t>(14)</w:t>
            </w:r>
          </w:p>
        </w:tc>
        <w:tc>
          <w:tcPr>
            <w:tcW w:w="220" w:type="dxa"/>
            <w:vAlign w:val="bottom"/>
            <w:tcBorders>
              <w:bottom w:val="single" w:sz="8" w:color="888B8D"/>
            </w:tcBorders>
          </w:tcPr>
          <w:p>
            <w:pPr>
              <w:spacing w:after="0"/>
              <w:rPr>
                <w:sz w:val="17"/>
                <w:szCs w:val="17"/>
                <w:color w:val="auto"/>
              </w:rPr>
            </w:pPr>
          </w:p>
        </w:tc>
        <w:tc>
          <w:tcPr>
            <w:tcW w:w="13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3</w:t>
            </w:r>
          </w:p>
        </w:tc>
        <w:tc>
          <w:tcPr>
            <w:tcW w:w="260" w:type="dxa"/>
            <w:vAlign w:val="bottom"/>
            <w:tcBorders>
              <w:bottom w:val="single" w:sz="8" w:color="888B8D"/>
            </w:tcBorders>
          </w:tcPr>
          <w:p>
            <w:pPr>
              <w:spacing w:after="0"/>
              <w:rPr>
                <w:sz w:val="17"/>
                <w:szCs w:val="17"/>
                <w:color w:val="auto"/>
              </w:rPr>
            </w:pPr>
          </w:p>
        </w:tc>
        <w:tc>
          <w:tcPr>
            <w:tcW w:w="1020" w:type="dxa"/>
            <w:vAlign w:val="bottom"/>
            <w:tcBorders>
              <w:bottom w:val="single" w:sz="8" w:color="888B8D"/>
            </w:tcBorders>
          </w:tcPr>
          <w:p>
            <w:pPr>
              <w:jc w:val="right"/>
              <w:ind w:right="18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888B8D"/>
            </w:tcBorders>
          </w:tcPr>
          <w:p>
            <w:pPr>
              <w:spacing w:after="0"/>
              <w:rPr>
                <w:sz w:val="17"/>
                <w:szCs w:val="17"/>
                <w:color w:val="auto"/>
              </w:rPr>
            </w:pPr>
          </w:p>
        </w:tc>
        <w:tc>
          <w:tcPr>
            <w:tcW w:w="94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888B8D"/>
            </w:tcBorders>
          </w:tcPr>
          <w:p>
            <w:pPr>
              <w:spacing w:after="0"/>
              <w:rPr>
                <w:sz w:val="17"/>
                <w:szCs w:val="17"/>
                <w:color w:val="auto"/>
              </w:rPr>
            </w:pPr>
          </w:p>
        </w:tc>
        <w:tc>
          <w:tcPr>
            <w:tcW w:w="7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146"/>
        </w:trPr>
        <w:tc>
          <w:tcPr>
            <w:tcW w:w="2840" w:type="dxa"/>
            <w:vAlign w:val="bottom"/>
          </w:tcPr>
          <w:p>
            <w:pPr>
              <w:ind w:left="20"/>
              <w:spacing w:after="0" w:line="146" w:lineRule="exact"/>
              <w:rPr>
                <w:sz w:val="20"/>
                <w:szCs w:val="20"/>
                <w:color w:val="auto"/>
              </w:rPr>
            </w:pPr>
            <w:r>
              <w:rPr>
                <w:rFonts w:ascii="Arial" w:cs="Arial" w:eastAsia="Arial" w:hAnsi="Arial"/>
                <w:sz w:val="14"/>
                <w:szCs w:val="14"/>
                <w:color w:val="auto"/>
              </w:rPr>
              <w:t>Losses (gains) on excluded component of</w:t>
            </w:r>
          </w:p>
        </w:tc>
        <w:tc>
          <w:tcPr>
            <w:tcW w:w="120" w:type="dxa"/>
            <w:vAlign w:val="bottom"/>
          </w:tcPr>
          <w:p>
            <w:pPr>
              <w:spacing w:after="0"/>
              <w:rPr>
                <w:sz w:val="12"/>
                <w:szCs w:val="12"/>
                <w:color w:val="auto"/>
              </w:rPr>
            </w:pPr>
          </w:p>
        </w:tc>
        <w:tc>
          <w:tcPr>
            <w:tcW w:w="920" w:type="dxa"/>
            <w:vAlign w:val="bottom"/>
            <w:vMerge w:val="restart"/>
          </w:tcPr>
          <w:p>
            <w:pPr>
              <w:jc w:val="center"/>
              <w:ind w:left="348"/>
              <w:spacing w:after="0"/>
              <w:rPr>
                <w:sz w:val="20"/>
                <w:szCs w:val="20"/>
                <w:color w:val="auto"/>
              </w:rPr>
            </w:pPr>
            <w:r>
              <w:rPr>
                <w:rFonts w:ascii="Arial" w:cs="Arial" w:eastAsia="Arial" w:hAnsi="Arial"/>
                <w:sz w:val="14"/>
                <w:szCs w:val="14"/>
                <w:color w:val="auto"/>
                <w:w w:val="99"/>
              </w:rPr>
              <w:t>—</w:t>
            </w:r>
          </w:p>
        </w:tc>
        <w:tc>
          <w:tcPr>
            <w:tcW w:w="260" w:type="dxa"/>
            <w:vAlign w:val="bottom"/>
          </w:tcPr>
          <w:p>
            <w:pPr>
              <w:spacing w:after="0"/>
              <w:rPr>
                <w:sz w:val="12"/>
                <w:szCs w:val="12"/>
                <w:color w:val="auto"/>
              </w:rPr>
            </w:pPr>
          </w:p>
        </w:tc>
        <w:tc>
          <w:tcPr>
            <w:tcW w:w="840" w:type="dxa"/>
            <w:vAlign w:val="bottom"/>
            <w:vMerge w:val="restart"/>
          </w:tcPr>
          <w:p>
            <w:pPr>
              <w:jc w:val="center"/>
              <w:ind w:left="468"/>
              <w:spacing w:after="0"/>
              <w:rPr>
                <w:sz w:val="20"/>
                <w:szCs w:val="20"/>
                <w:color w:val="auto"/>
              </w:rPr>
            </w:pPr>
            <w:r>
              <w:rPr>
                <w:rFonts w:ascii="Arial" w:cs="Arial" w:eastAsia="Arial" w:hAnsi="Arial"/>
                <w:sz w:val="14"/>
                <w:szCs w:val="14"/>
                <w:color w:val="auto"/>
                <w:w w:val="99"/>
              </w:rPr>
              <w:t>—</w:t>
            </w:r>
          </w:p>
        </w:tc>
        <w:tc>
          <w:tcPr>
            <w:tcW w:w="360" w:type="dxa"/>
            <w:vAlign w:val="bottom"/>
          </w:tcPr>
          <w:p>
            <w:pPr>
              <w:spacing w:after="0"/>
              <w:rPr>
                <w:sz w:val="12"/>
                <w:szCs w:val="12"/>
                <w:color w:val="auto"/>
              </w:rPr>
            </w:pPr>
          </w:p>
        </w:tc>
        <w:tc>
          <w:tcPr>
            <w:tcW w:w="920" w:type="dxa"/>
            <w:vAlign w:val="bottom"/>
            <w:vMerge w:val="restart"/>
          </w:tcPr>
          <w:p>
            <w:pPr>
              <w:jc w:val="center"/>
              <w:ind w:left="348"/>
              <w:spacing w:after="0"/>
              <w:rPr>
                <w:sz w:val="20"/>
                <w:szCs w:val="20"/>
                <w:color w:val="auto"/>
              </w:rPr>
            </w:pPr>
            <w:r>
              <w:rPr>
                <w:rFonts w:ascii="Arial" w:cs="Arial" w:eastAsia="Arial" w:hAnsi="Arial"/>
                <w:sz w:val="14"/>
                <w:szCs w:val="14"/>
                <w:color w:val="auto"/>
                <w:w w:val="99"/>
              </w:rPr>
              <w:t>—</w:t>
            </w:r>
          </w:p>
        </w:tc>
        <w:tc>
          <w:tcPr>
            <w:tcW w:w="220" w:type="dxa"/>
            <w:vAlign w:val="bottom"/>
          </w:tcPr>
          <w:p>
            <w:pPr>
              <w:spacing w:after="0"/>
              <w:rPr>
                <w:sz w:val="12"/>
                <w:szCs w:val="12"/>
                <w:color w:val="auto"/>
              </w:rPr>
            </w:pPr>
          </w:p>
        </w:tc>
        <w:tc>
          <w:tcPr>
            <w:tcW w:w="132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020" w:type="dxa"/>
            <w:vAlign w:val="bottom"/>
            <w:vMerge w:val="restart"/>
          </w:tcPr>
          <w:p>
            <w:pPr>
              <w:jc w:val="right"/>
              <w:ind w:right="18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940" w:type="dxa"/>
            <w:vAlign w:val="bottom"/>
            <w:vMerge w:val="restart"/>
          </w:tcPr>
          <w:p>
            <w:pPr>
              <w:jc w:val="right"/>
              <w:ind w:right="68"/>
              <w:spacing w:after="0"/>
              <w:rPr>
                <w:sz w:val="20"/>
                <w:szCs w:val="20"/>
                <w:color w:val="auto"/>
              </w:rPr>
            </w:pPr>
            <w:r>
              <w:rPr>
                <w:rFonts w:ascii="Arial" w:cs="Arial" w:eastAsia="Arial" w:hAnsi="Arial"/>
                <w:sz w:val="14"/>
                <w:szCs w:val="14"/>
                <w:color w:val="auto"/>
              </w:rPr>
              <w:t>(13)</w:t>
            </w:r>
          </w:p>
        </w:tc>
        <w:tc>
          <w:tcPr>
            <w:tcW w:w="32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89"/>
        </w:trPr>
        <w:tc>
          <w:tcPr>
            <w:tcW w:w="284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net investment hedges</w:t>
            </w:r>
          </w:p>
        </w:tc>
        <w:tc>
          <w:tcPr>
            <w:tcW w:w="120" w:type="dxa"/>
            <w:vAlign w:val="bottom"/>
            <w:tcBorders>
              <w:bottom w:val="single" w:sz="8" w:color="D7282F"/>
            </w:tcBorders>
          </w:tcPr>
          <w:p>
            <w:pPr>
              <w:spacing w:after="0"/>
              <w:rPr>
                <w:sz w:val="16"/>
                <w:szCs w:val="16"/>
                <w:color w:val="auto"/>
              </w:rPr>
            </w:pPr>
          </w:p>
        </w:tc>
        <w:tc>
          <w:tcPr>
            <w:tcW w:w="920" w:type="dxa"/>
            <w:vAlign w:val="bottom"/>
            <w:tcBorders>
              <w:bottom w:val="single" w:sz="8" w:color="D7282F"/>
            </w:tcBorders>
            <w:vMerge w:val="continue"/>
          </w:tcPr>
          <w:p>
            <w:pPr>
              <w:spacing w:after="0"/>
              <w:rPr>
                <w:sz w:val="16"/>
                <w:szCs w:val="16"/>
                <w:color w:val="auto"/>
              </w:rPr>
            </w:pPr>
          </w:p>
        </w:tc>
        <w:tc>
          <w:tcPr>
            <w:tcW w:w="260" w:type="dxa"/>
            <w:vAlign w:val="bottom"/>
            <w:tcBorders>
              <w:bottom w:val="single" w:sz="8" w:color="D7282F"/>
            </w:tcBorders>
          </w:tcPr>
          <w:p>
            <w:pPr>
              <w:spacing w:after="0"/>
              <w:rPr>
                <w:sz w:val="16"/>
                <w:szCs w:val="16"/>
                <w:color w:val="auto"/>
              </w:rPr>
            </w:pPr>
          </w:p>
        </w:tc>
        <w:tc>
          <w:tcPr>
            <w:tcW w:w="840" w:type="dxa"/>
            <w:vAlign w:val="bottom"/>
            <w:tcBorders>
              <w:bottom w:val="single" w:sz="8" w:color="D7282F"/>
            </w:tcBorders>
            <w:vMerge w:val="continue"/>
          </w:tcPr>
          <w:p>
            <w:pPr>
              <w:spacing w:after="0"/>
              <w:rPr>
                <w:sz w:val="16"/>
                <w:szCs w:val="16"/>
                <w:color w:val="auto"/>
              </w:rPr>
            </w:pPr>
          </w:p>
        </w:tc>
        <w:tc>
          <w:tcPr>
            <w:tcW w:w="360" w:type="dxa"/>
            <w:vAlign w:val="bottom"/>
            <w:tcBorders>
              <w:bottom w:val="single" w:sz="8" w:color="D7282F"/>
            </w:tcBorders>
          </w:tcPr>
          <w:p>
            <w:pPr>
              <w:spacing w:after="0"/>
              <w:rPr>
                <w:sz w:val="16"/>
                <w:szCs w:val="16"/>
                <w:color w:val="auto"/>
              </w:rPr>
            </w:pPr>
          </w:p>
        </w:tc>
        <w:tc>
          <w:tcPr>
            <w:tcW w:w="920" w:type="dxa"/>
            <w:vAlign w:val="bottom"/>
            <w:tcBorders>
              <w:bottom w:val="single" w:sz="8" w:color="D7282F"/>
            </w:tcBorders>
            <w:vMerge w:val="continue"/>
          </w:tcPr>
          <w:p>
            <w:pPr>
              <w:spacing w:after="0"/>
              <w:rPr>
                <w:sz w:val="16"/>
                <w:szCs w:val="16"/>
                <w:color w:val="auto"/>
              </w:rPr>
            </w:pPr>
          </w:p>
        </w:tc>
        <w:tc>
          <w:tcPr>
            <w:tcW w:w="220" w:type="dxa"/>
            <w:vAlign w:val="bottom"/>
            <w:tcBorders>
              <w:bottom w:val="single" w:sz="8" w:color="D7282F"/>
            </w:tcBorders>
          </w:tcPr>
          <w:p>
            <w:pPr>
              <w:spacing w:after="0"/>
              <w:rPr>
                <w:sz w:val="16"/>
                <w:szCs w:val="16"/>
                <w:color w:val="auto"/>
              </w:rPr>
            </w:pPr>
          </w:p>
        </w:tc>
        <w:tc>
          <w:tcPr>
            <w:tcW w:w="1320" w:type="dxa"/>
            <w:vAlign w:val="bottom"/>
            <w:tcBorders>
              <w:bottom w:val="single" w:sz="8" w:color="D7282F"/>
            </w:tcBorders>
            <w:vMerge w:val="continue"/>
          </w:tcPr>
          <w:p>
            <w:pPr>
              <w:spacing w:after="0"/>
              <w:rPr>
                <w:sz w:val="16"/>
                <w:szCs w:val="16"/>
                <w:color w:val="auto"/>
              </w:rPr>
            </w:pPr>
          </w:p>
        </w:tc>
        <w:tc>
          <w:tcPr>
            <w:tcW w:w="260" w:type="dxa"/>
            <w:vAlign w:val="bottom"/>
            <w:tcBorders>
              <w:bottom w:val="single" w:sz="8" w:color="D7282F"/>
            </w:tcBorders>
          </w:tcPr>
          <w:p>
            <w:pPr>
              <w:spacing w:after="0"/>
              <w:rPr>
                <w:sz w:val="16"/>
                <w:szCs w:val="16"/>
                <w:color w:val="auto"/>
              </w:rPr>
            </w:pPr>
          </w:p>
        </w:tc>
        <w:tc>
          <w:tcPr>
            <w:tcW w:w="1020" w:type="dxa"/>
            <w:vAlign w:val="bottom"/>
            <w:tcBorders>
              <w:bottom w:val="single" w:sz="8" w:color="D7282F"/>
            </w:tcBorders>
            <w:vMerge w:val="continue"/>
          </w:tcPr>
          <w:p>
            <w:pPr>
              <w:spacing w:after="0"/>
              <w:rPr>
                <w:sz w:val="16"/>
                <w:szCs w:val="16"/>
                <w:color w:val="auto"/>
              </w:rPr>
            </w:pPr>
          </w:p>
        </w:tc>
        <w:tc>
          <w:tcPr>
            <w:tcW w:w="160" w:type="dxa"/>
            <w:vAlign w:val="bottom"/>
            <w:tcBorders>
              <w:bottom w:val="single" w:sz="8" w:color="D7282F"/>
            </w:tcBorders>
          </w:tcPr>
          <w:p>
            <w:pPr>
              <w:spacing w:after="0"/>
              <w:rPr>
                <w:sz w:val="16"/>
                <w:szCs w:val="16"/>
                <w:color w:val="auto"/>
              </w:rPr>
            </w:pPr>
          </w:p>
        </w:tc>
        <w:tc>
          <w:tcPr>
            <w:tcW w:w="940" w:type="dxa"/>
            <w:vAlign w:val="bottom"/>
            <w:tcBorders>
              <w:bottom w:val="single" w:sz="8" w:color="D7282F"/>
            </w:tcBorders>
            <w:vMerge w:val="continue"/>
          </w:tcPr>
          <w:p>
            <w:pPr>
              <w:spacing w:after="0"/>
              <w:rPr>
                <w:sz w:val="16"/>
                <w:szCs w:val="16"/>
                <w:color w:val="auto"/>
              </w:rPr>
            </w:pPr>
          </w:p>
        </w:tc>
        <w:tc>
          <w:tcPr>
            <w:tcW w:w="320" w:type="dxa"/>
            <w:vAlign w:val="bottom"/>
            <w:tcBorders>
              <w:bottom w:val="single" w:sz="8" w:color="D7282F"/>
            </w:tcBorders>
          </w:tcPr>
          <w:p>
            <w:pPr>
              <w:spacing w:after="0"/>
              <w:rPr>
                <w:sz w:val="16"/>
                <w:szCs w:val="16"/>
                <w:color w:val="auto"/>
              </w:rPr>
            </w:pPr>
          </w:p>
        </w:tc>
        <w:tc>
          <w:tcPr>
            <w:tcW w:w="740" w:type="dxa"/>
            <w:vAlign w:val="bottom"/>
            <w:tcBorders>
              <w:bottom w:val="single" w:sz="8" w:color="D7282F"/>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84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before tax</w:t>
            </w:r>
          </w:p>
        </w:tc>
        <w:tc>
          <w:tcPr>
            <w:tcW w:w="1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D7282F"/>
            </w:tcBorders>
          </w:tcPr>
          <w:p>
            <w:pPr>
              <w:jc w:val="center"/>
              <w:ind w:left="328"/>
              <w:spacing w:after="0"/>
              <w:rPr>
                <w:sz w:val="20"/>
                <w:szCs w:val="20"/>
                <w:color w:val="auto"/>
              </w:rPr>
            </w:pPr>
            <w:r>
              <w:rPr>
                <w:rFonts w:ascii="Arial" w:cs="Arial" w:eastAsia="Arial" w:hAnsi="Arial"/>
                <w:sz w:val="14"/>
                <w:szCs w:val="14"/>
                <w:b w:val="1"/>
                <w:bCs w:val="1"/>
                <w:color w:val="auto"/>
                <w:w w:val="96"/>
              </w:rPr>
              <w:t>(13)</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D7282F"/>
            </w:tcBorders>
          </w:tcPr>
          <w:p>
            <w:pPr>
              <w:jc w:val="center"/>
              <w:ind w:left="428"/>
              <w:spacing w:after="0"/>
              <w:rPr>
                <w:sz w:val="20"/>
                <w:szCs w:val="20"/>
                <w:color w:val="auto"/>
              </w:rPr>
            </w:pPr>
            <w:r>
              <w:rPr>
                <w:rFonts w:ascii="Arial" w:cs="Arial" w:eastAsia="Arial" w:hAnsi="Arial"/>
                <w:sz w:val="14"/>
                <w:szCs w:val="14"/>
                <w:b w:val="1"/>
                <w:bCs w:val="1"/>
                <w:color w:val="auto"/>
              </w:rPr>
              <w:t>(48)</w:t>
            </w:r>
          </w:p>
        </w:tc>
        <w:tc>
          <w:tcPr>
            <w:tcW w:w="3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D7282F"/>
            </w:tcBorders>
          </w:tcPr>
          <w:p>
            <w:pPr>
              <w:jc w:val="center"/>
              <w:ind w:left="308"/>
              <w:spacing w:after="0"/>
              <w:rPr>
                <w:sz w:val="20"/>
                <w:szCs w:val="20"/>
                <w:color w:val="auto"/>
              </w:rPr>
            </w:pPr>
            <w:r>
              <w:rPr>
                <w:rFonts w:ascii="Arial" w:cs="Arial" w:eastAsia="Arial" w:hAnsi="Arial"/>
                <w:sz w:val="14"/>
                <w:szCs w:val="14"/>
                <w:b w:val="1"/>
                <w:bCs w:val="1"/>
                <w:color w:val="auto"/>
              </w:rPr>
              <w:t>(14)</w:t>
            </w: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3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3</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D7282F"/>
            </w:tcBorders>
          </w:tcPr>
          <w:p>
            <w:pPr>
              <w:jc w:val="right"/>
              <w:ind w:right="188"/>
              <w:spacing w:after="0"/>
              <w:rPr>
                <w:sz w:val="20"/>
                <w:szCs w:val="20"/>
                <w:color w:val="auto"/>
              </w:rPr>
            </w:pPr>
            <w:r>
              <w:rPr>
                <w:rFonts w:ascii="Arial" w:cs="Arial" w:eastAsia="Arial" w:hAnsi="Arial"/>
                <w:sz w:val="14"/>
                <w:szCs w:val="14"/>
                <w:b w:val="1"/>
                <w:bCs w:val="1"/>
                <w:color w:val="auto"/>
              </w:rPr>
              <w:t>432</w:t>
            </w: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(13)</w:t>
            </w:r>
          </w:p>
        </w:tc>
        <w:tc>
          <w:tcPr>
            <w:tcW w:w="32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347</w:t>
            </w:r>
          </w:p>
        </w:tc>
        <w:tc>
          <w:tcPr>
            <w:tcW w:w="0" w:type="dxa"/>
            <w:vAlign w:val="bottom"/>
          </w:tcPr>
          <w:p>
            <w:pPr>
              <w:spacing w:after="0"/>
              <w:rPr>
                <w:sz w:val="1"/>
                <w:szCs w:val="1"/>
                <w:color w:val="auto"/>
              </w:rPr>
            </w:pPr>
          </w:p>
        </w:tc>
      </w:tr>
      <w:tr>
        <w:trPr>
          <w:trHeight w:val="196"/>
        </w:trPr>
        <w:tc>
          <w:tcPr>
            <w:tcW w:w="284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Tax expense (benefit)</w:t>
            </w:r>
          </w:p>
        </w:tc>
        <w:tc>
          <w:tcPr>
            <w:tcW w:w="120" w:type="dxa"/>
            <w:vAlign w:val="bottom"/>
            <w:tcBorders>
              <w:bottom w:val="single" w:sz="8" w:color="D7282F"/>
            </w:tcBorders>
          </w:tcPr>
          <w:p>
            <w:pPr>
              <w:spacing w:after="0"/>
              <w:rPr>
                <w:sz w:val="17"/>
                <w:szCs w:val="17"/>
                <w:color w:val="auto"/>
              </w:rPr>
            </w:pPr>
          </w:p>
        </w:tc>
        <w:tc>
          <w:tcPr>
            <w:tcW w:w="920" w:type="dxa"/>
            <w:vAlign w:val="bottom"/>
            <w:tcBorders>
              <w:bottom w:val="single" w:sz="8" w:color="D7282F"/>
            </w:tcBorders>
          </w:tcPr>
          <w:p>
            <w:pPr>
              <w:spacing w:after="0"/>
              <w:rPr>
                <w:sz w:val="17"/>
                <w:szCs w:val="17"/>
                <w:color w:val="auto"/>
              </w:rPr>
            </w:pPr>
          </w:p>
        </w:tc>
        <w:tc>
          <w:tcPr>
            <w:tcW w:w="260" w:type="dxa"/>
            <w:vAlign w:val="bottom"/>
            <w:tcBorders>
              <w:bottom w:val="single" w:sz="8" w:color="D7282F"/>
            </w:tcBorders>
          </w:tcPr>
          <w:p>
            <w:pPr>
              <w:spacing w:after="0"/>
              <w:rPr>
                <w:sz w:val="17"/>
                <w:szCs w:val="17"/>
                <w:color w:val="auto"/>
              </w:rPr>
            </w:pPr>
          </w:p>
        </w:tc>
        <w:tc>
          <w:tcPr>
            <w:tcW w:w="840" w:type="dxa"/>
            <w:vAlign w:val="bottom"/>
            <w:tcBorders>
              <w:bottom w:val="single" w:sz="8" w:color="D7282F"/>
            </w:tcBorders>
          </w:tcPr>
          <w:p>
            <w:pPr>
              <w:spacing w:after="0"/>
              <w:rPr>
                <w:sz w:val="17"/>
                <w:szCs w:val="17"/>
                <w:color w:val="auto"/>
              </w:rPr>
            </w:pPr>
          </w:p>
        </w:tc>
        <w:tc>
          <w:tcPr>
            <w:tcW w:w="360" w:type="dxa"/>
            <w:vAlign w:val="bottom"/>
            <w:tcBorders>
              <w:bottom w:val="single" w:sz="8" w:color="D7282F"/>
            </w:tcBorders>
          </w:tcPr>
          <w:p>
            <w:pPr>
              <w:spacing w:after="0"/>
              <w:rPr>
                <w:sz w:val="17"/>
                <w:szCs w:val="17"/>
                <w:color w:val="auto"/>
              </w:rPr>
            </w:pPr>
          </w:p>
        </w:tc>
        <w:tc>
          <w:tcPr>
            <w:tcW w:w="920" w:type="dxa"/>
            <w:vAlign w:val="bottom"/>
            <w:tcBorders>
              <w:bottom w:val="single" w:sz="8" w:color="D7282F"/>
            </w:tcBorders>
          </w:tcPr>
          <w:p>
            <w:pPr>
              <w:spacing w:after="0"/>
              <w:rPr>
                <w:sz w:val="17"/>
                <w:szCs w:val="17"/>
                <w:color w:val="auto"/>
              </w:rPr>
            </w:pPr>
          </w:p>
        </w:tc>
        <w:tc>
          <w:tcPr>
            <w:tcW w:w="220" w:type="dxa"/>
            <w:vAlign w:val="bottom"/>
            <w:tcBorders>
              <w:bottom w:val="single" w:sz="8" w:color="D7282F"/>
            </w:tcBorders>
          </w:tcPr>
          <w:p>
            <w:pPr>
              <w:spacing w:after="0"/>
              <w:rPr>
                <w:sz w:val="17"/>
                <w:szCs w:val="17"/>
                <w:color w:val="auto"/>
              </w:rPr>
            </w:pPr>
          </w:p>
        </w:tc>
        <w:tc>
          <w:tcPr>
            <w:tcW w:w="1320" w:type="dxa"/>
            <w:vAlign w:val="bottom"/>
            <w:tcBorders>
              <w:bottom w:val="single" w:sz="8" w:color="D7282F"/>
            </w:tcBorders>
          </w:tcPr>
          <w:p>
            <w:pPr>
              <w:spacing w:after="0"/>
              <w:rPr>
                <w:sz w:val="17"/>
                <w:szCs w:val="17"/>
                <w:color w:val="auto"/>
              </w:rPr>
            </w:pPr>
          </w:p>
        </w:tc>
        <w:tc>
          <w:tcPr>
            <w:tcW w:w="260" w:type="dxa"/>
            <w:vAlign w:val="bottom"/>
            <w:tcBorders>
              <w:bottom w:val="single" w:sz="8" w:color="D7282F"/>
            </w:tcBorders>
          </w:tcPr>
          <w:p>
            <w:pPr>
              <w:spacing w:after="0"/>
              <w:rPr>
                <w:sz w:val="17"/>
                <w:szCs w:val="17"/>
                <w:color w:val="auto"/>
              </w:rPr>
            </w:pPr>
          </w:p>
        </w:tc>
        <w:tc>
          <w:tcPr>
            <w:tcW w:w="1020" w:type="dxa"/>
            <w:vAlign w:val="bottom"/>
            <w:tcBorders>
              <w:bottom w:val="single" w:sz="8" w:color="D7282F"/>
            </w:tcBorders>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tcPr>
          <w:p>
            <w:pPr>
              <w:spacing w:after="0"/>
              <w:rPr>
                <w:sz w:val="17"/>
                <w:szCs w:val="17"/>
                <w:color w:val="auto"/>
              </w:rPr>
            </w:pPr>
          </w:p>
        </w:tc>
        <w:tc>
          <w:tcPr>
            <w:tcW w:w="32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(23)</w:t>
            </w:r>
          </w:p>
        </w:tc>
        <w:tc>
          <w:tcPr>
            <w:tcW w:w="0" w:type="dxa"/>
            <w:vAlign w:val="bottom"/>
          </w:tcPr>
          <w:p>
            <w:pPr>
              <w:spacing w:after="0"/>
              <w:rPr>
                <w:sz w:val="1"/>
                <w:szCs w:val="1"/>
                <w:color w:val="auto"/>
              </w:rPr>
            </w:pPr>
          </w:p>
        </w:tc>
      </w:tr>
      <w:tr>
        <w:trPr>
          <w:trHeight w:val="196"/>
        </w:trPr>
        <w:tc>
          <w:tcPr>
            <w:tcW w:w="3880" w:type="dxa"/>
            <w:vAlign w:val="bottom"/>
            <w:tcBorders>
              <w:bottom w:val="single" w:sz="8" w:color="D7282F"/>
            </w:tcBorders>
            <w:gridSpan w:val="3"/>
          </w:tcPr>
          <w:p>
            <w:pPr>
              <w:ind w:left="240"/>
              <w:spacing w:after="0"/>
              <w:rPr>
                <w:sz w:val="20"/>
                <w:szCs w:val="20"/>
                <w:color w:val="auto"/>
              </w:rPr>
            </w:pPr>
            <w:r>
              <w:rPr>
                <w:rFonts w:ascii="Arial" w:cs="Arial" w:eastAsia="Arial" w:hAnsi="Arial"/>
                <w:sz w:val="14"/>
                <w:szCs w:val="14"/>
                <w:b w:val="1"/>
                <w:bCs w:val="1"/>
                <w:color w:val="auto"/>
              </w:rPr>
              <w:t>Total reclassifications for the period, net of tax</w:t>
            </w:r>
          </w:p>
        </w:tc>
        <w:tc>
          <w:tcPr>
            <w:tcW w:w="260" w:type="dxa"/>
            <w:vAlign w:val="bottom"/>
            <w:tcBorders>
              <w:bottom w:val="single" w:sz="8" w:color="D7282F"/>
            </w:tcBorders>
          </w:tcPr>
          <w:p>
            <w:pPr>
              <w:spacing w:after="0"/>
              <w:rPr>
                <w:sz w:val="17"/>
                <w:szCs w:val="17"/>
                <w:color w:val="auto"/>
              </w:rPr>
            </w:pPr>
          </w:p>
        </w:tc>
        <w:tc>
          <w:tcPr>
            <w:tcW w:w="840" w:type="dxa"/>
            <w:vAlign w:val="bottom"/>
            <w:tcBorders>
              <w:bottom w:val="single" w:sz="8" w:color="D7282F"/>
            </w:tcBorders>
          </w:tcPr>
          <w:p>
            <w:pPr>
              <w:spacing w:after="0"/>
              <w:rPr>
                <w:sz w:val="17"/>
                <w:szCs w:val="17"/>
                <w:color w:val="auto"/>
              </w:rPr>
            </w:pPr>
          </w:p>
        </w:tc>
        <w:tc>
          <w:tcPr>
            <w:tcW w:w="360" w:type="dxa"/>
            <w:vAlign w:val="bottom"/>
            <w:tcBorders>
              <w:bottom w:val="single" w:sz="8" w:color="D7282F"/>
            </w:tcBorders>
          </w:tcPr>
          <w:p>
            <w:pPr>
              <w:spacing w:after="0"/>
              <w:rPr>
                <w:sz w:val="17"/>
                <w:szCs w:val="17"/>
                <w:color w:val="auto"/>
              </w:rPr>
            </w:pPr>
          </w:p>
        </w:tc>
        <w:tc>
          <w:tcPr>
            <w:tcW w:w="920" w:type="dxa"/>
            <w:vAlign w:val="bottom"/>
            <w:tcBorders>
              <w:bottom w:val="single" w:sz="8" w:color="D7282F"/>
            </w:tcBorders>
          </w:tcPr>
          <w:p>
            <w:pPr>
              <w:spacing w:after="0"/>
              <w:rPr>
                <w:sz w:val="17"/>
                <w:szCs w:val="17"/>
                <w:color w:val="auto"/>
              </w:rPr>
            </w:pPr>
          </w:p>
        </w:tc>
        <w:tc>
          <w:tcPr>
            <w:tcW w:w="220" w:type="dxa"/>
            <w:vAlign w:val="bottom"/>
            <w:tcBorders>
              <w:bottom w:val="single" w:sz="8" w:color="D7282F"/>
            </w:tcBorders>
          </w:tcPr>
          <w:p>
            <w:pPr>
              <w:spacing w:after="0"/>
              <w:rPr>
                <w:sz w:val="17"/>
                <w:szCs w:val="17"/>
                <w:color w:val="auto"/>
              </w:rPr>
            </w:pPr>
          </w:p>
        </w:tc>
        <w:tc>
          <w:tcPr>
            <w:tcW w:w="1320" w:type="dxa"/>
            <w:vAlign w:val="bottom"/>
            <w:tcBorders>
              <w:bottom w:val="single" w:sz="8" w:color="D7282F"/>
            </w:tcBorders>
          </w:tcPr>
          <w:p>
            <w:pPr>
              <w:spacing w:after="0"/>
              <w:rPr>
                <w:sz w:val="17"/>
                <w:szCs w:val="17"/>
                <w:color w:val="auto"/>
              </w:rPr>
            </w:pPr>
          </w:p>
        </w:tc>
        <w:tc>
          <w:tcPr>
            <w:tcW w:w="260" w:type="dxa"/>
            <w:vAlign w:val="bottom"/>
            <w:tcBorders>
              <w:bottom w:val="single" w:sz="8" w:color="D7282F"/>
            </w:tcBorders>
          </w:tcPr>
          <w:p>
            <w:pPr>
              <w:spacing w:after="0"/>
              <w:rPr>
                <w:sz w:val="17"/>
                <w:szCs w:val="17"/>
                <w:color w:val="auto"/>
              </w:rPr>
            </w:pPr>
          </w:p>
        </w:tc>
        <w:tc>
          <w:tcPr>
            <w:tcW w:w="1020" w:type="dxa"/>
            <w:vAlign w:val="bottom"/>
            <w:tcBorders>
              <w:bottom w:val="single" w:sz="8" w:color="D7282F"/>
            </w:tcBorders>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tcPr>
          <w:p>
            <w:pPr>
              <w:spacing w:after="0"/>
              <w:rPr>
                <w:sz w:val="17"/>
                <w:szCs w:val="17"/>
                <w:color w:val="auto"/>
              </w:rPr>
            </w:pPr>
          </w:p>
        </w:tc>
        <w:tc>
          <w:tcPr>
            <w:tcW w:w="32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324</w:t>
            </w:r>
          </w:p>
        </w:tc>
        <w:tc>
          <w:tcPr>
            <w:tcW w:w="0" w:type="dxa"/>
            <w:vAlign w:val="bottom"/>
          </w:tcPr>
          <w:p>
            <w:pPr>
              <w:spacing w:after="0"/>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29"/>
          <w:szCs w:val="29"/>
          <w:color w:val="D7282F"/>
        </w:rPr>
        <w:t>NOTE 18. CAPITAL STOCK</w:t>
      </w:r>
    </w:p>
    <w:p>
      <w:pPr>
        <w:spacing w:after="0" w:line="23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Company is authorized to issue up to 2.0 billion shares of common stock, with a par value of $1 per share. Common shareowners are entitled to receive such dividends as may be declared by the Board, are entitled to one vote per share, and are entitled, in the event of liquidation, to share ratably in all the assets of the Company which are available for distribution to the common shareowners. Common shareowners do not have preemptive or conversion rights. Shares of common stock issued and outstanding or held in treasury are not liable to further calls or assessments. There are no restrictions on the Company relative to dividends or the repurchase or redemption of common stock.</w:t>
      </w:r>
    </w:p>
    <w:p>
      <w:pPr>
        <w:spacing w:after="0" w:line="64"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On April 24, 2023, the Board authorized the repurchase of up to a total of $10.0 billion of Honeywell common stock. Approximately $5.5 billion remained available as of December 31, 2024, for additional share repurchases.</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Total following table summarizes the Company's repurchases of common stock:</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620" w:type="dxa"/>
            <w:vAlign w:val="bottom"/>
          </w:tcPr>
          <w:p>
            <w:pPr>
              <w:spacing w:after="0"/>
              <w:rPr>
                <w:sz w:val="17"/>
                <w:szCs w:val="17"/>
                <w:color w:val="auto"/>
              </w:rPr>
            </w:pPr>
          </w:p>
        </w:tc>
        <w:tc>
          <w:tcPr>
            <w:tcW w:w="1580" w:type="dxa"/>
            <w:vAlign w:val="bottom"/>
            <w:tcBorders>
              <w:bottom w:val="single" w:sz="8" w:color="D7282F"/>
            </w:tcBorders>
          </w:tcPr>
          <w:p>
            <w:pPr>
              <w:spacing w:after="0"/>
              <w:rPr>
                <w:sz w:val="17"/>
                <w:szCs w:val="17"/>
                <w:color w:val="auto"/>
              </w:rPr>
            </w:pPr>
          </w:p>
        </w:tc>
        <w:tc>
          <w:tcPr>
            <w:tcW w:w="960" w:type="dxa"/>
            <w:vAlign w:val="bottom"/>
            <w:tcBorders>
              <w:bottom w:val="single" w:sz="8" w:color="D7282F"/>
            </w:tcBorders>
          </w:tcPr>
          <w:p>
            <w:pPr>
              <w:spacing w:after="0"/>
              <w:rPr>
                <w:sz w:val="17"/>
                <w:szCs w:val="17"/>
                <w:color w:val="auto"/>
              </w:rPr>
            </w:pPr>
          </w:p>
        </w:tc>
        <w:tc>
          <w:tcPr>
            <w:tcW w:w="2620" w:type="dxa"/>
            <w:vAlign w:val="bottom"/>
            <w:tcBorders>
              <w:bottom w:val="single" w:sz="8" w:color="D7282F"/>
            </w:tcBorders>
            <w:gridSpan w:val="2"/>
          </w:tcPr>
          <w:p>
            <w:pPr>
              <w:ind w:left="360"/>
              <w:spacing w:after="0"/>
              <w:rPr>
                <w:sz w:val="20"/>
                <w:szCs w:val="20"/>
                <w:color w:val="auto"/>
              </w:rPr>
            </w:pPr>
            <w:r>
              <w:rPr>
                <w:rFonts w:ascii="Arial" w:cs="Arial" w:eastAsia="Arial" w:hAnsi="Arial"/>
                <w:sz w:val="14"/>
                <w:szCs w:val="14"/>
                <w:b w:val="1"/>
                <w:bCs w:val="1"/>
                <w:color w:val="auto"/>
              </w:rPr>
              <w:t>Years Ended December 31,</w:t>
            </w:r>
          </w:p>
        </w:tc>
        <w:tc>
          <w:tcPr>
            <w:tcW w:w="166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620" w:type="dxa"/>
            <w:vAlign w:val="bottom"/>
          </w:tcPr>
          <w:p>
            <w:pPr>
              <w:spacing w:after="0"/>
              <w:rPr>
                <w:sz w:val="20"/>
                <w:szCs w:val="20"/>
                <w:color w:val="auto"/>
              </w:rPr>
            </w:pPr>
          </w:p>
        </w:tc>
        <w:tc>
          <w:tcPr>
            <w:tcW w:w="158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2024</w:t>
            </w:r>
          </w:p>
        </w:tc>
        <w:tc>
          <w:tcPr>
            <w:tcW w:w="960" w:type="dxa"/>
            <w:vAlign w:val="bottom"/>
            <w:tcBorders>
              <w:bottom w:val="single" w:sz="8" w:color="D7282F"/>
            </w:tcBorders>
          </w:tcPr>
          <w:p>
            <w:pPr>
              <w:spacing w:after="0"/>
              <w:rPr>
                <w:sz w:val="20"/>
                <w:szCs w:val="20"/>
                <w:color w:val="auto"/>
              </w:rPr>
            </w:pPr>
          </w:p>
        </w:tc>
        <w:tc>
          <w:tcPr>
            <w:tcW w:w="166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2023</w:t>
            </w:r>
          </w:p>
        </w:tc>
        <w:tc>
          <w:tcPr>
            <w:tcW w:w="960" w:type="dxa"/>
            <w:vAlign w:val="bottom"/>
            <w:tcBorders>
              <w:bottom w:val="single" w:sz="8" w:color="D7282F"/>
            </w:tcBorders>
          </w:tcPr>
          <w:p>
            <w:pPr>
              <w:spacing w:after="0"/>
              <w:rPr>
                <w:sz w:val="20"/>
                <w:szCs w:val="20"/>
                <w:color w:val="auto"/>
              </w:rPr>
            </w:pPr>
          </w:p>
        </w:tc>
        <w:tc>
          <w:tcPr>
            <w:tcW w:w="166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2022</w:t>
            </w:r>
          </w:p>
        </w:tc>
        <w:tc>
          <w:tcPr>
            <w:tcW w:w="800" w:type="dxa"/>
            <w:vAlign w:val="bottom"/>
            <w:tcBorders>
              <w:bottom w:val="single" w:sz="8" w:color="D7282F"/>
            </w:tcBorders>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3620" w:type="dxa"/>
            <w:vAlign w:val="bottom"/>
          </w:tcPr>
          <w:p>
            <w:pPr>
              <w:spacing w:after="0"/>
              <w:rPr>
                <w:sz w:val="15"/>
                <w:szCs w:val="15"/>
                <w:color w:val="auto"/>
              </w:rPr>
            </w:pPr>
          </w:p>
        </w:tc>
        <w:tc>
          <w:tcPr>
            <w:tcW w:w="1580" w:type="dxa"/>
            <w:vAlign w:val="bottom"/>
          </w:tcPr>
          <w:p>
            <w:pPr>
              <w:jc w:val="center"/>
              <w:ind w:right="428"/>
              <w:spacing w:after="0"/>
              <w:rPr>
                <w:sz w:val="20"/>
                <w:szCs w:val="20"/>
                <w:color w:val="auto"/>
              </w:rPr>
            </w:pPr>
            <w:r>
              <w:rPr>
                <w:rFonts w:ascii="Arial" w:cs="Arial" w:eastAsia="Arial" w:hAnsi="Arial"/>
                <w:sz w:val="14"/>
                <w:szCs w:val="14"/>
                <w:b w:val="1"/>
                <w:bCs w:val="1"/>
                <w:color w:val="auto"/>
              </w:rPr>
              <w:t>Shares</w:t>
            </w:r>
          </w:p>
        </w:tc>
        <w:tc>
          <w:tcPr>
            <w:tcW w:w="960" w:type="dxa"/>
            <w:vAlign w:val="bottom"/>
            <w:vMerge w:val="restart"/>
          </w:tcPr>
          <w:p>
            <w:pPr>
              <w:jc w:val="right"/>
              <w:ind w:right="588"/>
              <w:spacing w:after="0"/>
              <w:rPr>
                <w:sz w:val="20"/>
                <w:szCs w:val="20"/>
                <w:color w:val="auto"/>
              </w:rPr>
            </w:pPr>
            <w:r>
              <w:rPr>
                <w:rFonts w:ascii="Arial" w:cs="Arial" w:eastAsia="Arial" w:hAnsi="Arial"/>
                <w:sz w:val="14"/>
                <w:szCs w:val="14"/>
                <w:b w:val="1"/>
                <w:bCs w:val="1"/>
                <w:color w:val="auto"/>
              </w:rPr>
              <w:t>$</w:t>
            </w:r>
          </w:p>
        </w:tc>
        <w:tc>
          <w:tcPr>
            <w:tcW w:w="1660" w:type="dxa"/>
            <w:vAlign w:val="bottom"/>
          </w:tcPr>
          <w:p>
            <w:pPr>
              <w:ind w:left="380"/>
              <w:spacing w:after="0"/>
              <w:rPr>
                <w:sz w:val="20"/>
                <w:szCs w:val="20"/>
                <w:color w:val="auto"/>
              </w:rPr>
            </w:pPr>
            <w:r>
              <w:rPr>
                <w:rFonts w:ascii="Arial" w:cs="Arial" w:eastAsia="Arial" w:hAnsi="Arial"/>
                <w:sz w:val="14"/>
                <w:szCs w:val="14"/>
                <w:b w:val="1"/>
                <w:bCs w:val="1"/>
                <w:color w:val="auto"/>
              </w:rPr>
              <w:t>Shares</w:t>
            </w:r>
          </w:p>
        </w:tc>
        <w:tc>
          <w:tcPr>
            <w:tcW w:w="960" w:type="dxa"/>
            <w:vAlign w:val="bottom"/>
            <w:vMerge w:val="restart"/>
          </w:tcPr>
          <w:p>
            <w:pPr>
              <w:jc w:val="right"/>
              <w:ind w:right="588"/>
              <w:spacing w:after="0"/>
              <w:rPr>
                <w:sz w:val="20"/>
                <w:szCs w:val="20"/>
                <w:color w:val="auto"/>
              </w:rPr>
            </w:pPr>
            <w:r>
              <w:rPr>
                <w:rFonts w:ascii="Arial" w:cs="Arial" w:eastAsia="Arial" w:hAnsi="Arial"/>
                <w:sz w:val="14"/>
                <w:szCs w:val="14"/>
                <w:b w:val="1"/>
                <w:bCs w:val="1"/>
                <w:color w:val="auto"/>
              </w:rPr>
              <w:t>$</w:t>
            </w:r>
          </w:p>
        </w:tc>
        <w:tc>
          <w:tcPr>
            <w:tcW w:w="1660" w:type="dxa"/>
            <w:vAlign w:val="bottom"/>
          </w:tcPr>
          <w:p>
            <w:pPr>
              <w:jc w:val="center"/>
              <w:ind w:right="348"/>
              <w:spacing w:after="0"/>
              <w:rPr>
                <w:sz w:val="20"/>
                <w:szCs w:val="20"/>
                <w:color w:val="auto"/>
              </w:rPr>
            </w:pPr>
            <w:r>
              <w:rPr>
                <w:rFonts w:ascii="Arial" w:cs="Arial" w:eastAsia="Arial" w:hAnsi="Arial"/>
                <w:sz w:val="14"/>
                <w:szCs w:val="14"/>
                <w:b w:val="1"/>
                <w:bCs w:val="1"/>
                <w:color w:val="auto"/>
              </w:rPr>
              <w:t>Shares</w:t>
            </w:r>
          </w:p>
        </w:tc>
        <w:tc>
          <w:tcPr>
            <w:tcW w:w="800" w:type="dxa"/>
            <w:vAlign w:val="bottom"/>
            <w:vMerge w:val="restart"/>
          </w:tcPr>
          <w:p>
            <w:pPr>
              <w:jc w:val="right"/>
              <w:ind w:right="42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5"/>
        </w:trPr>
        <w:tc>
          <w:tcPr>
            <w:tcW w:w="3620" w:type="dxa"/>
            <w:vAlign w:val="bottom"/>
            <w:tcBorders>
              <w:bottom w:val="single" w:sz="8" w:color="D7282F"/>
            </w:tcBorders>
          </w:tcPr>
          <w:p>
            <w:pPr>
              <w:spacing w:after="0"/>
              <w:rPr>
                <w:sz w:val="16"/>
                <w:szCs w:val="16"/>
                <w:color w:val="auto"/>
              </w:rPr>
            </w:pPr>
          </w:p>
        </w:tc>
        <w:tc>
          <w:tcPr>
            <w:tcW w:w="1580" w:type="dxa"/>
            <w:vAlign w:val="bottom"/>
            <w:tcBorders>
              <w:bottom w:val="single" w:sz="8" w:color="D7282F"/>
            </w:tcBorders>
          </w:tcPr>
          <w:p>
            <w:pPr>
              <w:jc w:val="center"/>
              <w:ind w:right="428"/>
              <w:spacing w:after="0"/>
              <w:rPr>
                <w:sz w:val="20"/>
                <w:szCs w:val="20"/>
                <w:color w:val="auto"/>
              </w:rPr>
            </w:pPr>
            <w:r>
              <w:rPr>
                <w:rFonts w:ascii="Arial" w:cs="Arial" w:eastAsia="Arial" w:hAnsi="Arial"/>
                <w:sz w:val="14"/>
                <w:szCs w:val="14"/>
                <w:b w:val="1"/>
                <w:bCs w:val="1"/>
                <w:color w:val="auto"/>
              </w:rPr>
              <w:t>(in millions)</w:t>
            </w:r>
          </w:p>
        </w:tc>
        <w:tc>
          <w:tcPr>
            <w:tcW w:w="960" w:type="dxa"/>
            <w:vAlign w:val="bottom"/>
            <w:tcBorders>
              <w:bottom w:val="single" w:sz="8" w:color="D7282F"/>
            </w:tcBorders>
            <w:vMerge w:val="continue"/>
          </w:tcPr>
          <w:p>
            <w:pPr>
              <w:spacing w:after="0"/>
              <w:rPr>
                <w:sz w:val="16"/>
                <w:szCs w:val="16"/>
                <w:color w:val="auto"/>
              </w:rPr>
            </w:pPr>
          </w:p>
        </w:tc>
        <w:tc>
          <w:tcPr>
            <w:tcW w:w="1660" w:type="dxa"/>
            <w:vAlign w:val="bottom"/>
            <w:tcBorders>
              <w:bottom w:val="single" w:sz="8" w:color="D7282F"/>
            </w:tcBorders>
          </w:tcPr>
          <w:p>
            <w:pPr>
              <w:ind w:left="200"/>
              <w:spacing w:after="0"/>
              <w:rPr>
                <w:sz w:val="20"/>
                <w:szCs w:val="20"/>
                <w:color w:val="auto"/>
              </w:rPr>
            </w:pPr>
            <w:r>
              <w:rPr>
                <w:rFonts w:ascii="Arial" w:cs="Arial" w:eastAsia="Arial" w:hAnsi="Arial"/>
                <w:sz w:val="14"/>
                <w:szCs w:val="14"/>
                <w:b w:val="1"/>
                <w:bCs w:val="1"/>
                <w:color w:val="auto"/>
              </w:rPr>
              <w:t>(in millions)</w:t>
            </w:r>
          </w:p>
        </w:tc>
        <w:tc>
          <w:tcPr>
            <w:tcW w:w="960" w:type="dxa"/>
            <w:vAlign w:val="bottom"/>
            <w:tcBorders>
              <w:bottom w:val="single" w:sz="8" w:color="D7282F"/>
            </w:tcBorders>
            <w:vMerge w:val="continue"/>
          </w:tcPr>
          <w:p>
            <w:pPr>
              <w:spacing w:after="0"/>
              <w:rPr>
                <w:sz w:val="16"/>
                <w:szCs w:val="16"/>
                <w:color w:val="auto"/>
              </w:rPr>
            </w:pPr>
          </w:p>
        </w:tc>
        <w:tc>
          <w:tcPr>
            <w:tcW w:w="1660" w:type="dxa"/>
            <w:vAlign w:val="bottom"/>
            <w:tcBorders>
              <w:bottom w:val="single" w:sz="8" w:color="D7282F"/>
            </w:tcBorders>
          </w:tcPr>
          <w:p>
            <w:pPr>
              <w:jc w:val="center"/>
              <w:ind w:right="368"/>
              <w:spacing w:after="0"/>
              <w:rPr>
                <w:sz w:val="20"/>
                <w:szCs w:val="20"/>
                <w:color w:val="auto"/>
              </w:rPr>
            </w:pPr>
            <w:r>
              <w:rPr>
                <w:rFonts w:ascii="Arial" w:cs="Arial" w:eastAsia="Arial" w:hAnsi="Arial"/>
                <w:sz w:val="14"/>
                <w:szCs w:val="14"/>
                <w:b w:val="1"/>
                <w:bCs w:val="1"/>
                <w:color w:val="auto"/>
              </w:rPr>
              <w:t>(in millions)</w:t>
            </w:r>
          </w:p>
        </w:tc>
        <w:tc>
          <w:tcPr>
            <w:tcW w:w="800" w:type="dxa"/>
            <w:vAlign w:val="bottom"/>
            <w:tcBorders>
              <w:bottom w:val="single" w:sz="8" w:color="D7282F"/>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620" w:type="dxa"/>
            <w:vAlign w:val="bottom"/>
            <w:tcBorders>
              <w:bottom w:val="single" w:sz="8" w:color="EE2724"/>
            </w:tcBorders>
          </w:tcPr>
          <w:p>
            <w:pPr>
              <w:ind w:left="20"/>
              <w:spacing w:after="0"/>
              <w:rPr>
                <w:sz w:val="20"/>
                <w:szCs w:val="20"/>
                <w:color w:val="auto"/>
              </w:rPr>
            </w:pPr>
            <w:r>
              <w:rPr>
                <w:rFonts w:ascii="Arial" w:cs="Arial" w:eastAsia="Arial" w:hAnsi="Arial"/>
                <w:sz w:val="14"/>
                <w:szCs w:val="14"/>
                <w:b w:val="1"/>
                <w:bCs w:val="1"/>
                <w:color w:val="auto"/>
              </w:rPr>
              <w:t>Reacquired stock or repurchases of common stock</w:t>
            </w:r>
            <w:r>
              <w:rPr>
                <w:rFonts w:ascii="Arial" w:cs="Arial" w:eastAsia="Arial" w:hAnsi="Arial"/>
                <w:sz w:val="9"/>
                <w:szCs w:val="9"/>
                <w:b w:val="1"/>
                <w:bCs w:val="1"/>
                <w:color w:val="auto"/>
              </w:rPr>
              <w:t>1</w:t>
            </w:r>
          </w:p>
        </w:tc>
        <w:tc>
          <w:tcPr>
            <w:tcW w:w="1580" w:type="dxa"/>
            <w:vAlign w:val="bottom"/>
            <w:tcBorders>
              <w:bottom w:val="single" w:sz="8" w:color="EE2724"/>
            </w:tcBorders>
          </w:tcPr>
          <w:p>
            <w:pPr>
              <w:jc w:val="right"/>
              <w:ind w:right="448"/>
              <w:spacing w:after="0"/>
              <w:rPr>
                <w:sz w:val="20"/>
                <w:szCs w:val="20"/>
                <w:color w:val="auto"/>
              </w:rPr>
            </w:pPr>
            <w:r>
              <w:rPr>
                <w:rFonts w:ascii="Arial" w:cs="Arial" w:eastAsia="Arial" w:hAnsi="Arial"/>
                <w:sz w:val="14"/>
                <w:szCs w:val="14"/>
                <w:color w:val="auto"/>
              </w:rPr>
              <w:t>8.0</w:t>
            </w:r>
          </w:p>
        </w:tc>
        <w:tc>
          <w:tcPr>
            <w:tcW w:w="960" w:type="dxa"/>
            <w:vAlign w:val="bottom"/>
            <w:tcBorders>
              <w:bottom w:val="single" w:sz="8" w:color="EE2724"/>
            </w:tcBorders>
          </w:tcPr>
          <w:p>
            <w:pPr>
              <w:jc w:val="right"/>
              <w:ind w:right="148"/>
              <w:spacing w:after="0"/>
              <w:rPr>
                <w:sz w:val="20"/>
                <w:szCs w:val="20"/>
                <w:color w:val="auto"/>
              </w:rPr>
            </w:pPr>
            <w:r>
              <w:rPr>
                <w:rFonts w:ascii="Arial" w:cs="Arial" w:eastAsia="Arial" w:hAnsi="Arial"/>
                <w:sz w:val="14"/>
                <w:szCs w:val="14"/>
                <w:color w:val="auto"/>
              </w:rPr>
              <w:t>1,672</w:t>
            </w:r>
          </w:p>
        </w:tc>
        <w:tc>
          <w:tcPr>
            <w:tcW w:w="1660" w:type="dxa"/>
            <w:vAlign w:val="bottom"/>
            <w:tcBorders>
              <w:bottom w:val="single" w:sz="8" w:color="EE2724"/>
            </w:tcBorders>
          </w:tcPr>
          <w:p>
            <w:pPr>
              <w:jc w:val="right"/>
              <w:ind w:right="448"/>
              <w:spacing w:after="0"/>
              <w:rPr>
                <w:sz w:val="20"/>
                <w:szCs w:val="20"/>
                <w:color w:val="auto"/>
              </w:rPr>
            </w:pPr>
            <w:r>
              <w:rPr>
                <w:rFonts w:ascii="Arial" w:cs="Arial" w:eastAsia="Arial" w:hAnsi="Arial"/>
                <w:sz w:val="14"/>
                <w:szCs w:val="14"/>
                <w:color w:val="auto"/>
              </w:rPr>
              <w:t>19.2</w:t>
            </w:r>
          </w:p>
        </w:tc>
        <w:tc>
          <w:tcPr>
            <w:tcW w:w="960" w:type="dxa"/>
            <w:vAlign w:val="bottom"/>
            <w:tcBorders>
              <w:bottom w:val="single" w:sz="8" w:color="EE2724"/>
            </w:tcBorders>
          </w:tcPr>
          <w:p>
            <w:pPr>
              <w:jc w:val="right"/>
              <w:ind w:right="148"/>
              <w:spacing w:after="0"/>
              <w:rPr>
                <w:sz w:val="20"/>
                <w:szCs w:val="20"/>
                <w:color w:val="auto"/>
              </w:rPr>
            </w:pPr>
            <w:r>
              <w:rPr>
                <w:rFonts w:ascii="Arial" w:cs="Arial" w:eastAsia="Arial" w:hAnsi="Arial"/>
                <w:sz w:val="14"/>
                <w:szCs w:val="14"/>
                <w:color w:val="auto"/>
              </w:rPr>
              <w:t>3,715</w:t>
            </w:r>
          </w:p>
        </w:tc>
        <w:tc>
          <w:tcPr>
            <w:tcW w:w="1660" w:type="dxa"/>
            <w:vAlign w:val="bottom"/>
            <w:tcBorders>
              <w:bottom w:val="single" w:sz="8" w:color="EE2724"/>
            </w:tcBorders>
          </w:tcPr>
          <w:p>
            <w:pPr>
              <w:jc w:val="right"/>
              <w:ind w:right="448"/>
              <w:spacing w:after="0"/>
              <w:rPr>
                <w:sz w:val="20"/>
                <w:szCs w:val="20"/>
                <w:color w:val="auto"/>
              </w:rPr>
            </w:pPr>
            <w:r>
              <w:rPr>
                <w:rFonts w:ascii="Arial" w:cs="Arial" w:eastAsia="Arial" w:hAnsi="Arial"/>
                <w:sz w:val="14"/>
                <w:szCs w:val="14"/>
                <w:color w:val="auto"/>
              </w:rPr>
              <w:t>21.9</w:t>
            </w:r>
          </w:p>
        </w:tc>
        <w:tc>
          <w:tcPr>
            <w:tcW w:w="800" w:type="dxa"/>
            <w:vAlign w:val="bottom"/>
            <w:tcBorders>
              <w:bottom w:val="single" w:sz="8" w:color="EE2724"/>
            </w:tcBorders>
          </w:tcPr>
          <w:p>
            <w:pPr>
              <w:jc w:val="right"/>
              <w:spacing w:after="0"/>
              <w:rPr>
                <w:sz w:val="20"/>
                <w:szCs w:val="20"/>
                <w:color w:val="auto"/>
              </w:rPr>
            </w:pPr>
            <w:r>
              <w:rPr>
                <w:rFonts w:ascii="Arial" w:cs="Arial" w:eastAsia="Arial" w:hAnsi="Arial"/>
                <w:sz w:val="14"/>
                <w:szCs w:val="14"/>
                <w:color w:val="auto"/>
              </w:rPr>
              <w:t>4,200</w:t>
            </w: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480" w:hanging="344"/>
        <w:spacing w:after="0"/>
        <w:tabs>
          <w:tab w:leader="none" w:pos="480" w:val="left"/>
        </w:tabs>
        <w:numPr>
          <w:ilvl w:val="0"/>
          <w:numId w:val="157"/>
        </w:numPr>
        <w:rPr>
          <w:rFonts w:ascii="Arial" w:cs="Arial" w:eastAsia="Arial" w:hAnsi="Arial"/>
          <w:sz w:val="13"/>
          <w:szCs w:val="13"/>
          <w:color w:val="auto"/>
        </w:rPr>
      </w:pPr>
      <w:r>
        <w:rPr>
          <w:rFonts w:ascii="Arial" w:cs="Arial" w:eastAsia="Arial" w:hAnsi="Arial"/>
          <w:sz w:val="13"/>
          <w:szCs w:val="13"/>
          <w:color w:val="auto"/>
        </w:rPr>
        <w:t>Includes excise tax on net share repurchases.</w:t>
      </w:r>
    </w:p>
    <w:p>
      <w:pPr>
        <w:spacing w:after="0" w:line="200" w:lineRule="exact"/>
        <w:rPr>
          <w:sz w:val="20"/>
          <w:szCs w:val="20"/>
          <w:color w:val="auto"/>
        </w:rPr>
      </w:pPr>
    </w:p>
    <w:p>
      <w:pPr>
        <w:spacing w:after="0" w:line="358" w:lineRule="exact"/>
        <w:rPr>
          <w:sz w:val="20"/>
          <w:szCs w:val="20"/>
          <w:color w:val="auto"/>
        </w:rPr>
      </w:pPr>
    </w:p>
    <w:p>
      <w:pPr>
        <w:ind w:left="400" w:hanging="392"/>
        <w:spacing w:after="0"/>
        <w:tabs>
          <w:tab w:leader="none" w:pos="400" w:val="left"/>
        </w:tabs>
        <w:numPr>
          <w:ilvl w:val="0"/>
          <w:numId w:val="158"/>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96" w:name="page97"/>
    <w:bookmarkEnd w:id="96"/>
    <w:p>
      <w:pPr>
        <w:ind w:left="20"/>
        <w:spacing w:after="0"/>
        <w:tabs>
          <w:tab w:leader="none" w:pos="784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FINANCIAL STATEMENTS AND SUPPLEMENTARY DATA</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29"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The Company is authorized to issue up to 40.0 million shares of preferred stock, without par value, and can determine the number of shares of each series, and the rights, preferences, and limitations of each series. At December 31, 2024, there was no preferred stock outstanding.</w:t>
      </w:r>
    </w:p>
    <w:p>
      <w:pPr>
        <w:spacing w:after="0" w:line="219" w:lineRule="exact"/>
        <w:rPr>
          <w:sz w:val="20"/>
          <w:szCs w:val="20"/>
          <w:color w:val="auto"/>
        </w:rPr>
      </w:pPr>
    </w:p>
    <w:p>
      <w:pPr>
        <w:spacing w:after="0"/>
        <w:rPr>
          <w:sz w:val="20"/>
          <w:szCs w:val="20"/>
          <w:color w:val="auto"/>
        </w:rPr>
      </w:pPr>
      <w:r>
        <w:rPr>
          <w:rFonts w:ascii="Arial" w:cs="Arial" w:eastAsia="Arial" w:hAnsi="Arial"/>
          <w:sz w:val="29"/>
          <w:szCs w:val="29"/>
          <w:color w:val="D7282F"/>
        </w:rPr>
        <w:t>NOTE 19. COMMITMENTS AND CONTINGENCIES</w:t>
      </w:r>
    </w:p>
    <w:p>
      <w:pPr>
        <w:spacing w:after="0" w:line="26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ENVIRONMENTAL MATTERS</w:t>
      </w:r>
    </w:p>
    <w:p>
      <w:pPr>
        <w:spacing w:after="0" w:line="14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Company is subject to various federal, state, local, and foreign government requirements relating to the protection of the environment. The Company believes that, as a general matter, the Company's policies, practices, and procedures are properly designed to prevent unreasonable risk of environmental damage and personal injury and that the handling, manufacture, use, and disposal of hazardous substances are in accordance with environmental and safety laws and regulations. However, mainly because of past operations and operations of predecessor companies, the Company, like other companies engaged in similar businesses, incurred remedial response and voluntary cleanup costs for site contamination and is a party to lawsuits and claims associated with environmental and safety matters, including past production of products containing hazardous substances. Additional lawsuits, claims, and costs involving environmental matters are likely to continue to arise in the future.</w:t>
      </w:r>
    </w:p>
    <w:p>
      <w:pPr>
        <w:spacing w:after="0" w:line="68"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With respect to environmental matters involving site contamination, the Company continually conducts studies, individually or jointly with other potentially responsible parties, to determine the feasibility of various remedial techniques. It is the Company's policy to record appropriate liabilities for environmental matters when remedial efforts or damage claim payments are probable and the costs can be reasonably estimated. Such liabilities are based on the Company's best estimate of the undiscounted future costs required to complete the remedial work. The recorded liabilities are adjusted periodically as remediation efforts progress or as additional technical, regulatory, or legal information becomes available. Given the uncertainties regarding the status of laws, regulations, enforcement policies, the impact of other potentially responsible parties, technology, and information related to individual sites, the Company does not believe it is possible to develop an estimate of the range of reasonably possible environmental loss in excess of the Company's recorded liabilities. The Company expects to fund expenditures for these matters from operating cash flows. The timing of cash expenditures depends on a number of factors, including the timing of remedial investigations and feasibility studies, the timing of litigation and settlements of remediation liability, personal injury and property damage claims, regulatory approval of cleanup projects, remedial techniques to be utilized, and agreements with other parties.</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information concerning the Company's recorded liabilities for environmental costs: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480" w:type="dxa"/>
            <w:vAlign w:val="bottom"/>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2600" w:type="dxa"/>
            <w:vAlign w:val="bottom"/>
            <w:tcBorders>
              <w:bottom w:val="single" w:sz="8" w:color="D7282F"/>
            </w:tcBorders>
            <w:gridSpan w:val="5"/>
          </w:tcPr>
          <w:p>
            <w:pPr>
              <w:jc w:val="right"/>
              <w:ind w:right="388"/>
              <w:spacing w:after="0"/>
              <w:rPr>
                <w:sz w:val="20"/>
                <w:szCs w:val="20"/>
                <w:color w:val="auto"/>
              </w:rPr>
            </w:pPr>
            <w:r>
              <w:rPr>
                <w:rFonts w:ascii="Arial" w:cs="Arial" w:eastAsia="Arial" w:hAnsi="Arial"/>
                <w:sz w:val="14"/>
                <w:szCs w:val="14"/>
                <w:b w:val="1"/>
                <w:bCs w:val="1"/>
                <w:color w:val="auto"/>
              </w:rPr>
              <w:t>Years Ended December 31,</w:t>
            </w:r>
          </w:p>
        </w:tc>
      </w:tr>
      <w:tr>
        <w:trPr>
          <w:trHeight w:val="237"/>
        </w:trPr>
        <w:tc>
          <w:tcPr>
            <w:tcW w:w="8480" w:type="dxa"/>
            <w:vAlign w:val="bottom"/>
            <w:tcBorders>
              <w:bottom w:val="single" w:sz="8" w:color="D7282F"/>
            </w:tcBorders>
          </w:tcPr>
          <w:p>
            <w:pPr>
              <w:spacing w:after="0"/>
              <w:rPr>
                <w:sz w:val="20"/>
                <w:szCs w:val="20"/>
                <w:color w:val="auto"/>
              </w:rPr>
            </w:pPr>
          </w:p>
        </w:tc>
        <w:tc>
          <w:tcPr>
            <w:tcW w:w="160" w:type="dxa"/>
            <w:vAlign w:val="bottom"/>
            <w:tcBorders>
              <w:bottom w:val="single" w:sz="8" w:color="D7282F"/>
            </w:tcBorders>
          </w:tcPr>
          <w:p>
            <w:pPr>
              <w:spacing w:after="0"/>
              <w:rPr>
                <w:sz w:val="20"/>
                <w:szCs w:val="20"/>
                <w:color w:val="auto"/>
              </w:rPr>
            </w:pPr>
          </w:p>
        </w:tc>
        <w:tc>
          <w:tcPr>
            <w:tcW w:w="72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2024</w:t>
            </w:r>
          </w:p>
        </w:tc>
        <w:tc>
          <w:tcPr>
            <w:tcW w:w="280" w:type="dxa"/>
            <w:vAlign w:val="bottom"/>
            <w:tcBorders>
              <w:bottom w:val="single" w:sz="8" w:color="D7282F"/>
            </w:tcBorders>
          </w:tcPr>
          <w:p>
            <w:pPr>
              <w:spacing w:after="0"/>
              <w:rPr>
                <w:sz w:val="20"/>
                <w:szCs w:val="20"/>
                <w:color w:val="auto"/>
              </w:rPr>
            </w:pPr>
          </w:p>
        </w:tc>
        <w:tc>
          <w:tcPr>
            <w:tcW w:w="72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2023</w:t>
            </w:r>
          </w:p>
        </w:tc>
        <w:tc>
          <w:tcPr>
            <w:tcW w:w="280" w:type="dxa"/>
            <w:vAlign w:val="bottom"/>
            <w:tcBorders>
              <w:bottom w:val="single" w:sz="8" w:color="D7282F"/>
            </w:tcBorders>
          </w:tcPr>
          <w:p>
            <w:pPr>
              <w:spacing w:after="0"/>
              <w:rPr>
                <w:sz w:val="20"/>
                <w:szCs w:val="20"/>
                <w:color w:val="auto"/>
              </w:rPr>
            </w:pPr>
          </w:p>
        </w:tc>
        <w:tc>
          <w:tcPr>
            <w:tcW w:w="60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2022</w:t>
            </w:r>
          </w:p>
        </w:tc>
      </w:tr>
      <w:tr>
        <w:trPr>
          <w:trHeight w:val="202"/>
        </w:trPr>
        <w:tc>
          <w:tcPr>
            <w:tcW w:w="84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Beginning of year</w:t>
            </w: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641</w:t>
            </w:r>
          </w:p>
        </w:tc>
        <w:tc>
          <w:tcPr>
            <w:tcW w:w="2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615</w:t>
            </w:r>
          </w:p>
        </w:tc>
        <w:tc>
          <w:tcPr>
            <w:tcW w:w="2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618</w:t>
            </w:r>
          </w:p>
        </w:tc>
      </w:tr>
      <w:tr>
        <w:trPr>
          <w:trHeight w:val="193"/>
        </w:trPr>
        <w:tc>
          <w:tcPr>
            <w:tcW w:w="848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Accruals for environmental matters deemed probable and reasonably estimable</w:t>
            </w:r>
          </w:p>
        </w:tc>
        <w:tc>
          <w:tcPr>
            <w:tcW w:w="160" w:type="dxa"/>
            <w:vAlign w:val="bottom"/>
            <w:tcBorders>
              <w:bottom w:val="single" w:sz="8" w:color="888B8D"/>
            </w:tcBorders>
          </w:tcPr>
          <w:p>
            <w:pPr>
              <w:spacing w:after="0"/>
              <w:rPr>
                <w:sz w:val="16"/>
                <w:szCs w:val="16"/>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261</w:t>
            </w:r>
          </w:p>
        </w:tc>
        <w:tc>
          <w:tcPr>
            <w:tcW w:w="280" w:type="dxa"/>
            <w:vAlign w:val="bottom"/>
            <w:tcBorders>
              <w:bottom w:val="single" w:sz="8" w:color="888B8D"/>
            </w:tcBorders>
          </w:tcPr>
          <w:p>
            <w:pPr>
              <w:spacing w:after="0"/>
              <w:rPr>
                <w:sz w:val="16"/>
                <w:szCs w:val="16"/>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222</w:t>
            </w:r>
          </w:p>
        </w:tc>
        <w:tc>
          <w:tcPr>
            <w:tcW w:w="280" w:type="dxa"/>
            <w:vAlign w:val="bottom"/>
            <w:tcBorders>
              <w:bottom w:val="single" w:sz="8" w:color="888B8D"/>
            </w:tcBorders>
          </w:tcPr>
          <w:p>
            <w:pPr>
              <w:spacing w:after="0"/>
              <w:rPr>
                <w:sz w:val="16"/>
                <w:szCs w:val="16"/>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186</w:t>
            </w:r>
          </w:p>
        </w:tc>
      </w:tr>
      <w:tr>
        <w:trPr>
          <w:trHeight w:val="196"/>
        </w:trPr>
        <w:tc>
          <w:tcPr>
            <w:tcW w:w="848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Environmental liability payments</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(224)</w:t>
            </w:r>
          </w:p>
        </w:tc>
        <w:tc>
          <w:tcPr>
            <w:tcW w:w="28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(196)</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(211)</w:t>
            </w:r>
          </w:p>
        </w:tc>
      </w:tr>
      <w:tr>
        <w:trPr>
          <w:trHeight w:val="196"/>
        </w:trPr>
        <w:tc>
          <w:tcPr>
            <w:tcW w:w="848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Other</w:t>
            </w:r>
          </w:p>
        </w:tc>
        <w:tc>
          <w:tcPr>
            <w:tcW w:w="1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22</w:t>
            </w:r>
          </w:p>
        </w:tc>
      </w:tr>
      <w:tr>
        <w:trPr>
          <w:trHeight w:val="199"/>
        </w:trPr>
        <w:tc>
          <w:tcPr>
            <w:tcW w:w="84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End of year</w:t>
            </w: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678</w:t>
            </w:r>
          </w:p>
        </w:tc>
        <w:tc>
          <w:tcPr>
            <w:tcW w:w="2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641</w:t>
            </w:r>
          </w:p>
        </w:tc>
        <w:tc>
          <w:tcPr>
            <w:tcW w:w="2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615</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Environmental liabilities are included in the following balance sheet accounts: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9480" w:type="dxa"/>
            <w:vAlign w:val="bottom"/>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gridSpan w:val="3"/>
          </w:tcPr>
          <w:p>
            <w:pPr>
              <w:jc w:val="right"/>
              <w:ind w:right="348"/>
              <w:spacing w:after="0"/>
              <w:rPr>
                <w:sz w:val="20"/>
                <w:szCs w:val="20"/>
                <w:color w:val="auto"/>
              </w:rPr>
            </w:pPr>
            <w:r>
              <w:rPr>
                <w:rFonts w:ascii="Arial" w:cs="Arial" w:eastAsia="Arial" w:hAnsi="Arial"/>
                <w:sz w:val="14"/>
                <w:szCs w:val="14"/>
                <w:b w:val="1"/>
                <w:bCs w:val="1"/>
                <w:color w:val="auto"/>
              </w:rPr>
              <w:t>December 31,</w:t>
            </w:r>
          </w:p>
        </w:tc>
      </w:tr>
      <w:tr>
        <w:trPr>
          <w:trHeight w:val="237"/>
        </w:trPr>
        <w:tc>
          <w:tcPr>
            <w:tcW w:w="9480" w:type="dxa"/>
            <w:vAlign w:val="bottom"/>
            <w:tcBorders>
              <w:bottom w:val="single" w:sz="8" w:color="D7282F"/>
            </w:tcBorders>
          </w:tcPr>
          <w:p>
            <w:pPr>
              <w:spacing w:after="0"/>
              <w:rPr>
                <w:sz w:val="20"/>
                <w:szCs w:val="20"/>
                <w:color w:val="auto"/>
              </w:rPr>
            </w:pPr>
          </w:p>
        </w:tc>
        <w:tc>
          <w:tcPr>
            <w:tcW w:w="160" w:type="dxa"/>
            <w:vAlign w:val="bottom"/>
            <w:tcBorders>
              <w:bottom w:val="single" w:sz="8" w:color="D7282F"/>
            </w:tcBorders>
          </w:tcPr>
          <w:p>
            <w:pPr>
              <w:spacing w:after="0"/>
              <w:rPr>
                <w:sz w:val="20"/>
                <w:szCs w:val="20"/>
                <w:color w:val="auto"/>
              </w:rPr>
            </w:pPr>
          </w:p>
        </w:tc>
        <w:tc>
          <w:tcPr>
            <w:tcW w:w="700" w:type="dxa"/>
            <w:vAlign w:val="bottom"/>
            <w:tcBorders>
              <w:bottom w:val="single" w:sz="8" w:color="D7282F"/>
            </w:tcBorders>
          </w:tcPr>
          <w:p>
            <w:pPr>
              <w:jc w:val="right"/>
              <w:ind w:right="248"/>
              <w:spacing w:after="0"/>
              <w:rPr>
                <w:sz w:val="20"/>
                <w:szCs w:val="20"/>
                <w:color w:val="auto"/>
              </w:rPr>
            </w:pPr>
            <w:r>
              <w:rPr>
                <w:rFonts w:ascii="Arial" w:cs="Arial" w:eastAsia="Arial" w:hAnsi="Arial"/>
                <w:sz w:val="14"/>
                <w:szCs w:val="14"/>
                <w:b w:val="1"/>
                <w:bCs w:val="1"/>
                <w:color w:val="auto"/>
              </w:rPr>
              <w:t>2024</w:t>
            </w:r>
          </w:p>
        </w:tc>
        <w:tc>
          <w:tcPr>
            <w:tcW w:w="300" w:type="dxa"/>
            <w:vAlign w:val="bottom"/>
            <w:tcBorders>
              <w:bottom w:val="single" w:sz="8" w:color="D7282F"/>
            </w:tcBorders>
          </w:tcPr>
          <w:p>
            <w:pPr>
              <w:spacing w:after="0"/>
              <w:rPr>
                <w:sz w:val="20"/>
                <w:szCs w:val="20"/>
                <w:color w:val="auto"/>
              </w:rPr>
            </w:pPr>
          </w:p>
        </w:tc>
        <w:tc>
          <w:tcPr>
            <w:tcW w:w="60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2023</w:t>
            </w:r>
          </w:p>
        </w:tc>
      </w:tr>
      <w:tr>
        <w:trPr>
          <w:trHeight w:val="198"/>
        </w:trPr>
        <w:tc>
          <w:tcPr>
            <w:tcW w:w="9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Accrued liabilities</w:t>
            </w:r>
          </w:p>
        </w:tc>
        <w:tc>
          <w:tcPr>
            <w:tcW w:w="16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244</w:t>
            </w:r>
          </w:p>
        </w:tc>
        <w:tc>
          <w:tcPr>
            <w:tcW w:w="3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227</w:t>
            </w:r>
          </w:p>
        </w:tc>
      </w:tr>
      <w:tr>
        <w:trPr>
          <w:trHeight w:val="196"/>
        </w:trPr>
        <w:tc>
          <w:tcPr>
            <w:tcW w:w="94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Other liabilities</w:t>
            </w:r>
          </w:p>
        </w:tc>
        <w:tc>
          <w:tcPr>
            <w:tcW w:w="16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434</w:t>
            </w:r>
          </w:p>
        </w:tc>
        <w:tc>
          <w:tcPr>
            <w:tcW w:w="30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414</w:t>
            </w:r>
          </w:p>
        </w:tc>
      </w:tr>
      <w:tr>
        <w:trPr>
          <w:trHeight w:val="199"/>
        </w:trPr>
        <w:tc>
          <w:tcPr>
            <w:tcW w:w="948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environmental liabilities</w:t>
            </w:r>
          </w:p>
        </w:tc>
        <w:tc>
          <w:tcPr>
            <w:tcW w:w="16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678</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641</w:t>
            </w:r>
          </w:p>
        </w:tc>
      </w:tr>
    </w:tbl>
    <w:p>
      <w:pPr>
        <w:spacing w:after="0" w:line="17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Company does not currently possess sufficient information to reasonably estimate the amounts of environmental liabilities to be recorded upon future completion of studies, litigation, or settlements, and neither the timing nor the amount of the ultimate costs associated with environmental matters can be determined, although they could be material to the Company's consolidated results of operations and operating cash flows in the periods recognized or paid. However, considering the Company's past experience and existing reserves, the Company does not expect that environmental matters will have a material adverse effect on its consolidated financial position.</w:t>
      </w:r>
    </w:p>
    <w:p>
      <w:pPr>
        <w:spacing w:after="0" w:line="200" w:lineRule="exact"/>
        <w:rPr>
          <w:sz w:val="20"/>
          <w:szCs w:val="20"/>
          <w:color w:val="auto"/>
        </w:rPr>
      </w:pPr>
    </w:p>
    <w:p>
      <w:pPr>
        <w:spacing w:after="0" w:line="203" w:lineRule="exact"/>
        <w:rPr>
          <w:sz w:val="20"/>
          <w:szCs w:val="20"/>
          <w:color w:val="auto"/>
        </w:rPr>
      </w:pPr>
    </w:p>
    <w:p>
      <w:pPr>
        <w:ind w:left="400" w:hanging="392"/>
        <w:spacing w:after="0"/>
        <w:tabs>
          <w:tab w:leader="none" w:pos="400" w:val="left"/>
        </w:tabs>
        <w:numPr>
          <w:ilvl w:val="0"/>
          <w:numId w:val="159"/>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97" w:name="page98"/>
    <w:bookmarkEnd w:id="97"/>
    <w:p>
      <w:pPr>
        <w:ind w:left="20"/>
        <w:spacing w:after="0"/>
        <w:tabs>
          <w:tab w:leader="none" w:pos="784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FINANCIAL STATEMENTS AND SUPPLEMENTARY DATA</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2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conjunction with the Resideo spin-off, the Company entered into an indemnification and reimbursement agreement with a Resideo subsidiary, pursuant to which Resideo’s subsidiary has an ongoing obligation to make cash payments to Honeywell in amounts equal to 90% of Honeywell’s annual net spending for environmental matters at certain sites as defined in the agreement. The amount payable to Honeywell in any given year is subject to a cap of $140 million, and the obligation will continue until the earlier of December 31, 2043, or December 31 of the third consecutive year during which the annual payment obligation is less than $25 million.</w:t>
      </w:r>
    </w:p>
    <w:p>
      <w:pPr>
        <w:spacing w:after="0" w:line="6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Reimbursements associated with this agreement are collected from Resideo quarterly and were $140 million in both 2024 and 2023 and offset operating cash outflows incurred by the Company. As the Company incurs costs for environmental matters deemed probable and reasonably estimable related to the sites covered by the indemnification and reimbursement agreement, a corresponding receivable from Resideo for 90% of such costs is also recorded. This receivable amount recorded in 2024 and 2023 was $202 million and $187 million, respectively. As of December 31, 2024, Other current assets and Other assets included $140 million and $583 million, respectively, for the short-term and long-term portion of the receivable amount due from Resideo under the indemnification and reimbursement agreement. As of December 31, 2023, Other current assets and Other assets included $140 million and $521 million, respectively, for the short-term and long-term portion of the receivable amount due from Resideo under the indemnification and reimbursement agreement.</w:t>
      </w:r>
    </w:p>
    <w:p>
      <w:pPr>
        <w:spacing w:after="0" w:line="20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ASBESTOS MATTERS</w:t>
      </w:r>
    </w:p>
    <w:p>
      <w:pPr>
        <w:spacing w:after="0" w:line="141"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Honeywell is named in asbestos-related personal injury claims related to North American Refractories Company (NARCO), which was sold in 1986, and the Bendix Friction Materials (Bendix) business, which was sold in 2014.</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summarize information concerning NARCO and Bendix asbestos-related balances:</w:t>
      </w:r>
    </w:p>
    <w:p>
      <w:pPr>
        <w:spacing w:after="0" w:line="25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ASBESTOS-RELATED LIABILITIES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700" w:type="dxa"/>
            <w:vAlign w:val="bottom"/>
          </w:tcPr>
          <w:p>
            <w:pPr>
              <w:spacing w:after="0"/>
              <w:rPr>
                <w:sz w:val="17"/>
                <w:szCs w:val="17"/>
                <w:color w:val="auto"/>
              </w:rPr>
            </w:pPr>
          </w:p>
        </w:tc>
        <w:tc>
          <w:tcPr>
            <w:tcW w:w="120" w:type="dxa"/>
            <w:vAlign w:val="bottom"/>
            <w:tcBorders>
              <w:bottom w:val="single" w:sz="8" w:color="D7282F"/>
            </w:tcBorders>
          </w:tcPr>
          <w:p>
            <w:pPr>
              <w:spacing w:after="0"/>
              <w:rPr>
                <w:sz w:val="17"/>
                <w:szCs w:val="17"/>
                <w:color w:val="auto"/>
              </w:rPr>
            </w:pPr>
          </w:p>
        </w:tc>
        <w:tc>
          <w:tcPr>
            <w:tcW w:w="2580" w:type="dxa"/>
            <w:vAlign w:val="bottom"/>
            <w:tcBorders>
              <w:bottom w:val="single" w:sz="8" w:color="D7282F"/>
            </w:tcBorders>
            <w:gridSpan w:val="5"/>
          </w:tcPr>
          <w:p>
            <w:pPr>
              <w:jc w:val="right"/>
              <w:ind w:right="228"/>
              <w:spacing w:after="0"/>
              <w:rPr>
                <w:sz w:val="20"/>
                <w:szCs w:val="20"/>
                <w:color w:val="auto"/>
              </w:rPr>
            </w:pPr>
            <w:r>
              <w:rPr>
                <w:rFonts w:ascii="Arial" w:cs="Arial" w:eastAsia="Arial" w:hAnsi="Arial"/>
                <w:sz w:val="14"/>
                <w:szCs w:val="14"/>
                <w:b w:val="1"/>
                <w:bCs w:val="1"/>
                <w:color w:val="auto"/>
              </w:rPr>
              <w:t>Year Ended December 31, 2024</w:t>
            </w:r>
          </w:p>
        </w:tc>
        <w:tc>
          <w:tcPr>
            <w:tcW w:w="200" w:type="dxa"/>
            <w:vAlign w:val="bottom"/>
          </w:tcPr>
          <w:p>
            <w:pPr>
              <w:spacing w:after="0"/>
              <w:rPr>
                <w:sz w:val="17"/>
                <w:szCs w:val="17"/>
                <w:color w:val="auto"/>
              </w:rPr>
            </w:pPr>
          </w:p>
        </w:tc>
        <w:tc>
          <w:tcPr>
            <w:tcW w:w="120" w:type="dxa"/>
            <w:vAlign w:val="bottom"/>
            <w:tcBorders>
              <w:bottom w:val="single" w:sz="8" w:color="D7282F"/>
            </w:tcBorders>
          </w:tcPr>
          <w:p>
            <w:pPr>
              <w:spacing w:after="0"/>
              <w:rPr>
                <w:sz w:val="17"/>
                <w:szCs w:val="17"/>
                <w:color w:val="auto"/>
              </w:rPr>
            </w:pPr>
          </w:p>
        </w:tc>
        <w:tc>
          <w:tcPr>
            <w:tcW w:w="2600" w:type="dxa"/>
            <w:vAlign w:val="bottom"/>
            <w:tcBorders>
              <w:bottom w:val="single" w:sz="8" w:color="D7282F"/>
            </w:tcBorders>
            <w:gridSpan w:val="5"/>
          </w:tcPr>
          <w:p>
            <w:pPr>
              <w:jc w:val="right"/>
              <w:ind w:right="228"/>
              <w:spacing w:after="0"/>
              <w:rPr>
                <w:sz w:val="20"/>
                <w:szCs w:val="20"/>
                <w:color w:val="auto"/>
              </w:rPr>
            </w:pPr>
            <w:r>
              <w:rPr>
                <w:rFonts w:ascii="Arial" w:cs="Arial" w:eastAsia="Arial" w:hAnsi="Arial"/>
                <w:sz w:val="14"/>
                <w:szCs w:val="14"/>
                <w:b w:val="1"/>
                <w:bCs w:val="1"/>
                <w:color w:val="auto"/>
              </w:rPr>
              <w:t>Year Ended December 31, 2023</w:t>
            </w:r>
          </w:p>
        </w:tc>
        <w:tc>
          <w:tcPr>
            <w:tcW w:w="200" w:type="dxa"/>
            <w:vAlign w:val="bottom"/>
          </w:tcPr>
          <w:p>
            <w:pPr>
              <w:spacing w:after="0"/>
              <w:rPr>
                <w:sz w:val="17"/>
                <w:szCs w:val="17"/>
                <w:color w:val="auto"/>
              </w:rPr>
            </w:pPr>
          </w:p>
        </w:tc>
        <w:tc>
          <w:tcPr>
            <w:tcW w:w="120" w:type="dxa"/>
            <w:vAlign w:val="bottom"/>
            <w:tcBorders>
              <w:bottom w:val="single" w:sz="8" w:color="D7282F"/>
            </w:tcBorders>
          </w:tcPr>
          <w:p>
            <w:pPr>
              <w:spacing w:after="0"/>
              <w:rPr>
                <w:sz w:val="17"/>
                <w:szCs w:val="17"/>
                <w:color w:val="auto"/>
              </w:rPr>
            </w:pPr>
          </w:p>
        </w:tc>
        <w:tc>
          <w:tcPr>
            <w:tcW w:w="2600" w:type="dxa"/>
            <w:vAlign w:val="bottom"/>
            <w:tcBorders>
              <w:bottom w:val="single" w:sz="8" w:color="D7282F"/>
            </w:tcBorders>
            <w:gridSpan w:val="5"/>
          </w:tcPr>
          <w:p>
            <w:pPr>
              <w:jc w:val="right"/>
              <w:ind w:right="228"/>
              <w:spacing w:after="0"/>
              <w:rPr>
                <w:sz w:val="20"/>
                <w:szCs w:val="20"/>
                <w:color w:val="auto"/>
              </w:rPr>
            </w:pPr>
            <w:r>
              <w:rPr>
                <w:rFonts w:ascii="Arial" w:cs="Arial" w:eastAsia="Arial" w:hAnsi="Arial"/>
                <w:sz w:val="14"/>
                <w:szCs w:val="14"/>
                <w:b w:val="1"/>
                <w:bCs w:val="1"/>
                <w:color w:val="auto"/>
              </w:rPr>
              <w:t>Year Ended December 31, 2022</w:t>
            </w:r>
          </w:p>
        </w:tc>
        <w:tc>
          <w:tcPr>
            <w:tcW w:w="0" w:type="dxa"/>
            <w:vAlign w:val="bottom"/>
          </w:tcPr>
          <w:p>
            <w:pPr>
              <w:spacing w:after="0"/>
              <w:rPr>
                <w:sz w:val="1"/>
                <w:szCs w:val="1"/>
                <w:color w:val="auto"/>
              </w:rPr>
            </w:pPr>
          </w:p>
        </w:tc>
      </w:tr>
      <w:tr>
        <w:trPr>
          <w:trHeight w:val="223"/>
        </w:trPr>
        <w:tc>
          <w:tcPr>
            <w:tcW w:w="2700" w:type="dxa"/>
            <w:vAlign w:val="bottom"/>
            <w:tcBorders>
              <w:bottom w:val="single" w:sz="8" w:color="D7282F"/>
            </w:tcBorders>
          </w:tcPr>
          <w:p>
            <w:pPr>
              <w:spacing w:after="0"/>
              <w:rPr>
                <w:sz w:val="19"/>
                <w:szCs w:val="19"/>
                <w:color w:val="auto"/>
              </w:rPr>
            </w:pPr>
          </w:p>
        </w:tc>
        <w:tc>
          <w:tcPr>
            <w:tcW w:w="120" w:type="dxa"/>
            <w:vAlign w:val="bottom"/>
            <w:tcBorders>
              <w:bottom w:val="single" w:sz="8" w:color="D7282F"/>
            </w:tcBorders>
          </w:tcPr>
          <w:p>
            <w:pPr>
              <w:spacing w:after="0"/>
              <w:rPr>
                <w:sz w:val="19"/>
                <w:szCs w:val="19"/>
                <w:color w:val="auto"/>
              </w:rPr>
            </w:pPr>
          </w:p>
        </w:tc>
        <w:tc>
          <w:tcPr>
            <w:tcW w:w="74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Bendix</w:t>
            </w:r>
          </w:p>
        </w:tc>
        <w:tc>
          <w:tcPr>
            <w:tcW w:w="220" w:type="dxa"/>
            <w:vAlign w:val="bottom"/>
            <w:tcBorders>
              <w:bottom w:val="single" w:sz="8" w:color="D7282F"/>
            </w:tcBorders>
          </w:tcPr>
          <w:p>
            <w:pPr>
              <w:spacing w:after="0"/>
              <w:rPr>
                <w:sz w:val="19"/>
                <w:szCs w:val="19"/>
                <w:color w:val="auto"/>
              </w:rPr>
            </w:pPr>
          </w:p>
        </w:tc>
        <w:tc>
          <w:tcPr>
            <w:tcW w:w="78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NARCO</w:t>
            </w:r>
          </w:p>
        </w:tc>
        <w:tc>
          <w:tcPr>
            <w:tcW w:w="260" w:type="dxa"/>
            <w:vAlign w:val="bottom"/>
            <w:tcBorders>
              <w:bottom w:val="single" w:sz="8" w:color="D7282F"/>
            </w:tcBorders>
          </w:tcPr>
          <w:p>
            <w:pPr>
              <w:spacing w:after="0"/>
              <w:rPr>
                <w:sz w:val="19"/>
                <w:szCs w:val="19"/>
                <w:color w:val="auto"/>
              </w:rPr>
            </w:pPr>
          </w:p>
        </w:tc>
        <w:tc>
          <w:tcPr>
            <w:tcW w:w="780" w:type="dxa"/>
            <w:vAlign w:val="bottom"/>
            <w:tcBorders>
              <w:bottom w:val="single" w:sz="8" w:color="D7282F"/>
            </w:tcBorders>
            <w:gridSpan w:val="2"/>
          </w:tcPr>
          <w:p>
            <w:pPr>
              <w:ind w:left="60"/>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D7282F"/>
            </w:tcBorders>
          </w:tcPr>
          <w:p>
            <w:pPr>
              <w:spacing w:after="0"/>
              <w:rPr>
                <w:sz w:val="19"/>
                <w:szCs w:val="19"/>
                <w:color w:val="auto"/>
              </w:rPr>
            </w:pPr>
          </w:p>
        </w:tc>
        <w:tc>
          <w:tcPr>
            <w:tcW w:w="74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Bendix</w:t>
            </w:r>
          </w:p>
        </w:tc>
        <w:tc>
          <w:tcPr>
            <w:tcW w:w="240" w:type="dxa"/>
            <w:vAlign w:val="bottom"/>
            <w:tcBorders>
              <w:bottom w:val="single" w:sz="8" w:color="D7282F"/>
            </w:tcBorders>
          </w:tcPr>
          <w:p>
            <w:pPr>
              <w:spacing w:after="0"/>
              <w:rPr>
                <w:sz w:val="19"/>
                <w:szCs w:val="19"/>
                <w:color w:val="auto"/>
              </w:rPr>
            </w:pPr>
          </w:p>
        </w:tc>
        <w:tc>
          <w:tcPr>
            <w:tcW w:w="76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NARCO</w:t>
            </w:r>
          </w:p>
        </w:tc>
        <w:tc>
          <w:tcPr>
            <w:tcW w:w="260" w:type="dxa"/>
            <w:vAlign w:val="bottom"/>
            <w:tcBorders>
              <w:bottom w:val="single" w:sz="8" w:color="D7282F"/>
            </w:tcBorders>
          </w:tcPr>
          <w:p>
            <w:pPr>
              <w:spacing w:after="0"/>
              <w:rPr>
                <w:sz w:val="19"/>
                <w:szCs w:val="19"/>
                <w:color w:val="auto"/>
              </w:rPr>
            </w:pPr>
          </w:p>
        </w:tc>
        <w:tc>
          <w:tcPr>
            <w:tcW w:w="800" w:type="dxa"/>
            <w:vAlign w:val="bottom"/>
            <w:tcBorders>
              <w:bottom w:val="single" w:sz="8" w:color="D7282F"/>
            </w:tcBorders>
            <w:gridSpan w:val="2"/>
          </w:tcPr>
          <w:p>
            <w:pPr>
              <w:ind w:left="60"/>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D7282F"/>
            </w:tcBorders>
          </w:tcPr>
          <w:p>
            <w:pPr>
              <w:spacing w:after="0"/>
              <w:rPr>
                <w:sz w:val="19"/>
                <w:szCs w:val="19"/>
                <w:color w:val="auto"/>
              </w:rPr>
            </w:pPr>
          </w:p>
        </w:tc>
        <w:tc>
          <w:tcPr>
            <w:tcW w:w="760" w:type="dxa"/>
            <w:vAlign w:val="bottom"/>
            <w:tcBorders>
              <w:bottom w:val="single" w:sz="8" w:color="D7282F"/>
            </w:tcBorders>
          </w:tcPr>
          <w:p>
            <w:pPr>
              <w:jc w:val="right"/>
              <w:ind w:right="188"/>
              <w:spacing w:after="0"/>
              <w:rPr>
                <w:sz w:val="20"/>
                <w:szCs w:val="20"/>
                <w:color w:val="auto"/>
              </w:rPr>
            </w:pPr>
            <w:r>
              <w:rPr>
                <w:rFonts w:ascii="Arial" w:cs="Arial" w:eastAsia="Arial" w:hAnsi="Arial"/>
                <w:sz w:val="14"/>
                <w:szCs w:val="14"/>
                <w:b w:val="1"/>
                <w:bCs w:val="1"/>
                <w:color w:val="auto"/>
              </w:rPr>
              <w:t>Bendix</w:t>
            </w:r>
          </w:p>
        </w:tc>
        <w:tc>
          <w:tcPr>
            <w:tcW w:w="220" w:type="dxa"/>
            <w:vAlign w:val="bottom"/>
            <w:tcBorders>
              <w:bottom w:val="single" w:sz="8" w:color="D7282F"/>
            </w:tcBorders>
          </w:tcPr>
          <w:p>
            <w:pPr>
              <w:spacing w:after="0"/>
              <w:rPr>
                <w:sz w:val="19"/>
                <w:szCs w:val="19"/>
                <w:color w:val="auto"/>
              </w:rPr>
            </w:pPr>
          </w:p>
        </w:tc>
        <w:tc>
          <w:tcPr>
            <w:tcW w:w="78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NARCO</w:t>
            </w:r>
          </w:p>
        </w:tc>
        <w:tc>
          <w:tcPr>
            <w:tcW w:w="260" w:type="dxa"/>
            <w:vAlign w:val="bottom"/>
            <w:tcBorders>
              <w:bottom w:val="single" w:sz="8" w:color="D7282F"/>
            </w:tcBorders>
          </w:tcPr>
          <w:p>
            <w:pPr>
              <w:spacing w:after="0"/>
              <w:rPr>
                <w:sz w:val="19"/>
                <w:szCs w:val="19"/>
                <w:color w:val="auto"/>
              </w:rPr>
            </w:pPr>
          </w:p>
        </w:tc>
        <w:tc>
          <w:tcPr>
            <w:tcW w:w="580" w:type="dxa"/>
            <w:vAlign w:val="bottom"/>
            <w:tcBorders>
              <w:bottom w:val="single" w:sz="8" w:color="D7282F"/>
            </w:tcBorders>
          </w:tcPr>
          <w:p>
            <w:pPr>
              <w:jc w:val="right"/>
              <w:ind w:right="1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2"/>
        </w:trPr>
        <w:tc>
          <w:tcPr>
            <w:tcW w:w="27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Beginning of year</w:t>
            </w:r>
          </w:p>
        </w:tc>
        <w:tc>
          <w:tcPr>
            <w:tcW w:w="1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1,644</w:t>
            </w: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1,644</w:t>
            </w:r>
          </w:p>
        </w:tc>
        <w:tc>
          <w:tcPr>
            <w:tcW w:w="200" w:type="dxa"/>
            <w:vAlign w:val="bottom"/>
            <w:tcBorders>
              <w:bottom w:val="single" w:sz="8" w:color="D7282F"/>
            </w:tcBorders>
          </w:tcPr>
          <w:p>
            <w:pPr>
              <w:spacing w:after="0"/>
              <w:rPr>
                <w:sz w:val="17"/>
                <w:szCs w:val="17"/>
                <w:color w:val="auto"/>
              </w:rPr>
            </w:pPr>
          </w:p>
        </w:tc>
        <w:tc>
          <w:tcPr>
            <w:tcW w:w="1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1,291</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1,325</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2,616</w:t>
            </w:r>
          </w:p>
        </w:tc>
        <w:tc>
          <w:tcPr>
            <w:tcW w:w="200" w:type="dxa"/>
            <w:vAlign w:val="bottom"/>
            <w:tcBorders>
              <w:bottom w:val="single" w:sz="8" w:color="D7282F"/>
            </w:tcBorders>
          </w:tcPr>
          <w:p>
            <w:pPr>
              <w:spacing w:after="0"/>
              <w:rPr>
                <w:sz w:val="17"/>
                <w:szCs w:val="17"/>
                <w:color w:val="auto"/>
              </w:rPr>
            </w:pPr>
          </w:p>
        </w:tc>
        <w:tc>
          <w:tcPr>
            <w:tcW w:w="1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1,372</w:t>
            </w: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689</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2,061</w:t>
            </w:r>
          </w:p>
        </w:tc>
        <w:tc>
          <w:tcPr>
            <w:tcW w:w="0" w:type="dxa"/>
            <w:vAlign w:val="bottom"/>
          </w:tcPr>
          <w:p>
            <w:pPr>
              <w:spacing w:after="0"/>
              <w:rPr>
                <w:sz w:val="1"/>
                <w:szCs w:val="1"/>
                <w:color w:val="auto"/>
              </w:rPr>
            </w:pPr>
          </w:p>
        </w:tc>
      </w:tr>
      <w:tr>
        <w:trPr>
          <w:trHeight w:val="193"/>
        </w:trPr>
        <w:tc>
          <w:tcPr>
            <w:tcW w:w="270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Accrual for update to estimated liability</w:t>
            </w:r>
          </w:p>
        </w:tc>
        <w:tc>
          <w:tcPr>
            <w:tcW w:w="120" w:type="dxa"/>
            <w:vAlign w:val="bottom"/>
            <w:tcBorders>
              <w:bottom w:val="single" w:sz="8" w:color="888B8D"/>
            </w:tcBorders>
          </w:tcPr>
          <w:p>
            <w:pPr>
              <w:spacing w:after="0"/>
              <w:rPr>
                <w:sz w:val="16"/>
                <w:szCs w:val="16"/>
                <w:color w:val="auto"/>
              </w:rPr>
            </w:pPr>
          </w:p>
        </w:tc>
        <w:tc>
          <w:tcPr>
            <w:tcW w:w="74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41</w:t>
            </w:r>
          </w:p>
        </w:tc>
        <w:tc>
          <w:tcPr>
            <w:tcW w:w="220" w:type="dxa"/>
            <w:vAlign w:val="bottom"/>
            <w:tcBorders>
              <w:bottom w:val="single" w:sz="8" w:color="888B8D"/>
            </w:tcBorders>
          </w:tcPr>
          <w:p>
            <w:pPr>
              <w:spacing w:after="0"/>
              <w:rPr>
                <w:sz w:val="16"/>
                <w:szCs w:val="16"/>
                <w:color w:val="auto"/>
              </w:rPr>
            </w:pPr>
          </w:p>
        </w:tc>
        <w:tc>
          <w:tcPr>
            <w:tcW w:w="78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1</w:t>
            </w:r>
          </w:p>
        </w:tc>
        <w:tc>
          <w:tcPr>
            <w:tcW w:w="260" w:type="dxa"/>
            <w:vAlign w:val="bottom"/>
            <w:tcBorders>
              <w:bottom w:val="single" w:sz="8" w:color="888B8D"/>
            </w:tcBorders>
          </w:tcPr>
          <w:p>
            <w:pPr>
              <w:spacing w:after="0"/>
              <w:rPr>
                <w:sz w:val="16"/>
                <w:szCs w:val="16"/>
                <w:color w:val="auto"/>
              </w:rPr>
            </w:pPr>
          </w:p>
        </w:tc>
        <w:tc>
          <w:tcPr>
            <w:tcW w:w="580" w:type="dxa"/>
            <w:vAlign w:val="bottom"/>
            <w:tcBorders>
              <w:bottom w:val="single" w:sz="8" w:color="888B8D"/>
            </w:tcBorders>
          </w:tcPr>
          <w:p>
            <w:pPr>
              <w:jc w:val="right"/>
              <w:ind w:right="8"/>
              <w:spacing w:after="0"/>
              <w:rPr>
                <w:sz w:val="20"/>
                <w:szCs w:val="20"/>
                <w:color w:val="auto"/>
              </w:rPr>
            </w:pPr>
            <w:r>
              <w:rPr>
                <w:rFonts w:ascii="Arial" w:cs="Arial" w:eastAsia="Arial" w:hAnsi="Arial"/>
                <w:sz w:val="14"/>
                <w:szCs w:val="14"/>
                <w:color w:val="auto"/>
              </w:rPr>
              <w:t>42</w:t>
            </w:r>
          </w:p>
        </w:tc>
        <w:tc>
          <w:tcPr>
            <w:tcW w:w="200" w:type="dxa"/>
            <w:vAlign w:val="bottom"/>
            <w:tcBorders>
              <w:bottom w:val="single" w:sz="8" w:color="888B8D"/>
            </w:tcBorders>
          </w:tcPr>
          <w:p>
            <w:pPr>
              <w:spacing w:after="0"/>
              <w:rPr>
                <w:sz w:val="16"/>
                <w:szCs w:val="16"/>
                <w:color w:val="auto"/>
              </w:rPr>
            </w:pPr>
          </w:p>
        </w:tc>
        <w:tc>
          <w:tcPr>
            <w:tcW w:w="120" w:type="dxa"/>
            <w:vAlign w:val="bottom"/>
            <w:tcBorders>
              <w:bottom w:val="single" w:sz="8" w:color="888B8D"/>
            </w:tcBorders>
          </w:tcPr>
          <w:p>
            <w:pPr>
              <w:spacing w:after="0"/>
              <w:rPr>
                <w:sz w:val="16"/>
                <w:szCs w:val="16"/>
                <w:color w:val="auto"/>
              </w:rPr>
            </w:pPr>
          </w:p>
        </w:tc>
        <w:tc>
          <w:tcPr>
            <w:tcW w:w="74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43</w:t>
            </w:r>
          </w:p>
        </w:tc>
        <w:tc>
          <w:tcPr>
            <w:tcW w:w="240" w:type="dxa"/>
            <w:vAlign w:val="bottom"/>
            <w:tcBorders>
              <w:bottom w:val="single" w:sz="8" w:color="888B8D"/>
            </w:tcBorders>
          </w:tcPr>
          <w:p>
            <w:pPr>
              <w:spacing w:after="0"/>
              <w:rPr>
                <w:sz w:val="16"/>
                <w:szCs w:val="16"/>
                <w:color w:val="auto"/>
              </w:rPr>
            </w:pPr>
          </w:p>
        </w:tc>
        <w:tc>
          <w:tcPr>
            <w:tcW w:w="76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5</w:t>
            </w:r>
          </w:p>
        </w:tc>
        <w:tc>
          <w:tcPr>
            <w:tcW w:w="260" w:type="dxa"/>
            <w:vAlign w:val="bottom"/>
            <w:tcBorders>
              <w:bottom w:val="single" w:sz="8" w:color="888B8D"/>
            </w:tcBorders>
          </w:tcPr>
          <w:p>
            <w:pPr>
              <w:spacing w:after="0"/>
              <w:rPr>
                <w:sz w:val="16"/>
                <w:szCs w:val="16"/>
                <w:color w:val="auto"/>
              </w:rPr>
            </w:pPr>
          </w:p>
        </w:tc>
        <w:tc>
          <w:tcPr>
            <w:tcW w:w="600" w:type="dxa"/>
            <w:vAlign w:val="bottom"/>
            <w:tcBorders>
              <w:bottom w:val="single" w:sz="8" w:color="888B8D"/>
            </w:tcBorders>
          </w:tcPr>
          <w:p>
            <w:pPr>
              <w:jc w:val="right"/>
              <w:ind w:right="8"/>
              <w:spacing w:after="0"/>
              <w:rPr>
                <w:sz w:val="20"/>
                <w:szCs w:val="20"/>
                <w:color w:val="auto"/>
              </w:rPr>
            </w:pPr>
            <w:r>
              <w:rPr>
                <w:rFonts w:ascii="Arial" w:cs="Arial" w:eastAsia="Arial" w:hAnsi="Arial"/>
                <w:sz w:val="14"/>
                <w:szCs w:val="14"/>
                <w:color w:val="auto"/>
              </w:rPr>
              <w:t>48</w:t>
            </w:r>
          </w:p>
        </w:tc>
        <w:tc>
          <w:tcPr>
            <w:tcW w:w="200" w:type="dxa"/>
            <w:vAlign w:val="bottom"/>
            <w:tcBorders>
              <w:bottom w:val="single" w:sz="8" w:color="888B8D"/>
            </w:tcBorders>
          </w:tcPr>
          <w:p>
            <w:pPr>
              <w:spacing w:after="0"/>
              <w:rPr>
                <w:sz w:val="16"/>
                <w:szCs w:val="16"/>
                <w:color w:val="auto"/>
              </w:rPr>
            </w:pPr>
          </w:p>
        </w:tc>
        <w:tc>
          <w:tcPr>
            <w:tcW w:w="120" w:type="dxa"/>
            <w:vAlign w:val="bottom"/>
            <w:tcBorders>
              <w:bottom w:val="single" w:sz="8" w:color="888B8D"/>
            </w:tcBorders>
          </w:tcPr>
          <w:p>
            <w:pPr>
              <w:spacing w:after="0"/>
              <w:rPr>
                <w:sz w:val="16"/>
                <w:szCs w:val="16"/>
                <w:color w:val="auto"/>
              </w:rPr>
            </w:pPr>
          </w:p>
        </w:tc>
        <w:tc>
          <w:tcPr>
            <w:tcW w:w="76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93</w:t>
            </w:r>
          </w:p>
        </w:tc>
        <w:tc>
          <w:tcPr>
            <w:tcW w:w="220" w:type="dxa"/>
            <w:vAlign w:val="bottom"/>
            <w:tcBorders>
              <w:bottom w:val="single" w:sz="8" w:color="888B8D"/>
            </w:tcBorders>
          </w:tcPr>
          <w:p>
            <w:pPr>
              <w:spacing w:after="0"/>
              <w:rPr>
                <w:sz w:val="16"/>
                <w:szCs w:val="16"/>
                <w:color w:val="auto"/>
              </w:rPr>
            </w:pPr>
          </w:p>
        </w:tc>
        <w:tc>
          <w:tcPr>
            <w:tcW w:w="78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(634)</w:t>
            </w:r>
          </w:p>
        </w:tc>
        <w:tc>
          <w:tcPr>
            <w:tcW w:w="260" w:type="dxa"/>
            <w:vAlign w:val="bottom"/>
            <w:tcBorders>
              <w:bottom w:val="single" w:sz="8" w:color="888B8D"/>
            </w:tcBorders>
          </w:tcPr>
          <w:p>
            <w:pPr>
              <w:spacing w:after="0"/>
              <w:rPr>
                <w:sz w:val="16"/>
                <w:szCs w:val="16"/>
                <w:color w:val="auto"/>
              </w:rPr>
            </w:pPr>
          </w:p>
        </w:tc>
        <w:tc>
          <w:tcPr>
            <w:tcW w:w="58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(541)</w:t>
            </w:r>
          </w:p>
        </w:tc>
        <w:tc>
          <w:tcPr>
            <w:tcW w:w="0" w:type="dxa"/>
            <w:vAlign w:val="bottom"/>
          </w:tcPr>
          <w:p>
            <w:pPr>
              <w:spacing w:after="0"/>
              <w:rPr>
                <w:sz w:val="1"/>
                <w:szCs w:val="1"/>
                <w:color w:val="auto"/>
              </w:rPr>
            </w:pPr>
          </w:p>
        </w:tc>
      </w:tr>
      <w:tr>
        <w:trPr>
          <w:trHeight w:val="150"/>
        </w:trPr>
        <w:tc>
          <w:tcPr>
            <w:tcW w:w="2700" w:type="dxa"/>
            <w:vAlign w:val="bottom"/>
          </w:tcPr>
          <w:p>
            <w:pPr>
              <w:ind w:left="140"/>
              <w:spacing w:after="0" w:line="151" w:lineRule="exact"/>
              <w:rPr>
                <w:sz w:val="20"/>
                <w:szCs w:val="20"/>
                <w:color w:val="auto"/>
              </w:rPr>
            </w:pPr>
            <w:r>
              <w:rPr>
                <w:rFonts w:ascii="Arial" w:cs="Arial" w:eastAsia="Arial" w:hAnsi="Arial"/>
                <w:sz w:val="14"/>
                <w:szCs w:val="14"/>
                <w:color w:val="auto"/>
              </w:rPr>
              <w:t>Change in estimated cost of future</w:t>
            </w:r>
          </w:p>
        </w:tc>
        <w:tc>
          <w:tcPr>
            <w:tcW w:w="120" w:type="dxa"/>
            <w:vAlign w:val="bottom"/>
          </w:tcPr>
          <w:p>
            <w:pPr>
              <w:spacing w:after="0"/>
              <w:rPr>
                <w:sz w:val="13"/>
                <w:szCs w:val="13"/>
                <w:color w:val="auto"/>
              </w:rPr>
            </w:pPr>
          </w:p>
        </w:tc>
        <w:tc>
          <w:tcPr>
            <w:tcW w:w="740" w:type="dxa"/>
            <w:vAlign w:val="bottom"/>
            <w:vMerge w:val="restart"/>
          </w:tcPr>
          <w:p>
            <w:pPr>
              <w:jc w:val="right"/>
              <w:ind w:right="108"/>
              <w:spacing w:after="0"/>
              <w:rPr>
                <w:sz w:val="20"/>
                <w:szCs w:val="20"/>
                <w:color w:val="auto"/>
              </w:rPr>
            </w:pPr>
            <w:r>
              <w:rPr>
                <w:rFonts w:ascii="Arial" w:cs="Arial" w:eastAsia="Arial" w:hAnsi="Arial"/>
                <w:sz w:val="14"/>
                <w:szCs w:val="14"/>
                <w:color w:val="auto"/>
              </w:rPr>
              <w:t>20</w:t>
            </w:r>
          </w:p>
        </w:tc>
        <w:tc>
          <w:tcPr>
            <w:tcW w:w="220" w:type="dxa"/>
            <w:vAlign w:val="bottom"/>
          </w:tcPr>
          <w:p>
            <w:pPr>
              <w:spacing w:after="0"/>
              <w:rPr>
                <w:sz w:val="13"/>
                <w:szCs w:val="13"/>
                <w:color w:val="auto"/>
              </w:rPr>
            </w:pPr>
          </w:p>
        </w:tc>
        <w:tc>
          <w:tcPr>
            <w:tcW w:w="7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580" w:type="dxa"/>
            <w:vAlign w:val="bottom"/>
            <w:vMerge w:val="restart"/>
          </w:tcPr>
          <w:p>
            <w:pPr>
              <w:jc w:val="right"/>
              <w:ind w:right="8"/>
              <w:spacing w:after="0"/>
              <w:rPr>
                <w:sz w:val="20"/>
                <w:szCs w:val="20"/>
                <w:color w:val="auto"/>
              </w:rPr>
            </w:pPr>
            <w:r>
              <w:rPr>
                <w:rFonts w:ascii="Arial" w:cs="Arial" w:eastAsia="Arial" w:hAnsi="Arial"/>
                <w:sz w:val="14"/>
                <w:szCs w:val="14"/>
                <w:color w:val="auto"/>
              </w:rPr>
              <w:t>20</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vMerge w:val="restart"/>
          </w:tcPr>
          <w:p>
            <w:pPr>
              <w:jc w:val="right"/>
              <w:ind w:right="108"/>
              <w:spacing w:after="0"/>
              <w:rPr>
                <w:sz w:val="20"/>
                <w:szCs w:val="20"/>
                <w:color w:val="auto"/>
              </w:rPr>
            </w:pPr>
            <w:r>
              <w:rPr>
                <w:rFonts w:ascii="Arial" w:cs="Arial" w:eastAsia="Arial" w:hAnsi="Arial"/>
                <w:sz w:val="14"/>
                <w:szCs w:val="14"/>
                <w:color w:val="auto"/>
              </w:rPr>
              <w:t>423</w:t>
            </w:r>
          </w:p>
        </w:tc>
        <w:tc>
          <w:tcPr>
            <w:tcW w:w="240" w:type="dxa"/>
            <w:vAlign w:val="bottom"/>
          </w:tcPr>
          <w:p>
            <w:pPr>
              <w:spacing w:after="0"/>
              <w:rPr>
                <w:sz w:val="13"/>
                <w:szCs w:val="13"/>
                <w:color w:val="auto"/>
              </w:rPr>
            </w:pPr>
          </w:p>
        </w:tc>
        <w:tc>
          <w:tcPr>
            <w:tcW w:w="76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600" w:type="dxa"/>
            <w:vAlign w:val="bottom"/>
            <w:vMerge w:val="restart"/>
          </w:tcPr>
          <w:p>
            <w:pPr>
              <w:jc w:val="right"/>
              <w:ind w:right="8"/>
              <w:spacing w:after="0"/>
              <w:rPr>
                <w:sz w:val="20"/>
                <w:szCs w:val="20"/>
                <w:color w:val="auto"/>
              </w:rPr>
            </w:pPr>
            <w:r>
              <w:rPr>
                <w:rFonts w:ascii="Arial" w:cs="Arial" w:eastAsia="Arial" w:hAnsi="Arial"/>
                <w:sz w:val="14"/>
                <w:szCs w:val="14"/>
                <w:color w:val="auto"/>
              </w:rPr>
              <w:t>423</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vMerge w:val="restart"/>
          </w:tcPr>
          <w:p>
            <w:pPr>
              <w:jc w:val="right"/>
              <w:ind w:right="108"/>
              <w:spacing w:after="0"/>
              <w:rPr>
                <w:sz w:val="20"/>
                <w:szCs w:val="20"/>
                <w:color w:val="auto"/>
              </w:rPr>
            </w:pPr>
            <w:r>
              <w:rPr>
                <w:rFonts w:ascii="Arial" w:cs="Arial" w:eastAsia="Arial" w:hAnsi="Arial"/>
                <w:sz w:val="14"/>
                <w:szCs w:val="14"/>
                <w:color w:val="auto"/>
              </w:rPr>
              <w:t>41</w:t>
            </w:r>
          </w:p>
        </w:tc>
        <w:tc>
          <w:tcPr>
            <w:tcW w:w="220" w:type="dxa"/>
            <w:vAlign w:val="bottom"/>
          </w:tcPr>
          <w:p>
            <w:pPr>
              <w:spacing w:after="0"/>
              <w:rPr>
                <w:sz w:val="13"/>
                <w:szCs w:val="13"/>
                <w:color w:val="auto"/>
              </w:rPr>
            </w:pPr>
          </w:p>
        </w:tc>
        <w:tc>
          <w:tcPr>
            <w:tcW w:w="7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85"/>
        </w:trPr>
        <w:tc>
          <w:tcPr>
            <w:tcW w:w="270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claims</w:t>
            </w:r>
          </w:p>
        </w:tc>
        <w:tc>
          <w:tcPr>
            <w:tcW w:w="120" w:type="dxa"/>
            <w:vAlign w:val="bottom"/>
            <w:tcBorders>
              <w:bottom w:val="single" w:sz="8" w:color="888B8D"/>
            </w:tcBorders>
          </w:tcPr>
          <w:p>
            <w:pPr>
              <w:spacing w:after="0"/>
              <w:rPr>
                <w:sz w:val="16"/>
                <w:szCs w:val="16"/>
                <w:color w:val="auto"/>
              </w:rPr>
            </w:pPr>
          </w:p>
        </w:tc>
        <w:tc>
          <w:tcPr>
            <w:tcW w:w="740" w:type="dxa"/>
            <w:vAlign w:val="bottom"/>
            <w:tcBorders>
              <w:bottom w:val="single" w:sz="8" w:color="888B8D"/>
            </w:tcBorders>
            <w:vMerge w:val="continue"/>
          </w:tcPr>
          <w:p>
            <w:pPr>
              <w:spacing w:after="0"/>
              <w:rPr>
                <w:sz w:val="16"/>
                <w:szCs w:val="16"/>
                <w:color w:val="auto"/>
              </w:rPr>
            </w:pPr>
          </w:p>
        </w:tc>
        <w:tc>
          <w:tcPr>
            <w:tcW w:w="220" w:type="dxa"/>
            <w:vAlign w:val="bottom"/>
            <w:tcBorders>
              <w:bottom w:val="single" w:sz="8" w:color="888B8D"/>
            </w:tcBorders>
          </w:tcPr>
          <w:p>
            <w:pPr>
              <w:spacing w:after="0"/>
              <w:rPr>
                <w:sz w:val="16"/>
                <w:szCs w:val="16"/>
                <w:color w:val="auto"/>
              </w:rPr>
            </w:pPr>
          </w:p>
        </w:tc>
        <w:tc>
          <w:tcPr>
            <w:tcW w:w="780" w:type="dxa"/>
            <w:vAlign w:val="bottom"/>
            <w:tcBorders>
              <w:bottom w:val="single" w:sz="8" w:color="888B8D"/>
            </w:tcBorders>
            <w:vMerge w:val="continue"/>
          </w:tcPr>
          <w:p>
            <w:pPr>
              <w:spacing w:after="0"/>
              <w:rPr>
                <w:sz w:val="16"/>
                <w:szCs w:val="16"/>
                <w:color w:val="auto"/>
              </w:rPr>
            </w:pPr>
          </w:p>
        </w:tc>
        <w:tc>
          <w:tcPr>
            <w:tcW w:w="260" w:type="dxa"/>
            <w:vAlign w:val="bottom"/>
            <w:tcBorders>
              <w:bottom w:val="single" w:sz="8" w:color="888B8D"/>
            </w:tcBorders>
          </w:tcPr>
          <w:p>
            <w:pPr>
              <w:spacing w:after="0"/>
              <w:rPr>
                <w:sz w:val="16"/>
                <w:szCs w:val="16"/>
                <w:color w:val="auto"/>
              </w:rPr>
            </w:pPr>
          </w:p>
        </w:tc>
        <w:tc>
          <w:tcPr>
            <w:tcW w:w="580" w:type="dxa"/>
            <w:vAlign w:val="bottom"/>
            <w:tcBorders>
              <w:bottom w:val="single" w:sz="8" w:color="888B8D"/>
            </w:tcBorders>
            <w:vMerge w:val="continue"/>
          </w:tcPr>
          <w:p>
            <w:pPr>
              <w:spacing w:after="0"/>
              <w:rPr>
                <w:sz w:val="16"/>
                <w:szCs w:val="16"/>
                <w:color w:val="auto"/>
              </w:rPr>
            </w:pPr>
          </w:p>
        </w:tc>
        <w:tc>
          <w:tcPr>
            <w:tcW w:w="200" w:type="dxa"/>
            <w:vAlign w:val="bottom"/>
            <w:tcBorders>
              <w:bottom w:val="single" w:sz="8" w:color="888B8D"/>
            </w:tcBorders>
          </w:tcPr>
          <w:p>
            <w:pPr>
              <w:spacing w:after="0"/>
              <w:rPr>
                <w:sz w:val="16"/>
                <w:szCs w:val="16"/>
                <w:color w:val="auto"/>
              </w:rPr>
            </w:pPr>
          </w:p>
        </w:tc>
        <w:tc>
          <w:tcPr>
            <w:tcW w:w="120" w:type="dxa"/>
            <w:vAlign w:val="bottom"/>
            <w:tcBorders>
              <w:bottom w:val="single" w:sz="8" w:color="888B8D"/>
            </w:tcBorders>
          </w:tcPr>
          <w:p>
            <w:pPr>
              <w:spacing w:after="0"/>
              <w:rPr>
                <w:sz w:val="16"/>
                <w:szCs w:val="16"/>
                <w:color w:val="auto"/>
              </w:rPr>
            </w:pPr>
          </w:p>
        </w:tc>
        <w:tc>
          <w:tcPr>
            <w:tcW w:w="740" w:type="dxa"/>
            <w:vAlign w:val="bottom"/>
            <w:tcBorders>
              <w:bottom w:val="single" w:sz="8" w:color="888B8D"/>
            </w:tcBorders>
            <w:vMerge w:val="continue"/>
          </w:tcPr>
          <w:p>
            <w:pPr>
              <w:spacing w:after="0"/>
              <w:rPr>
                <w:sz w:val="16"/>
                <w:szCs w:val="16"/>
                <w:color w:val="auto"/>
              </w:rPr>
            </w:pPr>
          </w:p>
        </w:tc>
        <w:tc>
          <w:tcPr>
            <w:tcW w:w="240" w:type="dxa"/>
            <w:vAlign w:val="bottom"/>
            <w:tcBorders>
              <w:bottom w:val="single" w:sz="8" w:color="888B8D"/>
            </w:tcBorders>
          </w:tcPr>
          <w:p>
            <w:pPr>
              <w:spacing w:after="0"/>
              <w:rPr>
                <w:sz w:val="16"/>
                <w:szCs w:val="16"/>
                <w:color w:val="auto"/>
              </w:rPr>
            </w:pPr>
          </w:p>
        </w:tc>
        <w:tc>
          <w:tcPr>
            <w:tcW w:w="760" w:type="dxa"/>
            <w:vAlign w:val="bottom"/>
            <w:tcBorders>
              <w:bottom w:val="single" w:sz="8" w:color="888B8D"/>
            </w:tcBorders>
            <w:vMerge w:val="continue"/>
          </w:tcPr>
          <w:p>
            <w:pPr>
              <w:spacing w:after="0"/>
              <w:rPr>
                <w:sz w:val="16"/>
                <w:szCs w:val="16"/>
                <w:color w:val="auto"/>
              </w:rPr>
            </w:pPr>
          </w:p>
        </w:tc>
        <w:tc>
          <w:tcPr>
            <w:tcW w:w="260" w:type="dxa"/>
            <w:vAlign w:val="bottom"/>
            <w:tcBorders>
              <w:bottom w:val="single" w:sz="8" w:color="888B8D"/>
            </w:tcBorders>
          </w:tcPr>
          <w:p>
            <w:pPr>
              <w:spacing w:after="0"/>
              <w:rPr>
                <w:sz w:val="16"/>
                <w:szCs w:val="16"/>
                <w:color w:val="auto"/>
              </w:rPr>
            </w:pPr>
          </w:p>
        </w:tc>
        <w:tc>
          <w:tcPr>
            <w:tcW w:w="600" w:type="dxa"/>
            <w:vAlign w:val="bottom"/>
            <w:tcBorders>
              <w:bottom w:val="single" w:sz="8" w:color="888B8D"/>
            </w:tcBorders>
            <w:vMerge w:val="continue"/>
          </w:tcPr>
          <w:p>
            <w:pPr>
              <w:spacing w:after="0"/>
              <w:rPr>
                <w:sz w:val="16"/>
                <w:szCs w:val="16"/>
                <w:color w:val="auto"/>
              </w:rPr>
            </w:pPr>
          </w:p>
        </w:tc>
        <w:tc>
          <w:tcPr>
            <w:tcW w:w="200" w:type="dxa"/>
            <w:vAlign w:val="bottom"/>
            <w:tcBorders>
              <w:bottom w:val="single" w:sz="8" w:color="888B8D"/>
            </w:tcBorders>
          </w:tcPr>
          <w:p>
            <w:pPr>
              <w:spacing w:after="0"/>
              <w:rPr>
                <w:sz w:val="16"/>
                <w:szCs w:val="16"/>
                <w:color w:val="auto"/>
              </w:rPr>
            </w:pPr>
          </w:p>
        </w:tc>
        <w:tc>
          <w:tcPr>
            <w:tcW w:w="120" w:type="dxa"/>
            <w:vAlign w:val="bottom"/>
            <w:tcBorders>
              <w:bottom w:val="single" w:sz="8" w:color="888B8D"/>
            </w:tcBorders>
          </w:tcPr>
          <w:p>
            <w:pPr>
              <w:spacing w:after="0"/>
              <w:rPr>
                <w:sz w:val="16"/>
                <w:szCs w:val="16"/>
                <w:color w:val="auto"/>
              </w:rPr>
            </w:pPr>
          </w:p>
        </w:tc>
        <w:tc>
          <w:tcPr>
            <w:tcW w:w="760" w:type="dxa"/>
            <w:vAlign w:val="bottom"/>
            <w:tcBorders>
              <w:bottom w:val="single" w:sz="8" w:color="888B8D"/>
            </w:tcBorders>
            <w:vMerge w:val="continue"/>
          </w:tcPr>
          <w:p>
            <w:pPr>
              <w:spacing w:after="0"/>
              <w:rPr>
                <w:sz w:val="16"/>
                <w:szCs w:val="16"/>
                <w:color w:val="auto"/>
              </w:rPr>
            </w:pPr>
          </w:p>
        </w:tc>
        <w:tc>
          <w:tcPr>
            <w:tcW w:w="220" w:type="dxa"/>
            <w:vAlign w:val="bottom"/>
            <w:tcBorders>
              <w:bottom w:val="single" w:sz="8" w:color="888B8D"/>
            </w:tcBorders>
          </w:tcPr>
          <w:p>
            <w:pPr>
              <w:spacing w:after="0"/>
              <w:rPr>
                <w:sz w:val="16"/>
                <w:szCs w:val="16"/>
                <w:color w:val="auto"/>
              </w:rPr>
            </w:pPr>
          </w:p>
        </w:tc>
        <w:tc>
          <w:tcPr>
            <w:tcW w:w="780" w:type="dxa"/>
            <w:vAlign w:val="bottom"/>
            <w:tcBorders>
              <w:bottom w:val="single" w:sz="8" w:color="888B8D"/>
            </w:tcBorders>
            <w:vMerge w:val="continue"/>
          </w:tcPr>
          <w:p>
            <w:pPr>
              <w:spacing w:after="0"/>
              <w:rPr>
                <w:sz w:val="16"/>
                <w:szCs w:val="16"/>
                <w:color w:val="auto"/>
              </w:rPr>
            </w:pPr>
          </w:p>
        </w:tc>
        <w:tc>
          <w:tcPr>
            <w:tcW w:w="260" w:type="dxa"/>
            <w:vAlign w:val="bottom"/>
            <w:tcBorders>
              <w:bottom w:val="single" w:sz="8" w:color="888B8D"/>
            </w:tcBorders>
          </w:tcPr>
          <w:p>
            <w:pPr>
              <w:spacing w:after="0"/>
              <w:rPr>
                <w:sz w:val="16"/>
                <w:szCs w:val="16"/>
                <w:color w:val="auto"/>
              </w:rPr>
            </w:pPr>
          </w:p>
        </w:tc>
        <w:tc>
          <w:tcPr>
            <w:tcW w:w="580" w:type="dxa"/>
            <w:vAlign w:val="bottom"/>
            <w:tcBorders>
              <w:bottom w:val="single" w:sz="8" w:color="888B8D"/>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700" w:type="dxa"/>
            <w:vAlign w:val="bottom"/>
          </w:tcPr>
          <w:p>
            <w:pPr>
              <w:ind w:left="140"/>
              <w:spacing w:after="0" w:line="147" w:lineRule="exact"/>
              <w:rPr>
                <w:sz w:val="20"/>
                <w:szCs w:val="20"/>
                <w:color w:val="auto"/>
              </w:rPr>
            </w:pPr>
            <w:r>
              <w:rPr>
                <w:rFonts w:ascii="Arial" w:cs="Arial" w:eastAsia="Arial" w:hAnsi="Arial"/>
                <w:sz w:val="14"/>
                <w:szCs w:val="14"/>
                <w:color w:val="auto"/>
              </w:rPr>
              <w:t>Update of expected resolution values</w:t>
            </w:r>
          </w:p>
        </w:tc>
        <w:tc>
          <w:tcPr>
            <w:tcW w:w="120" w:type="dxa"/>
            <w:vAlign w:val="bottom"/>
          </w:tcPr>
          <w:p>
            <w:pPr>
              <w:spacing w:after="0"/>
              <w:rPr>
                <w:sz w:val="12"/>
                <w:szCs w:val="12"/>
                <w:color w:val="auto"/>
              </w:rPr>
            </w:pPr>
          </w:p>
        </w:tc>
        <w:tc>
          <w:tcPr>
            <w:tcW w:w="74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80" w:type="dxa"/>
            <w:vAlign w:val="bottom"/>
            <w:gridSpan w:val="2"/>
            <w:vMerge w:val="restart"/>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40" w:type="dxa"/>
            <w:vAlign w:val="bottom"/>
            <w:vMerge w:val="restart"/>
          </w:tcPr>
          <w:p>
            <w:pPr>
              <w:jc w:val="right"/>
              <w:ind w:right="108"/>
              <w:spacing w:after="0"/>
              <w:rPr>
                <w:sz w:val="20"/>
                <w:szCs w:val="20"/>
                <w:color w:val="auto"/>
              </w:rPr>
            </w:pPr>
            <w:r>
              <w:rPr>
                <w:rFonts w:ascii="Arial" w:cs="Arial" w:eastAsia="Arial" w:hAnsi="Arial"/>
                <w:sz w:val="14"/>
                <w:szCs w:val="14"/>
                <w:color w:val="auto"/>
              </w:rPr>
              <w:t>56</w:t>
            </w:r>
          </w:p>
        </w:tc>
        <w:tc>
          <w:tcPr>
            <w:tcW w:w="240" w:type="dxa"/>
            <w:vAlign w:val="bottom"/>
          </w:tcPr>
          <w:p>
            <w:pPr>
              <w:spacing w:after="0"/>
              <w:rPr>
                <w:sz w:val="12"/>
                <w:szCs w:val="12"/>
                <w:color w:val="auto"/>
              </w:rPr>
            </w:pPr>
          </w:p>
        </w:tc>
        <w:tc>
          <w:tcPr>
            <w:tcW w:w="76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600" w:type="dxa"/>
            <w:vAlign w:val="bottom"/>
            <w:vMerge w:val="restart"/>
          </w:tcPr>
          <w:p>
            <w:pPr>
              <w:jc w:val="right"/>
              <w:ind w:right="8"/>
              <w:spacing w:after="0"/>
              <w:rPr>
                <w:sz w:val="20"/>
                <w:szCs w:val="20"/>
                <w:color w:val="auto"/>
              </w:rPr>
            </w:pPr>
            <w:r>
              <w:rPr>
                <w:rFonts w:ascii="Arial" w:cs="Arial" w:eastAsia="Arial" w:hAnsi="Arial"/>
                <w:sz w:val="14"/>
                <w:szCs w:val="14"/>
                <w:color w:val="auto"/>
              </w:rPr>
              <w:t>56</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ind w:right="108"/>
              <w:spacing w:after="0"/>
              <w:rPr>
                <w:sz w:val="20"/>
                <w:szCs w:val="20"/>
                <w:color w:val="auto"/>
              </w:rPr>
            </w:pPr>
            <w:r>
              <w:rPr>
                <w:rFonts w:ascii="Arial" w:cs="Arial" w:eastAsia="Arial" w:hAnsi="Arial"/>
                <w:sz w:val="14"/>
                <w:szCs w:val="14"/>
                <w:color w:val="auto"/>
              </w:rPr>
              <w:t>1</w:t>
            </w:r>
          </w:p>
        </w:tc>
        <w:tc>
          <w:tcPr>
            <w:tcW w:w="220" w:type="dxa"/>
            <w:vAlign w:val="bottom"/>
          </w:tcPr>
          <w:p>
            <w:pPr>
              <w:spacing w:after="0"/>
              <w:rPr>
                <w:sz w:val="12"/>
                <w:szCs w:val="12"/>
                <w:color w:val="auto"/>
              </w:rPr>
            </w:pPr>
          </w:p>
        </w:tc>
        <w:tc>
          <w:tcPr>
            <w:tcW w:w="7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5"/>
        </w:trPr>
        <w:tc>
          <w:tcPr>
            <w:tcW w:w="270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for pending claims</w:t>
            </w:r>
          </w:p>
        </w:tc>
        <w:tc>
          <w:tcPr>
            <w:tcW w:w="120" w:type="dxa"/>
            <w:vAlign w:val="bottom"/>
            <w:tcBorders>
              <w:bottom w:val="single" w:sz="8" w:color="888B8D"/>
            </w:tcBorders>
          </w:tcPr>
          <w:p>
            <w:pPr>
              <w:spacing w:after="0"/>
              <w:rPr>
                <w:sz w:val="16"/>
                <w:szCs w:val="16"/>
                <w:color w:val="auto"/>
              </w:rPr>
            </w:pPr>
          </w:p>
        </w:tc>
        <w:tc>
          <w:tcPr>
            <w:tcW w:w="740" w:type="dxa"/>
            <w:vAlign w:val="bottom"/>
            <w:tcBorders>
              <w:bottom w:val="single" w:sz="8" w:color="888B8D"/>
            </w:tcBorders>
            <w:vMerge w:val="continue"/>
          </w:tcPr>
          <w:p>
            <w:pPr>
              <w:spacing w:after="0"/>
              <w:rPr>
                <w:sz w:val="16"/>
                <w:szCs w:val="16"/>
                <w:color w:val="auto"/>
              </w:rPr>
            </w:pPr>
          </w:p>
        </w:tc>
        <w:tc>
          <w:tcPr>
            <w:tcW w:w="220" w:type="dxa"/>
            <w:vAlign w:val="bottom"/>
            <w:tcBorders>
              <w:bottom w:val="single" w:sz="8" w:color="888B8D"/>
            </w:tcBorders>
          </w:tcPr>
          <w:p>
            <w:pPr>
              <w:spacing w:after="0"/>
              <w:rPr>
                <w:sz w:val="16"/>
                <w:szCs w:val="16"/>
                <w:color w:val="auto"/>
              </w:rPr>
            </w:pPr>
          </w:p>
        </w:tc>
        <w:tc>
          <w:tcPr>
            <w:tcW w:w="780" w:type="dxa"/>
            <w:vAlign w:val="bottom"/>
            <w:tcBorders>
              <w:bottom w:val="single" w:sz="8" w:color="888B8D"/>
            </w:tcBorders>
            <w:vMerge w:val="continue"/>
          </w:tcPr>
          <w:p>
            <w:pPr>
              <w:spacing w:after="0"/>
              <w:rPr>
                <w:sz w:val="16"/>
                <w:szCs w:val="16"/>
                <w:color w:val="auto"/>
              </w:rPr>
            </w:pPr>
          </w:p>
        </w:tc>
        <w:tc>
          <w:tcPr>
            <w:tcW w:w="260" w:type="dxa"/>
            <w:vAlign w:val="bottom"/>
            <w:tcBorders>
              <w:bottom w:val="single" w:sz="8" w:color="888B8D"/>
            </w:tcBorders>
          </w:tcPr>
          <w:p>
            <w:pPr>
              <w:spacing w:after="0"/>
              <w:rPr>
                <w:sz w:val="16"/>
                <w:szCs w:val="16"/>
                <w:color w:val="auto"/>
              </w:rPr>
            </w:pPr>
          </w:p>
        </w:tc>
        <w:tc>
          <w:tcPr>
            <w:tcW w:w="780" w:type="dxa"/>
            <w:vAlign w:val="bottom"/>
            <w:tcBorders>
              <w:bottom w:val="single" w:sz="8" w:color="888B8D"/>
            </w:tcBorders>
            <w:gridSpan w:val="2"/>
            <w:vMerge w:val="continue"/>
          </w:tcPr>
          <w:p>
            <w:pPr>
              <w:spacing w:after="0"/>
              <w:rPr>
                <w:sz w:val="16"/>
                <w:szCs w:val="16"/>
                <w:color w:val="auto"/>
              </w:rPr>
            </w:pPr>
          </w:p>
        </w:tc>
        <w:tc>
          <w:tcPr>
            <w:tcW w:w="120" w:type="dxa"/>
            <w:vAlign w:val="bottom"/>
            <w:tcBorders>
              <w:bottom w:val="single" w:sz="8" w:color="888B8D"/>
            </w:tcBorders>
          </w:tcPr>
          <w:p>
            <w:pPr>
              <w:spacing w:after="0"/>
              <w:rPr>
                <w:sz w:val="16"/>
                <w:szCs w:val="16"/>
                <w:color w:val="auto"/>
              </w:rPr>
            </w:pPr>
          </w:p>
        </w:tc>
        <w:tc>
          <w:tcPr>
            <w:tcW w:w="740" w:type="dxa"/>
            <w:vAlign w:val="bottom"/>
            <w:tcBorders>
              <w:bottom w:val="single" w:sz="8" w:color="888B8D"/>
            </w:tcBorders>
            <w:vMerge w:val="continue"/>
          </w:tcPr>
          <w:p>
            <w:pPr>
              <w:spacing w:after="0"/>
              <w:rPr>
                <w:sz w:val="16"/>
                <w:szCs w:val="16"/>
                <w:color w:val="auto"/>
              </w:rPr>
            </w:pPr>
          </w:p>
        </w:tc>
        <w:tc>
          <w:tcPr>
            <w:tcW w:w="240" w:type="dxa"/>
            <w:vAlign w:val="bottom"/>
            <w:tcBorders>
              <w:bottom w:val="single" w:sz="8" w:color="888B8D"/>
            </w:tcBorders>
          </w:tcPr>
          <w:p>
            <w:pPr>
              <w:spacing w:after="0"/>
              <w:rPr>
                <w:sz w:val="16"/>
                <w:szCs w:val="16"/>
                <w:color w:val="auto"/>
              </w:rPr>
            </w:pPr>
          </w:p>
        </w:tc>
        <w:tc>
          <w:tcPr>
            <w:tcW w:w="760" w:type="dxa"/>
            <w:vAlign w:val="bottom"/>
            <w:tcBorders>
              <w:bottom w:val="single" w:sz="8" w:color="888B8D"/>
            </w:tcBorders>
            <w:vMerge w:val="continue"/>
          </w:tcPr>
          <w:p>
            <w:pPr>
              <w:spacing w:after="0"/>
              <w:rPr>
                <w:sz w:val="16"/>
                <w:szCs w:val="16"/>
                <w:color w:val="auto"/>
              </w:rPr>
            </w:pPr>
          </w:p>
        </w:tc>
        <w:tc>
          <w:tcPr>
            <w:tcW w:w="260" w:type="dxa"/>
            <w:vAlign w:val="bottom"/>
            <w:tcBorders>
              <w:bottom w:val="single" w:sz="8" w:color="888B8D"/>
            </w:tcBorders>
          </w:tcPr>
          <w:p>
            <w:pPr>
              <w:spacing w:after="0"/>
              <w:rPr>
                <w:sz w:val="16"/>
                <w:szCs w:val="16"/>
                <w:color w:val="auto"/>
              </w:rPr>
            </w:pPr>
          </w:p>
        </w:tc>
        <w:tc>
          <w:tcPr>
            <w:tcW w:w="600" w:type="dxa"/>
            <w:vAlign w:val="bottom"/>
            <w:tcBorders>
              <w:bottom w:val="single" w:sz="8" w:color="888B8D"/>
            </w:tcBorders>
            <w:vMerge w:val="continue"/>
          </w:tcPr>
          <w:p>
            <w:pPr>
              <w:spacing w:after="0"/>
              <w:rPr>
                <w:sz w:val="16"/>
                <w:szCs w:val="16"/>
                <w:color w:val="auto"/>
              </w:rPr>
            </w:pPr>
          </w:p>
        </w:tc>
        <w:tc>
          <w:tcPr>
            <w:tcW w:w="200" w:type="dxa"/>
            <w:vAlign w:val="bottom"/>
            <w:tcBorders>
              <w:bottom w:val="single" w:sz="8" w:color="888B8D"/>
            </w:tcBorders>
          </w:tcPr>
          <w:p>
            <w:pPr>
              <w:spacing w:after="0"/>
              <w:rPr>
                <w:sz w:val="16"/>
                <w:szCs w:val="16"/>
                <w:color w:val="auto"/>
              </w:rPr>
            </w:pPr>
          </w:p>
        </w:tc>
        <w:tc>
          <w:tcPr>
            <w:tcW w:w="120" w:type="dxa"/>
            <w:vAlign w:val="bottom"/>
            <w:tcBorders>
              <w:bottom w:val="single" w:sz="8" w:color="888B8D"/>
            </w:tcBorders>
          </w:tcPr>
          <w:p>
            <w:pPr>
              <w:spacing w:after="0"/>
              <w:rPr>
                <w:sz w:val="16"/>
                <w:szCs w:val="16"/>
                <w:color w:val="auto"/>
              </w:rPr>
            </w:pPr>
          </w:p>
        </w:tc>
        <w:tc>
          <w:tcPr>
            <w:tcW w:w="760" w:type="dxa"/>
            <w:vAlign w:val="bottom"/>
            <w:tcBorders>
              <w:bottom w:val="single" w:sz="8" w:color="888B8D"/>
            </w:tcBorders>
            <w:vMerge w:val="continue"/>
          </w:tcPr>
          <w:p>
            <w:pPr>
              <w:spacing w:after="0"/>
              <w:rPr>
                <w:sz w:val="16"/>
                <w:szCs w:val="16"/>
                <w:color w:val="auto"/>
              </w:rPr>
            </w:pPr>
          </w:p>
        </w:tc>
        <w:tc>
          <w:tcPr>
            <w:tcW w:w="220" w:type="dxa"/>
            <w:vAlign w:val="bottom"/>
            <w:tcBorders>
              <w:bottom w:val="single" w:sz="8" w:color="888B8D"/>
            </w:tcBorders>
          </w:tcPr>
          <w:p>
            <w:pPr>
              <w:spacing w:after="0"/>
              <w:rPr>
                <w:sz w:val="16"/>
                <w:szCs w:val="16"/>
                <w:color w:val="auto"/>
              </w:rPr>
            </w:pPr>
          </w:p>
        </w:tc>
        <w:tc>
          <w:tcPr>
            <w:tcW w:w="780" w:type="dxa"/>
            <w:vAlign w:val="bottom"/>
            <w:tcBorders>
              <w:bottom w:val="single" w:sz="8" w:color="888B8D"/>
            </w:tcBorders>
            <w:vMerge w:val="continue"/>
          </w:tcPr>
          <w:p>
            <w:pPr>
              <w:spacing w:after="0"/>
              <w:rPr>
                <w:sz w:val="16"/>
                <w:szCs w:val="16"/>
                <w:color w:val="auto"/>
              </w:rPr>
            </w:pPr>
          </w:p>
        </w:tc>
        <w:tc>
          <w:tcPr>
            <w:tcW w:w="260" w:type="dxa"/>
            <w:vAlign w:val="bottom"/>
            <w:tcBorders>
              <w:bottom w:val="single" w:sz="8" w:color="888B8D"/>
            </w:tcBorders>
          </w:tcPr>
          <w:p>
            <w:pPr>
              <w:spacing w:after="0"/>
              <w:rPr>
                <w:sz w:val="16"/>
                <w:szCs w:val="16"/>
                <w:color w:val="auto"/>
              </w:rPr>
            </w:pPr>
          </w:p>
        </w:tc>
        <w:tc>
          <w:tcPr>
            <w:tcW w:w="580" w:type="dxa"/>
            <w:vAlign w:val="bottom"/>
            <w:tcBorders>
              <w:bottom w:val="single" w:sz="8" w:color="888B8D"/>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70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Asbestos-related liability payments</w:t>
            </w:r>
          </w:p>
        </w:tc>
        <w:tc>
          <w:tcPr>
            <w:tcW w:w="120" w:type="dxa"/>
            <w:vAlign w:val="bottom"/>
            <w:tcBorders>
              <w:bottom w:val="single" w:sz="8" w:color="888B8D"/>
            </w:tcBorders>
          </w:tcPr>
          <w:p>
            <w:pPr>
              <w:spacing w:after="0"/>
              <w:rPr>
                <w:sz w:val="16"/>
                <w:szCs w:val="16"/>
                <w:color w:val="auto"/>
              </w:rPr>
            </w:pPr>
          </w:p>
        </w:tc>
        <w:tc>
          <w:tcPr>
            <w:tcW w:w="74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(223)</w:t>
            </w:r>
          </w:p>
        </w:tc>
        <w:tc>
          <w:tcPr>
            <w:tcW w:w="220" w:type="dxa"/>
            <w:vAlign w:val="bottom"/>
            <w:tcBorders>
              <w:bottom w:val="single" w:sz="8" w:color="888B8D"/>
            </w:tcBorders>
          </w:tcPr>
          <w:p>
            <w:pPr>
              <w:spacing w:after="0"/>
              <w:rPr>
                <w:sz w:val="16"/>
                <w:szCs w:val="16"/>
                <w:color w:val="auto"/>
              </w:rPr>
            </w:pPr>
          </w:p>
        </w:tc>
        <w:tc>
          <w:tcPr>
            <w:tcW w:w="78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(1)</w:t>
            </w:r>
          </w:p>
        </w:tc>
        <w:tc>
          <w:tcPr>
            <w:tcW w:w="260" w:type="dxa"/>
            <w:vAlign w:val="bottom"/>
            <w:tcBorders>
              <w:bottom w:val="single" w:sz="8" w:color="888B8D"/>
            </w:tcBorders>
          </w:tcPr>
          <w:p>
            <w:pPr>
              <w:spacing w:after="0"/>
              <w:rPr>
                <w:sz w:val="16"/>
                <w:szCs w:val="16"/>
                <w:color w:val="auto"/>
              </w:rPr>
            </w:pPr>
          </w:p>
        </w:tc>
        <w:tc>
          <w:tcPr>
            <w:tcW w:w="58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(224)</w:t>
            </w:r>
          </w:p>
        </w:tc>
        <w:tc>
          <w:tcPr>
            <w:tcW w:w="200" w:type="dxa"/>
            <w:vAlign w:val="bottom"/>
            <w:tcBorders>
              <w:bottom w:val="single" w:sz="8" w:color="888B8D"/>
            </w:tcBorders>
          </w:tcPr>
          <w:p>
            <w:pPr>
              <w:spacing w:after="0"/>
              <w:rPr>
                <w:sz w:val="16"/>
                <w:szCs w:val="16"/>
                <w:color w:val="auto"/>
              </w:rPr>
            </w:pPr>
          </w:p>
        </w:tc>
        <w:tc>
          <w:tcPr>
            <w:tcW w:w="120" w:type="dxa"/>
            <w:vAlign w:val="bottom"/>
            <w:tcBorders>
              <w:bottom w:val="single" w:sz="8" w:color="888B8D"/>
            </w:tcBorders>
          </w:tcPr>
          <w:p>
            <w:pPr>
              <w:spacing w:after="0"/>
              <w:rPr>
                <w:sz w:val="16"/>
                <w:szCs w:val="16"/>
                <w:color w:val="auto"/>
              </w:rPr>
            </w:pPr>
          </w:p>
        </w:tc>
        <w:tc>
          <w:tcPr>
            <w:tcW w:w="74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(169)</w:t>
            </w:r>
          </w:p>
        </w:tc>
        <w:tc>
          <w:tcPr>
            <w:tcW w:w="240" w:type="dxa"/>
            <w:vAlign w:val="bottom"/>
            <w:tcBorders>
              <w:bottom w:val="single" w:sz="8" w:color="888B8D"/>
            </w:tcBorders>
          </w:tcPr>
          <w:p>
            <w:pPr>
              <w:spacing w:after="0"/>
              <w:rPr>
                <w:sz w:val="16"/>
                <w:szCs w:val="16"/>
                <w:color w:val="auto"/>
              </w:rPr>
            </w:pPr>
          </w:p>
        </w:tc>
        <w:tc>
          <w:tcPr>
            <w:tcW w:w="76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(5)</w:t>
            </w:r>
          </w:p>
        </w:tc>
        <w:tc>
          <w:tcPr>
            <w:tcW w:w="260" w:type="dxa"/>
            <w:vAlign w:val="bottom"/>
            <w:tcBorders>
              <w:bottom w:val="single" w:sz="8" w:color="888B8D"/>
            </w:tcBorders>
          </w:tcPr>
          <w:p>
            <w:pPr>
              <w:spacing w:after="0"/>
              <w:rPr>
                <w:sz w:val="16"/>
                <w:szCs w:val="16"/>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(174)</w:t>
            </w:r>
          </w:p>
        </w:tc>
        <w:tc>
          <w:tcPr>
            <w:tcW w:w="200" w:type="dxa"/>
            <w:vAlign w:val="bottom"/>
            <w:tcBorders>
              <w:bottom w:val="single" w:sz="8" w:color="888B8D"/>
            </w:tcBorders>
          </w:tcPr>
          <w:p>
            <w:pPr>
              <w:spacing w:after="0"/>
              <w:rPr>
                <w:sz w:val="16"/>
                <w:szCs w:val="16"/>
                <w:color w:val="auto"/>
              </w:rPr>
            </w:pPr>
          </w:p>
        </w:tc>
        <w:tc>
          <w:tcPr>
            <w:tcW w:w="120" w:type="dxa"/>
            <w:vAlign w:val="bottom"/>
            <w:tcBorders>
              <w:bottom w:val="single" w:sz="8" w:color="888B8D"/>
            </w:tcBorders>
          </w:tcPr>
          <w:p>
            <w:pPr>
              <w:spacing w:after="0"/>
              <w:rPr>
                <w:sz w:val="16"/>
                <w:szCs w:val="16"/>
                <w:color w:val="auto"/>
              </w:rPr>
            </w:pPr>
          </w:p>
        </w:tc>
        <w:tc>
          <w:tcPr>
            <w:tcW w:w="76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(216)</w:t>
            </w:r>
          </w:p>
        </w:tc>
        <w:tc>
          <w:tcPr>
            <w:tcW w:w="220" w:type="dxa"/>
            <w:vAlign w:val="bottom"/>
            <w:tcBorders>
              <w:bottom w:val="single" w:sz="8" w:color="888B8D"/>
            </w:tcBorders>
          </w:tcPr>
          <w:p>
            <w:pPr>
              <w:spacing w:after="0"/>
              <w:rPr>
                <w:sz w:val="16"/>
                <w:szCs w:val="16"/>
                <w:color w:val="auto"/>
              </w:rPr>
            </w:pPr>
          </w:p>
        </w:tc>
        <w:tc>
          <w:tcPr>
            <w:tcW w:w="78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(55)</w:t>
            </w:r>
          </w:p>
        </w:tc>
        <w:tc>
          <w:tcPr>
            <w:tcW w:w="260" w:type="dxa"/>
            <w:vAlign w:val="bottom"/>
            <w:tcBorders>
              <w:bottom w:val="single" w:sz="8" w:color="888B8D"/>
            </w:tcBorders>
          </w:tcPr>
          <w:p>
            <w:pPr>
              <w:spacing w:after="0"/>
              <w:rPr>
                <w:sz w:val="16"/>
                <w:szCs w:val="16"/>
                <w:color w:val="auto"/>
              </w:rPr>
            </w:pPr>
          </w:p>
        </w:tc>
        <w:tc>
          <w:tcPr>
            <w:tcW w:w="58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(271)</w:t>
            </w:r>
          </w:p>
        </w:tc>
        <w:tc>
          <w:tcPr>
            <w:tcW w:w="0" w:type="dxa"/>
            <w:vAlign w:val="bottom"/>
          </w:tcPr>
          <w:p>
            <w:pPr>
              <w:spacing w:after="0"/>
              <w:rPr>
                <w:sz w:val="1"/>
                <w:szCs w:val="1"/>
                <w:color w:val="auto"/>
              </w:rPr>
            </w:pPr>
          </w:p>
        </w:tc>
      </w:tr>
      <w:tr>
        <w:trPr>
          <w:trHeight w:val="196"/>
        </w:trPr>
        <w:tc>
          <w:tcPr>
            <w:tcW w:w="270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NARCO Buyout</w:t>
            </w:r>
          </w:p>
        </w:tc>
        <w:tc>
          <w:tcPr>
            <w:tcW w:w="12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(1,325)</w:t>
            </w:r>
          </w:p>
        </w:tc>
        <w:tc>
          <w:tcPr>
            <w:tcW w:w="26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(1,325)</w:t>
            </w:r>
          </w:p>
        </w:tc>
        <w:tc>
          <w:tcPr>
            <w:tcW w:w="200" w:type="dxa"/>
            <w:vAlign w:val="bottom"/>
            <w:tcBorders>
              <w:bottom w:val="single" w:sz="8" w:color="D7282F"/>
            </w:tcBorders>
          </w:tcPr>
          <w:p>
            <w:pPr>
              <w:spacing w:after="0"/>
              <w:rPr>
                <w:sz w:val="17"/>
                <w:szCs w:val="17"/>
                <w:color w:val="auto"/>
              </w:rPr>
            </w:pPr>
          </w:p>
        </w:tc>
        <w:tc>
          <w:tcPr>
            <w:tcW w:w="12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1,325</w:t>
            </w:r>
          </w:p>
        </w:tc>
        <w:tc>
          <w:tcPr>
            <w:tcW w:w="260" w:type="dxa"/>
            <w:vAlign w:val="bottom"/>
            <w:tcBorders>
              <w:bottom w:val="single" w:sz="8" w:color="D7282F"/>
            </w:tcBorders>
          </w:tcPr>
          <w:p>
            <w:pPr>
              <w:spacing w:after="0"/>
              <w:rPr>
                <w:sz w:val="17"/>
                <w:szCs w:val="17"/>
                <w:color w:val="auto"/>
              </w:rPr>
            </w:pP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1,325</w:t>
            </w:r>
          </w:p>
        </w:tc>
        <w:tc>
          <w:tcPr>
            <w:tcW w:w="0" w:type="dxa"/>
            <w:vAlign w:val="bottom"/>
          </w:tcPr>
          <w:p>
            <w:pPr>
              <w:spacing w:after="0"/>
              <w:rPr>
                <w:sz w:val="1"/>
                <w:szCs w:val="1"/>
                <w:color w:val="auto"/>
              </w:rPr>
            </w:pPr>
          </w:p>
        </w:tc>
      </w:tr>
      <w:tr>
        <w:trPr>
          <w:trHeight w:val="199"/>
        </w:trPr>
        <w:tc>
          <w:tcPr>
            <w:tcW w:w="27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End of year</w:t>
            </w:r>
          </w:p>
        </w:tc>
        <w:tc>
          <w:tcPr>
            <w:tcW w:w="1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1,482</w:t>
            </w: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1,482</w:t>
            </w:r>
          </w:p>
        </w:tc>
        <w:tc>
          <w:tcPr>
            <w:tcW w:w="200" w:type="dxa"/>
            <w:vAlign w:val="bottom"/>
            <w:tcBorders>
              <w:bottom w:val="single" w:sz="8" w:color="D7282F"/>
            </w:tcBorders>
          </w:tcPr>
          <w:p>
            <w:pPr>
              <w:spacing w:after="0"/>
              <w:rPr>
                <w:sz w:val="17"/>
                <w:szCs w:val="17"/>
                <w:color w:val="auto"/>
              </w:rPr>
            </w:pPr>
          </w:p>
        </w:tc>
        <w:tc>
          <w:tcPr>
            <w:tcW w:w="1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1,644</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1,644</w:t>
            </w:r>
          </w:p>
        </w:tc>
        <w:tc>
          <w:tcPr>
            <w:tcW w:w="200" w:type="dxa"/>
            <w:vAlign w:val="bottom"/>
            <w:tcBorders>
              <w:bottom w:val="single" w:sz="8" w:color="D7282F"/>
            </w:tcBorders>
          </w:tcPr>
          <w:p>
            <w:pPr>
              <w:spacing w:after="0"/>
              <w:rPr>
                <w:sz w:val="17"/>
                <w:szCs w:val="17"/>
                <w:color w:val="auto"/>
              </w:rPr>
            </w:pPr>
          </w:p>
        </w:tc>
        <w:tc>
          <w:tcPr>
            <w:tcW w:w="1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1,291</w:t>
            </w: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1,325</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2,616</w:t>
            </w:r>
          </w:p>
        </w:tc>
        <w:tc>
          <w:tcPr>
            <w:tcW w:w="0" w:type="dxa"/>
            <w:vAlign w:val="bottom"/>
          </w:tcPr>
          <w:p>
            <w:pPr>
              <w:spacing w:after="0"/>
              <w:rPr>
                <w:sz w:val="1"/>
                <w:szCs w:val="1"/>
                <w:color w:val="auto"/>
              </w:rPr>
            </w:pPr>
          </w:p>
        </w:tc>
      </w:tr>
    </w:tbl>
    <w:p>
      <w:pPr>
        <w:spacing w:after="0" w:line="31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INSURANCE RECOVERIES FOR ASBESTOS-RELATED LIABILITIES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700" w:type="dxa"/>
            <w:vAlign w:val="bottom"/>
          </w:tcPr>
          <w:p>
            <w:pPr>
              <w:spacing w:after="0"/>
              <w:rPr>
                <w:sz w:val="17"/>
                <w:szCs w:val="17"/>
                <w:color w:val="auto"/>
              </w:rPr>
            </w:pPr>
          </w:p>
        </w:tc>
        <w:tc>
          <w:tcPr>
            <w:tcW w:w="120" w:type="dxa"/>
            <w:vAlign w:val="bottom"/>
            <w:tcBorders>
              <w:bottom w:val="single" w:sz="8" w:color="D7282F"/>
            </w:tcBorders>
          </w:tcPr>
          <w:p>
            <w:pPr>
              <w:spacing w:after="0"/>
              <w:rPr>
                <w:sz w:val="17"/>
                <w:szCs w:val="17"/>
                <w:color w:val="auto"/>
              </w:rPr>
            </w:pPr>
          </w:p>
        </w:tc>
        <w:tc>
          <w:tcPr>
            <w:tcW w:w="2580" w:type="dxa"/>
            <w:vAlign w:val="bottom"/>
            <w:tcBorders>
              <w:bottom w:val="single" w:sz="8" w:color="D7282F"/>
            </w:tcBorders>
            <w:gridSpan w:val="7"/>
          </w:tcPr>
          <w:p>
            <w:pPr>
              <w:jc w:val="center"/>
              <w:ind w:right="28"/>
              <w:spacing w:after="0"/>
              <w:rPr>
                <w:sz w:val="20"/>
                <w:szCs w:val="20"/>
                <w:color w:val="auto"/>
              </w:rPr>
            </w:pPr>
            <w:r>
              <w:rPr>
                <w:rFonts w:ascii="Arial" w:cs="Arial" w:eastAsia="Arial" w:hAnsi="Arial"/>
                <w:sz w:val="14"/>
                <w:szCs w:val="14"/>
                <w:b w:val="1"/>
                <w:bCs w:val="1"/>
                <w:color w:val="auto"/>
              </w:rPr>
              <w:t>Year Ended December 31, 2024</w:t>
            </w:r>
          </w:p>
        </w:tc>
        <w:tc>
          <w:tcPr>
            <w:tcW w:w="220" w:type="dxa"/>
            <w:vAlign w:val="bottom"/>
          </w:tcPr>
          <w:p>
            <w:pPr>
              <w:spacing w:after="0"/>
              <w:rPr>
                <w:sz w:val="17"/>
                <w:szCs w:val="17"/>
                <w:color w:val="auto"/>
              </w:rPr>
            </w:pPr>
          </w:p>
        </w:tc>
        <w:tc>
          <w:tcPr>
            <w:tcW w:w="120" w:type="dxa"/>
            <w:vAlign w:val="bottom"/>
            <w:tcBorders>
              <w:bottom w:val="single" w:sz="8" w:color="D7282F"/>
            </w:tcBorders>
          </w:tcPr>
          <w:p>
            <w:pPr>
              <w:spacing w:after="0"/>
              <w:rPr>
                <w:sz w:val="17"/>
                <w:szCs w:val="17"/>
                <w:color w:val="auto"/>
              </w:rPr>
            </w:pPr>
          </w:p>
        </w:tc>
        <w:tc>
          <w:tcPr>
            <w:tcW w:w="2580" w:type="dxa"/>
            <w:vAlign w:val="bottom"/>
            <w:tcBorders>
              <w:bottom w:val="single" w:sz="8" w:color="D7282F"/>
            </w:tcBorders>
            <w:gridSpan w:val="7"/>
          </w:tcPr>
          <w:p>
            <w:pPr>
              <w:jc w:val="right"/>
              <w:ind w:right="228"/>
              <w:spacing w:after="0"/>
              <w:rPr>
                <w:sz w:val="20"/>
                <w:szCs w:val="20"/>
                <w:color w:val="auto"/>
              </w:rPr>
            </w:pPr>
            <w:r>
              <w:rPr>
                <w:rFonts w:ascii="Arial" w:cs="Arial" w:eastAsia="Arial" w:hAnsi="Arial"/>
                <w:sz w:val="14"/>
                <w:szCs w:val="14"/>
                <w:b w:val="1"/>
                <w:bCs w:val="1"/>
                <w:color w:val="auto"/>
              </w:rPr>
              <w:t>Year Ended December 31, 2023</w:t>
            </w:r>
          </w:p>
        </w:tc>
        <w:tc>
          <w:tcPr>
            <w:tcW w:w="200" w:type="dxa"/>
            <w:vAlign w:val="bottom"/>
          </w:tcPr>
          <w:p>
            <w:pPr>
              <w:spacing w:after="0"/>
              <w:rPr>
                <w:sz w:val="17"/>
                <w:szCs w:val="17"/>
                <w:color w:val="auto"/>
              </w:rPr>
            </w:pPr>
          </w:p>
        </w:tc>
        <w:tc>
          <w:tcPr>
            <w:tcW w:w="120" w:type="dxa"/>
            <w:vAlign w:val="bottom"/>
            <w:tcBorders>
              <w:bottom w:val="single" w:sz="8" w:color="D7282F"/>
            </w:tcBorders>
          </w:tcPr>
          <w:p>
            <w:pPr>
              <w:spacing w:after="0"/>
              <w:rPr>
                <w:sz w:val="17"/>
                <w:szCs w:val="17"/>
                <w:color w:val="auto"/>
              </w:rPr>
            </w:pPr>
          </w:p>
        </w:tc>
        <w:tc>
          <w:tcPr>
            <w:tcW w:w="2600" w:type="dxa"/>
            <w:vAlign w:val="bottom"/>
            <w:tcBorders>
              <w:bottom w:val="single" w:sz="8" w:color="D7282F"/>
            </w:tcBorders>
            <w:gridSpan w:val="7"/>
          </w:tcPr>
          <w:p>
            <w:pPr>
              <w:jc w:val="right"/>
              <w:ind w:right="228"/>
              <w:spacing w:after="0"/>
              <w:rPr>
                <w:sz w:val="20"/>
                <w:szCs w:val="20"/>
                <w:color w:val="auto"/>
              </w:rPr>
            </w:pPr>
            <w:r>
              <w:rPr>
                <w:rFonts w:ascii="Arial" w:cs="Arial" w:eastAsia="Arial" w:hAnsi="Arial"/>
                <w:sz w:val="14"/>
                <w:szCs w:val="14"/>
                <w:b w:val="1"/>
                <w:bCs w:val="1"/>
                <w:color w:val="auto"/>
              </w:rPr>
              <w:t>Year Ended December 31, 2022</w:t>
            </w:r>
          </w:p>
        </w:tc>
        <w:tc>
          <w:tcPr>
            <w:tcW w:w="0" w:type="dxa"/>
            <w:vAlign w:val="bottom"/>
          </w:tcPr>
          <w:p>
            <w:pPr>
              <w:spacing w:after="0"/>
              <w:rPr>
                <w:sz w:val="1"/>
                <w:szCs w:val="1"/>
                <w:color w:val="auto"/>
              </w:rPr>
            </w:pPr>
          </w:p>
        </w:tc>
      </w:tr>
      <w:tr>
        <w:trPr>
          <w:trHeight w:val="223"/>
        </w:trPr>
        <w:tc>
          <w:tcPr>
            <w:tcW w:w="2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Bendix</w:t>
            </w:r>
          </w:p>
        </w:tc>
        <w:tc>
          <w:tcPr>
            <w:tcW w:w="100" w:type="dxa"/>
            <w:vAlign w:val="bottom"/>
          </w:tcPr>
          <w:p>
            <w:pPr>
              <w:spacing w:after="0"/>
              <w:rPr>
                <w:sz w:val="19"/>
                <w:szCs w:val="19"/>
                <w:color w:val="auto"/>
              </w:rPr>
            </w:pPr>
          </w:p>
        </w:tc>
        <w:tc>
          <w:tcPr>
            <w:tcW w:w="9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NARCO</w:t>
            </w:r>
          </w:p>
        </w:tc>
        <w:tc>
          <w:tcPr>
            <w:tcW w:w="140" w:type="dxa"/>
            <w:vAlign w:val="bottom"/>
          </w:tcPr>
          <w:p>
            <w:pPr>
              <w:spacing w:after="0"/>
              <w:rPr>
                <w:sz w:val="19"/>
                <w:szCs w:val="19"/>
                <w:color w:val="auto"/>
              </w:rPr>
            </w:pPr>
          </w:p>
        </w:tc>
        <w:tc>
          <w:tcPr>
            <w:tcW w:w="78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9"/>
                <w:szCs w:val="19"/>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Bendix</w:t>
            </w:r>
          </w:p>
        </w:tc>
        <w:tc>
          <w:tcPr>
            <w:tcW w:w="120" w:type="dxa"/>
            <w:vAlign w:val="bottom"/>
          </w:tcPr>
          <w:p>
            <w:pPr>
              <w:spacing w:after="0"/>
              <w:rPr>
                <w:sz w:val="19"/>
                <w:szCs w:val="19"/>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NARCO</w:t>
            </w:r>
          </w:p>
        </w:tc>
        <w:tc>
          <w:tcPr>
            <w:tcW w:w="160" w:type="dxa"/>
            <w:vAlign w:val="bottom"/>
          </w:tcPr>
          <w:p>
            <w:pPr>
              <w:spacing w:after="0"/>
              <w:rPr>
                <w:sz w:val="19"/>
                <w:szCs w:val="19"/>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9"/>
                <w:szCs w:val="19"/>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Bendix</w:t>
            </w:r>
          </w:p>
        </w:tc>
        <w:tc>
          <w:tcPr>
            <w:tcW w:w="120" w:type="dxa"/>
            <w:vAlign w:val="bottom"/>
          </w:tcPr>
          <w:p>
            <w:pPr>
              <w:spacing w:after="0"/>
              <w:rPr>
                <w:sz w:val="19"/>
                <w:szCs w:val="19"/>
                <w:color w:val="auto"/>
              </w:rPr>
            </w:pP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NARCO</w:t>
            </w:r>
          </w:p>
        </w:tc>
        <w:tc>
          <w:tcPr>
            <w:tcW w:w="140" w:type="dxa"/>
            <w:vAlign w:val="bottom"/>
          </w:tcPr>
          <w:p>
            <w:pPr>
              <w:spacing w:after="0"/>
              <w:rPr>
                <w:sz w:val="19"/>
                <w:szCs w:val="19"/>
                <w:color w:val="auto"/>
              </w:rPr>
            </w:pPr>
          </w:p>
        </w:tc>
        <w:tc>
          <w:tcPr>
            <w:tcW w:w="580" w:type="dxa"/>
            <w:vAlign w:val="bottom"/>
          </w:tcPr>
          <w:p>
            <w:pPr>
              <w:jc w:val="right"/>
              <w:ind w:right="1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2"/>
        </w:trPr>
        <w:tc>
          <w:tcPr>
            <w:tcW w:w="2700" w:type="dxa"/>
            <w:vAlign w:val="bottom"/>
            <w:tcBorders>
              <w:top w:val="single" w:sz="8" w:color="D7282F"/>
              <w:bottom w:val="single" w:sz="8" w:color="D7282F"/>
            </w:tcBorders>
          </w:tcPr>
          <w:p>
            <w:pPr>
              <w:ind w:left="20"/>
              <w:spacing w:after="0"/>
              <w:rPr>
                <w:sz w:val="20"/>
                <w:szCs w:val="20"/>
                <w:color w:val="auto"/>
              </w:rPr>
            </w:pPr>
            <w:r>
              <w:rPr>
                <w:rFonts w:ascii="Arial" w:cs="Arial" w:eastAsia="Arial" w:hAnsi="Arial"/>
                <w:sz w:val="14"/>
                <w:szCs w:val="14"/>
                <w:b w:val="1"/>
                <w:bCs w:val="1"/>
                <w:color w:val="auto"/>
              </w:rPr>
              <w:t>Beginning of year</w:t>
            </w:r>
          </w:p>
        </w:tc>
        <w:tc>
          <w:tcPr>
            <w:tcW w:w="120" w:type="dxa"/>
            <w:vAlign w:val="bottom"/>
            <w:tcBorders>
              <w:top w:val="single" w:sz="8" w:color="D7282F"/>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D7282F"/>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123</w:t>
            </w:r>
          </w:p>
        </w:tc>
        <w:tc>
          <w:tcPr>
            <w:tcW w:w="240" w:type="dxa"/>
            <w:vAlign w:val="bottom"/>
            <w:tcBorders>
              <w:top w:val="single" w:sz="8" w:color="DC202E"/>
              <w:bottom w:val="single" w:sz="8" w:color="D7282F"/>
            </w:tcBorders>
          </w:tcPr>
          <w:p>
            <w:pPr>
              <w:spacing w:after="0"/>
              <w:rPr>
                <w:sz w:val="17"/>
                <w:szCs w:val="17"/>
                <w:color w:val="auto"/>
              </w:rPr>
            </w:pPr>
          </w:p>
        </w:tc>
        <w:tc>
          <w:tcPr>
            <w:tcW w:w="100" w:type="dxa"/>
            <w:vAlign w:val="bottom"/>
            <w:tcBorders>
              <w:top w:val="single" w:sz="8" w:color="D7282F"/>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D7282F"/>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88</w:t>
            </w:r>
          </w:p>
        </w:tc>
        <w:tc>
          <w:tcPr>
            <w:tcW w:w="240" w:type="dxa"/>
            <w:vAlign w:val="bottom"/>
            <w:tcBorders>
              <w:top w:val="single" w:sz="8" w:color="DC202E"/>
              <w:bottom w:val="single" w:sz="8" w:color="D7282F"/>
            </w:tcBorders>
          </w:tcPr>
          <w:p>
            <w:pPr>
              <w:spacing w:after="0"/>
              <w:rPr>
                <w:sz w:val="17"/>
                <w:szCs w:val="17"/>
                <w:color w:val="auto"/>
              </w:rPr>
            </w:pPr>
          </w:p>
        </w:tc>
        <w:tc>
          <w:tcPr>
            <w:tcW w:w="140" w:type="dxa"/>
            <w:vAlign w:val="bottom"/>
            <w:tcBorders>
              <w:top w:val="single" w:sz="8" w:color="D7282F"/>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tcBorders>
              <w:top w:val="single" w:sz="8" w:color="D7282F"/>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211</w:t>
            </w:r>
          </w:p>
        </w:tc>
        <w:tc>
          <w:tcPr>
            <w:tcW w:w="220" w:type="dxa"/>
            <w:vAlign w:val="bottom"/>
            <w:tcBorders>
              <w:top w:val="single" w:sz="8" w:color="D7282F"/>
              <w:bottom w:val="single" w:sz="8" w:color="D7282F"/>
            </w:tcBorders>
          </w:tcPr>
          <w:p>
            <w:pPr>
              <w:spacing w:after="0"/>
              <w:rPr>
                <w:sz w:val="17"/>
                <w:szCs w:val="17"/>
                <w:color w:val="auto"/>
              </w:rPr>
            </w:pPr>
          </w:p>
        </w:tc>
        <w:tc>
          <w:tcPr>
            <w:tcW w:w="120" w:type="dxa"/>
            <w:vAlign w:val="bottom"/>
            <w:tcBorders>
              <w:top w:val="single" w:sz="8" w:color="D7282F"/>
              <w:bottom w:val="single" w:sz="8" w:color="D7282F"/>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640" w:type="dxa"/>
            <w:vAlign w:val="bottom"/>
            <w:tcBorders>
              <w:top w:val="single" w:sz="8" w:color="D7282F"/>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130</w:t>
            </w:r>
          </w:p>
        </w:tc>
        <w:tc>
          <w:tcPr>
            <w:tcW w:w="220" w:type="dxa"/>
            <w:vAlign w:val="bottom"/>
            <w:tcBorders>
              <w:top w:val="single" w:sz="8" w:color="DC202E"/>
              <w:bottom w:val="single" w:sz="8" w:color="D7282F"/>
            </w:tcBorders>
          </w:tcPr>
          <w:p>
            <w:pPr>
              <w:spacing w:after="0"/>
              <w:rPr>
                <w:sz w:val="17"/>
                <w:szCs w:val="17"/>
                <w:color w:val="auto"/>
              </w:rPr>
            </w:pPr>
          </w:p>
        </w:tc>
        <w:tc>
          <w:tcPr>
            <w:tcW w:w="120" w:type="dxa"/>
            <w:vAlign w:val="bottom"/>
            <w:tcBorders>
              <w:top w:val="single" w:sz="8" w:color="D7282F"/>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D7282F"/>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135</w:t>
            </w:r>
          </w:p>
        </w:tc>
        <w:tc>
          <w:tcPr>
            <w:tcW w:w="220" w:type="dxa"/>
            <w:vAlign w:val="bottom"/>
            <w:tcBorders>
              <w:top w:val="single" w:sz="8" w:color="DC202E"/>
              <w:bottom w:val="single" w:sz="8" w:color="D7282F"/>
            </w:tcBorders>
          </w:tcPr>
          <w:p>
            <w:pPr>
              <w:spacing w:after="0"/>
              <w:rPr>
                <w:sz w:val="17"/>
                <w:szCs w:val="17"/>
                <w:color w:val="auto"/>
              </w:rPr>
            </w:pPr>
          </w:p>
        </w:tc>
        <w:tc>
          <w:tcPr>
            <w:tcW w:w="160" w:type="dxa"/>
            <w:vAlign w:val="bottom"/>
            <w:tcBorders>
              <w:top w:val="single" w:sz="8" w:color="D7282F"/>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tcBorders>
              <w:top w:val="single" w:sz="8" w:color="D7282F"/>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265</w:t>
            </w:r>
          </w:p>
        </w:tc>
        <w:tc>
          <w:tcPr>
            <w:tcW w:w="200" w:type="dxa"/>
            <w:vAlign w:val="bottom"/>
            <w:tcBorders>
              <w:top w:val="single" w:sz="8" w:color="D7282F"/>
              <w:bottom w:val="single" w:sz="8" w:color="D7282F"/>
            </w:tcBorders>
          </w:tcPr>
          <w:p>
            <w:pPr>
              <w:spacing w:after="0"/>
              <w:rPr>
                <w:sz w:val="17"/>
                <w:szCs w:val="17"/>
                <w:color w:val="auto"/>
              </w:rPr>
            </w:pPr>
          </w:p>
        </w:tc>
        <w:tc>
          <w:tcPr>
            <w:tcW w:w="120" w:type="dxa"/>
            <w:vAlign w:val="bottom"/>
            <w:tcBorders>
              <w:top w:val="single" w:sz="8" w:color="D7282F"/>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D7282F"/>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142</w:t>
            </w:r>
          </w:p>
        </w:tc>
        <w:tc>
          <w:tcPr>
            <w:tcW w:w="220" w:type="dxa"/>
            <w:vAlign w:val="bottom"/>
            <w:tcBorders>
              <w:top w:val="single" w:sz="8" w:color="DC202E"/>
              <w:bottom w:val="single" w:sz="8" w:color="D7282F"/>
            </w:tcBorders>
          </w:tcPr>
          <w:p>
            <w:pPr>
              <w:spacing w:after="0"/>
              <w:rPr>
                <w:sz w:val="17"/>
                <w:szCs w:val="17"/>
                <w:color w:val="auto"/>
              </w:rPr>
            </w:pPr>
          </w:p>
        </w:tc>
        <w:tc>
          <w:tcPr>
            <w:tcW w:w="120" w:type="dxa"/>
            <w:vAlign w:val="bottom"/>
            <w:tcBorders>
              <w:top w:val="single" w:sz="8" w:color="D7282F"/>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D7282F"/>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221</w:t>
            </w:r>
          </w:p>
        </w:tc>
        <w:tc>
          <w:tcPr>
            <w:tcW w:w="220" w:type="dxa"/>
            <w:vAlign w:val="bottom"/>
            <w:tcBorders>
              <w:top w:val="single" w:sz="8" w:color="DC202E"/>
              <w:bottom w:val="single" w:sz="8" w:color="D7282F"/>
            </w:tcBorders>
          </w:tcPr>
          <w:p>
            <w:pPr>
              <w:spacing w:after="0"/>
              <w:rPr>
                <w:sz w:val="17"/>
                <w:szCs w:val="17"/>
                <w:color w:val="auto"/>
              </w:rPr>
            </w:pPr>
          </w:p>
        </w:tc>
        <w:tc>
          <w:tcPr>
            <w:tcW w:w="140" w:type="dxa"/>
            <w:vAlign w:val="bottom"/>
            <w:tcBorders>
              <w:top w:val="single" w:sz="8" w:color="D7282F"/>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580" w:type="dxa"/>
            <w:vAlign w:val="bottom"/>
            <w:tcBorders>
              <w:top w:val="single" w:sz="8" w:color="D7282F"/>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363</w:t>
            </w:r>
          </w:p>
        </w:tc>
        <w:tc>
          <w:tcPr>
            <w:tcW w:w="0" w:type="dxa"/>
            <w:vAlign w:val="bottom"/>
          </w:tcPr>
          <w:p>
            <w:pPr>
              <w:spacing w:after="0"/>
              <w:rPr>
                <w:sz w:val="1"/>
                <w:szCs w:val="1"/>
                <w:color w:val="auto"/>
              </w:rPr>
            </w:pPr>
          </w:p>
        </w:tc>
      </w:tr>
      <w:tr>
        <w:trPr>
          <w:trHeight w:val="143"/>
        </w:trPr>
        <w:tc>
          <w:tcPr>
            <w:tcW w:w="2700" w:type="dxa"/>
            <w:vAlign w:val="bottom"/>
          </w:tcPr>
          <w:p>
            <w:pPr>
              <w:ind w:left="140"/>
              <w:spacing w:after="0" w:line="143" w:lineRule="exact"/>
              <w:rPr>
                <w:sz w:val="20"/>
                <w:szCs w:val="20"/>
                <w:color w:val="auto"/>
              </w:rPr>
            </w:pPr>
            <w:r>
              <w:rPr>
                <w:rFonts w:ascii="Arial" w:cs="Arial" w:eastAsia="Arial" w:hAnsi="Arial"/>
                <w:sz w:val="14"/>
                <w:szCs w:val="14"/>
                <w:color w:val="auto"/>
              </w:rPr>
              <w:t>Probable insurance recoveries related</w:t>
            </w:r>
          </w:p>
        </w:tc>
        <w:tc>
          <w:tcPr>
            <w:tcW w:w="12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restart"/>
          </w:tcPr>
          <w:p>
            <w:pPr>
              <w:jc w:val="right"/>
              <w:ind w:right="3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11</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restart"/>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11</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restart"/>
          </w:tcPr>
          <w:p>
            <w:pPr>
              <w:jc w:val="right"/>
              <w:ind w:right="8"/>
              <w:spacing w:after="0"/>
              <w:rPr>
                <w:sz w:val="20"/>
                <w:szCs w:val="20"/>
                <w:color w:val="auto"/>
              </w:rPr>
            </w:pPr>
            <w:r>
              <w:rPr>
                <w:rFonts w:ascii="Arial" w:cs="Arial" w:eastAsia="Arial" w:hAnsi="Arial"/>
                <w:sz w:val="14"/>
                <w:szCs w:val="14"/>
                <w:color w:val="auto"/>
              </w:rPr>
              <w:t>5</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restart"/>
          </w:tcPr>
          <w:p>
            <w:pPr>
              <w:jc w:val="right"/>
              <w:ind w:right="8"/>
              <w:spacing w:after="0"/>
              <w:rPr>
                <w:sz w:val="20"/>
                <w:szCs w:val="20"/>
                <w:color w:val="auto"/>
              </w:rPr>
            </w:pPr>
            <w:r>
              <w:rPr>
                <w:rFonts w:ascii="Arial" w:cs="Arial" w:eastAsia="Arial" w:hAnsi="Arial"/>
                <w:sz w:val="14"/>
                <w:szCs w:val="14"/>
                <w:color w:val="auto"/>
              </w:rPr>
              <w:t>2</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89"/>
        </w:trPr>
        <w:tc>
          <w:tcPr>
            <w:tcW w:w="2700" w:type="dxa"/>
            <w:vAlign w:val="bottom"/>
            <w:tcBorders>
              <w:bottom w:val="single" w:sz="8" w:color="939598"/>
            </w:tcBorders>
          </w:tcPr>
          <w:p>
            <w:pPr>
              <w:ind w:left="140"/>
              <w:spacing w:after="0"/>
              <w:rPr>
                <w:sz w:val="20"/>
                <w:szCs w:val="20"/>
                <w:color w:val="auto"/>
              </w:rPr>
            </w:pPr>
            <w:r>
              <w:rPr>
                <w:rFonts w:ascii="Arial" w:cs="Arial" w:eastAsia="Arial" w:hAnsi="Arial"/>
                <w:sz w:val="14"/>
                <w:szCs w:val="14"/>
                <w:color w:val="auto"/>
              </w:rPr>
              <w:t>to estimated liability</w:t>
            </w:r>
          </w:p>
        </w:tc>
        <w:tc>
          <w:tcPr>
            <w:tcW w:w="120" w:type="dxa"/>
            <w:vAlign w:val="bottom"/>
            <w:tcBorders>
              <w:bottom w:val="single" w:sz="8" w:color="939598"/>
            </w:tcBorders>
          </w:tcPr>
          <w:p>
            <w:pPr>
              <w:spacing w:after="0"/>
              <w:rPr>
                <w:sz w:val="16"/>
                <w:szCs w:val="16"/>
                <w:color w:val="auto"/>
              </w:rPr>
            </w:pPr>
          </w:p>
        </w:tc>
        <w:tc>
          <w:tcPr>
            <w:tcW w:w="640" w:type="dxa"/>
            <w:vAlign w:val="bottom"/>
            <w:tcBorders>
              <w:bottom w:val="single" w:sz="8" w:color="939598"/>
            </w:tcBorders>
            <w:vMerge w:val="continue"/>
          </w:tcPr>
          <w:p>
            <w:pPr>
              <w:spacing w:after="0"/>
              <w:rPr>
                <w:sz w:val="16"/>
                <w:szCs w:val="16"/>
                <w:color w:val="auto"/>
              </w:rPr>
            </w:pPr>
          </w:p>
        </w:tc>
        <w:tc>
          <w:tcPr>
            <w:tcW w:w="240" w:type="dxa"/>
            <w:vAlign w:val="bottom"/>
            <w:tcBorders>
              <w:bottom w:val="single" w:sz="8" w:color="939598"/>
            </w:tcBorders>
          </w:tcPr>
          <w:p>
            <w:pPr>
              <w:spacing w:after="0"/>
              <w:rPr>
                <w:sz w:val="16"/>
                <w:szCs w:val="16"/>
                <w:color w:val="auto"/>
              </w:rPr>
            </w:pPr>
          </w:p>
        </w:tc>
        <w:tc>
          <w:tcPr>
            <w:tcW w:w="100" w:type="dxa"/>
            <w:vAlign w:val="bottom"/>
            <w:tcBorders>
              <w:bottom w:val="single" w:sz="8" w:color="939598"/>
            </w:tcBorders>
          </w:tcPr>
          <w:p>
            <w:pPr>
              <w:spacing w:after="0"/>
              <w:rPr>
                <w:sz w:val="16"/>
                <w:szCs w:val="16"/>
                <w:color w:val="auto"/>
              </w:rPr>
            </w:pPr>
          </w:p>
        </w:tc>
        <w:tc>
          <w:tcPr>
            <w:tcW w:w="900" w:type="dxa"/>
            <w:vAlign w:val="bottom"/>
            <w:tcBorders>
              <w:bottom w:val="single" w:sz="8" w:color="939598"/>
            </w:tcBorders>
            <w:gridSpan w:val="2"/>
            <w:vMerge w:val="continue"/>
          </w:tcPr>
          <w:p>
            <w:pPr>
              <w:spacing w:after="0"/>
              <w:rPr>
                <w:sz w:val="16"/>
                <w:szCs w:val="16"/>
                <w:color w:val="auto"/>
              </w:rPr>
            </w:pPr>
          </w:p>
        </w:tc>
        <w:tc>
          <w:tcPr>
            <w:tcW w:w="140" w:type="dxa"/>
            <w:vAlign w:val="bottom"/>
            <w:tcBorders>
              <w:bottom w:val="single" w:sz="8" w:color="939598"/>
            </w:tcBorders>
          </w:tcPr>
          <w:p>
            <w:pPr>
              <w:spacing w:after="0"/>
              <w:rPr>
                <w:sz w:val="16"/>
                <w:szCs w:val="16"/>
                <w:color w:val="auto"/>
              </w:rPr>
            </w:pPr>
          </w:p>
        </w:tc>
        <w:tc>
          <w:tcPr>
            <w:tcW w:w="560" w:type="dxa"/>
            <w:vAlign w:val="bottom"/>
            <w:tcBorders>
              <w:bottom w:val="single" w:sz="8" w:color="939598"/>
            </w:tcBorders>
            <w:vMerge w:val="continue"/>
          </w:tcPr>
          <w:p>
            <w:pPr>
              <w:spacing w:after="0"/>
              <w:rPr>
                <w:sz w:val="16"/>
                <w:szCs w:val="16"/>
                <w:color w:val="auto"/>
              </w:rPr>
            </w:pPr>
          </w:p>
        </w:tc>
        <w:tc>
          <w:tcPr>
            <w:tcW w:w="220" w:type="dxa"/>
            <w:vAlign w:val="bottom"/>
            <w:tcBorders>
              <w:bottom w:val="single" w:sz="8" w:color="939598"/>
            </w:tcBorders>
          </w:tcPr>
          <w:p>
            <w:pPr>
              <w:spacing w:after="0"/>
              <w:rPr>
                <w:sz w:val="16"/>
                <w:szCs w:val="16"/>
                <w:color w:val="auto"/>
              </w:rPr>
            </w:pPr>
          </w:p>
        </w:tc>
        <w:tc>
          <w:tcPr>
            <w:tcW w:w="120" w:type="dxa"/>
            <w:vAlign w:val="bottom"/>
            <w:tcBorders>
              <w:bottom w:val="single" w:sz="8" w:color="939598"/>
            </w:tcBorders>
          </w:tcPr>
          <w:p>
            <w:pPr>
              <w:spacing w:after="0"/>
              <w:rPr>
                <w:sz w:val="16"/>
                <w:szCs w:val="16"/>
                <w:color w:val="auto"/>
              </w:rPr>
            </w:pPr>
          </w:p>
        </w:tc>
        <w:tc>
          <w:tcPr>
            <w:tcW w:w="640" w:type="dxa"/>
            <w:vAlign w:val="bottom"/>
            <w:tcBorders>
              <w:bottom w:val="single" w:sz="8" w:color="939598"/>
            </w:tcBorders>
            <w:vMerge w:val="continue"/>
          </w:tcPr>
          <w:p>
            <w:pPr>
              <w:spacing w:after="0"/>
              <w:rPr>
                <w:sz w:val="16"/>
                <w:szCs w:val="16"/>
                <w:color w:val="auto"/>
              </w:rPr>
            </w:pPr>
          </w:p>
        </w:tc>
        <w:tc>
          <w:tcPr>
            <w:tcW w:w="220" w:type="dxa"/>
            <w:vAlign w:val="bottom"/>
            <w:tcBorders>
              <w:bottom w:val="single" w:sz="8" w:color="939598"/>
            </w:tcBorders>
          </w:tcPr>
          <w:p>
            <w:pPr>
              <w:spacing w:after="0"/>
              <w:rPr>
                <w:sz w:val="16"/>
                <w:szCs w:val="16"/>
                <w:color w:val="auto"/>
              </w:rPr>
            </w:pPr>
          </w:p>
        </w:tc>
        <w:tc>
          <w:tcPr>
            <w:tcW w:w="120" w:type="dxa"/>
            <w:vAlign w:val="bottom"/>
            <w:tcBorders>
              <w:bottom w:val="single" w:sz="8" w:color="939598"/>
            </w:tcBorders>
          </w:tcPr>
          <w:p>
            <w:pPr>
              <w:spacing w:after="0"/>
              <w:rPr>
                <w:sz w:val="16"/>
                <w:szCs w:val="16"/>
                <w:color w:val="auto"/>
              </w:rPr>
            </w:pPr>
          </w:p>
        </w:tc>
        <w:tc>
          <w:tcPr>
            <w:tcW w:w="880" w:type="dxa"/>
            <w:vAlign w:val="bottom"/>
            <w:tcBorders>
              <w:bottom w:val="single" w:sz="8" w:color="939598"/>
            </w:tcBorders>
            <w:gridSpan w:val="2"/>
            <w:vMerge w:val="continue"/>
          </w:tcPr>
          <w:p>
            <w:pPr>
              <w:spacing w:after="0"/>
              <w:rPr>
                <w:sz w:val="16"/>
                <w:szCs w:val="16"/>
                <w:color w:val="auto"/>
              </w:rPr>
            </w:pPr>
          </w:p>
        </w:tc>
        <w:tc>
          <w:tcPr>
            <w:tcW w:w="160" w:type="dxa"/>
            <w:vAlign w:val="bottom"/>
            <w:tcBorders>
              <w:bottom w:val="single" w:sz="8" w:color="939598"/>
            </w:tcBorders>
          </w:tcPr>
          <w:p>
            <w:pPr>
              <w:spacing w:after="0"/>
              <w:rPr>
                <w:sz w:val="16"/>
                <w:szCs w:val="16"/>
                <w:color w:val="auto"/>
              </w:rPr>
            </w:pPr>
          </w:p>
        </w:tc>
        <w:tc>
          <w:tcPr>
            <w:tcW w:w="560" w:type="dxa"/>
            <w:vAlign w:val="bottom"/>
            <w:tcBorders>
              <w:bottom w:val="single" w:sz="8" w:color="939598"/>
            </w:tcBorders>
            <w:vMerge w:val="continue"/>
          </w:tcPr>
          <w:p>
            <w:pPr>
              <w:spacing w:after="0"/>
              <w:rPr>
                <w:sz w:val="16"/>
                <w:szCs w:val="16"/>
                <w:color w:val="auto"/>
              </w:rPr>
            </w:pPr>
          </w:p>
        </w:tc>
        <w:tc>
          <w:tcPr>
            <w:tcW w:w="200" w:type="dxa"/>
            <w:vAlign w:val="bottom"/>
            <w:tcBorders>
              <w:bottom w:val="single" w:sz="8" w:color="939598"/>
            </w:tcBorders>
          </w:tcPr>
          <w:p>
            <w:pPr>
              <w:spacing w:after="0"/>
              <w:rPr>
                <w:sz w:val="16"/>
                <w:szCs w:val="16"/>
                <w:color w:val="auto"/>
              </w:rPr>
            </w:pPr>
          </w:p>
        </w:tc>
        <w:tc>
          <w:tcPr>
            <w:tcW w:w="120" w:type="dxa"/>
            <w:vAlign w:val="bottom"/>
            <w:tcBorders>
              <w:bottom w:val="single" w:sz="8" w:color="939598"/>
            </w:tcBorders>
          </w:tcPr>
          <w:p>
            <w:pPr>
              <w:spacing w:after="0"/>
              <w:rPr>
                <w:sz w:val="16"/>
                <w:szCs w:val="16"/>
                <w:color w:val="auto"/>
              </w:rPr>
            </w:pPr>
          </w:p>
        </w:tc>
        <w:tc>
          <w:tcPr>
            <w:tcW w:w="660" w:type="dxa"/>
            <w:vAlign w:val="bottom"/>
            <w:tcBorders>
              <w:bottom w:val="single" w:sz="8" w:color="939598"/>
            </w:tcBorders>
            <w:vMerge w:val="continue"/>
          </w:tcPr>
          <w:p>
            <w:pPr>
              <w:spacing w:after="0"/>
              <w:rPr>
                <w:sz w:val="16"/>
                <w:szCs w:val="16"/>
                <w:color w:val="auto"/>
              </w:rPr>
            </w:pPr>
          </w:p>
        </w:tc>
        <w:tc>
          <w:tcPr>
            <w:tcW w:w="220" w:type="dxa"/>
            <w:vAlign w:val="bottom"/>
            <w:tcBorders>
              <w:bottom w:val="single" w:sz="8" w:color="939598"/>
            </w:tcBorders>
          </w:tcPr>
          <w:p>
            <w:pPr>
              <w:spacing w:after="0"/>
              <w:rPr>
                <w:sz w:val="16"/>
                <w:szCs w:val="16"/>
                <w:color w:val="auto"/>
              </w:rPr>
            </w:pPr>
          </w:p>
        </w:tc>
        <w:tc>
          <w:tcPr>
            <w:tcW w:w="120" w:type="dxa"/>
            <w:vAlign w:val="bottom"/>
            <w:tcBorders>
              <w:bottom w:val="single" w:sz="8" w:color="939598"/>
            </w:tcBorders>
          </w:tcPr>
          <w:p>
            <w:pPr>
              <w:spacing w:after="0"/>
              <w:rPr>
                <w:sz w:val="16"/>
                <w:szCs w:val="16"/>
                <w:color w:val="auto"/>
              </w:rPr>
            </w:pPr>
          </w:p>
        </w:tc>
        <w:tc>
          <w:tcPr>
            <w:tcW w:w="660" w:type="dxa"/>
            <w:vAlign w:val="bottom"/>
            <w:tcBorders>
              <w:bottom w:val="single" w:sz="8" w:color="939598"/>
            </w:tcBorders>
            <w:vMerge w:val="continue"/>
          </w:tcPr>
          <w:p>
            <w:pPr>
              <w:spacing w:after="0"/>
              <w:rPr>
                <w:sz w:val="16"/>
                <w:szCs w:val="16"/>
                <w:color w:val="auto"/>
              </w:rPr>
            </w:pPr>
          </w:p>
        </w:tc>
        <w:tc>
          <w:tcPr>
            <w:tcW w:w="220" w:type="dxa"/>
            <w:vAlign w:val="bottom"/>
            <w:tcBorders>
              <w:bottom w:val="single" w:sz="8" w:color="939598"/>
            </w:tcBorders>
          </w:tcPr>
          <w:p>
            <w:pPr>
              <w:spacing w:after="0"/>
              <w:rPr>
                <w:sz w:val="16"/>
                <w:szCs w:val="16"/>
                <w:color w:val="auto"/>
              </w:rPr>
            </w:pPr>
          </w:p>
        </w:tc>
        <w:tc>
          <w:tcPr>
            <w:tcW w:w="140" w:type="dxa"/>
            <w:vAlign w:val="bottom"/>
            <w:tcBorders>
              <w:bottom w:val="single" w:sz="8" w:color="939598"/>
            </w:tcBorders>
          </w:tcPr>
          <w:p>
            <w:pPr>
              <w:spacing w:after="0"/>
              <w:rPr>
                <w:sz w:val="16"/>
                <w:szCs w:val="16"/>
                <w:color w:val="auto"/>
              </w:rPr>
            </w:pPr>
          </w:p>
        </w:tc>
        <w:tc>
          <w:tcPr>
            <w:tcW w:w="580" w:type="dxa"/>
            <w:vAlign w:val="bottom"/>
            <w:tcBorders>
              <w:bottom w:val="single" w:sz="8" w:color="939598"/>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700" w:type="dxa"/>
            <w:vAlign w:val="bottom"/>
          </w:tcPr>
          <w:p>
            <w:pPr>
              <w:ind w:left="140"/>
              <w:spacing w:after="0" w:line="142" w:lineRule="exact"/>
              <w:rPr>
                <w:sz w:val="20"/>
                <w:szCs w:val="20"/>
                <w:color w:val="auto"/>
              </w:rPr>
            </w:pPr>
            <w:r>
              <w:rPr>
                <w:rFonts w:ascii="Arial" w:cs="Arial" w:eastAsia="Arial" w:hAnsi="Arial"/>
                <w:sz w:val="14"/>
                <w:szCs w:val="14"/>
                <w:color w:val="auto"/>
              </w:rPr>
              <w:t>Insurance receipts for asbestos-related</w:t>
            </w:r>
          </w:p>
        </w:tc>
        <w:tc>
          <w:tcPr>
            <w:tcW w:w="12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(16)</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(8)</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(24)</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(18)</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(21)</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(39)</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(17)</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(20)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89"/>
        </w:trPr>
        <w:tc>
          <w:tcPr>
            <w:tcW w:w="2700" w:type="dxa"/>
            <w:vAlign w:val="bottom"/>
            <w:tcBorders>
              <w:bottom w:val="single" w:sz="8" w:color="939598"/>
            </w:tcBorders>
          </w:tcPr>
          <w:p>
            <w:pPr>
              <w:ind w:left="140"/>
              <w:spacing w:after="0"/>
              <w:rPr>
                <w:sz w:val="20"/>
                <w:szCs w:val="20"/>
                <w:color w:val="auto"/>
              </w:rPr>
            </w:pPr>
            <w:r>
              <w:rPr>
                <w:rFonts w:ascii="Arial" w:cs="Arial" w:eastAsia="Arial" w:hAnsi="Arial"/>
                <w:sz w:val="14"/>
                <w:szCs w:val="14"/>
                <w:color w:val="auto"/>
              </w:rPr>
              <w:t>liabilities</w:t>
            </w:r>
          </w:p>
        </w:tc>
        <w:tc>
          <w:tcPr>
            <w:tcW w:w="120" w:type="dxa"/>
            <w:vAlign w:val="bottom"/>
            <w:tcBorders>
              <w:bottom w:val="single" w:sz="8" w:color="939598"/>
            </w:tcBorders>
          </w:tcPr>
          <w:p>
            <w:pPr>
              <w:spacing w:after="0"/>
              <w:rPr>
                <w:sz w:val="16"/>
                <w:szCs w:val="16"/>
                <w:color w:val="auto"/>
              </w:rPr>
            </w:pPr>
          </w:p>
        </w:tc>
        <w:tc>
          <w:tcPr>
            <w:tcW w:w="640" w:type="dxa"/>
            <w:vAlign w:val="bottom"/>
            <w:tcBorders>
              <w:bottom w:val="single" w:sz="8" w:color="939598"/>
            </w:tcBorders>
            <w:vMerge w:val="continue"/>
          </w:tcPr>
          <w:p>
            <w:pPr>
              <w:spacing w:after="0"/>
              <w:rPr>
                <w:sz w:val="16"/>
                <w:szCs w:val="16"/>
                <w:color w:val="auto"/>
              </w:rPr>
            </w:pPr>
          </w:p>
        </w:tc>
        <w:tc>
          <w:tcPr>
            <w:tcW w:w="240" w:type="dxa"/>
            <w:vAlign w:val="bottom"/>
            <w:tcBorders>
              <w:bottom w:val="single" w:sz="8" w:color="939598"/>
            </w:tcBorders>
          </w:tcPr>
          <w:p>
            <w:pPr>
              <w:spacing w:after="0"/>
              <w:rPr>
                <w:sz w:val="16"/>
                <w:szCs w:val="16"/>
                <w:color w:val="auto"/>
              </w:rPr>
            </w:pPr>
          </w:p>
        </w:tc>
        <w:tc>
          <w:tcPr>
            <w:tcW w:w="100" w:type="dxa"/>
            <w:vAlign w:val="bottom"/>
            <w:tcBorders>
              <w:bottom w:val="single" w:sz="8" w:color="939598"/>
            </w:tcBorders>
          </w:tcPr>
          <w:p>
            <w:pPr>
              <w:spacing w:after="0"/>
              <w:rPr>
                <w:sz w:val="16"/>
                <w:szCs w:val="16"/>
                <w:color w:val="auto"/>
              </w:rPr>
            </w:pPr>
          </w:p>
        </w:tc>
        <w:tc>
          <w:tcPr>
            <w:tcW w:w="660" w:type="dxa"/>
            <w:vAlign w:val="bottom"/>
            <w:tcBorders>
              <w:bottom w:val="single" w:sz="8" w:color="939598"/>
            </w:tcBorders>
            <w:vMerge w:val="continue"/>
          </w:tcPr>
          <w:p>
            <w:pPr>
              <w:spacing w:after="0"/>
              <w:rPr>
                <w:sz w:val="16"/>
                <w:szCs w:val="16"/>
                <w:color w:val="auto"/>
              </w:rPr>
            </w:pPr>
          </w:p>
        </w:tc>
        <w:tc>
          <w:tcPr>
            <w:tcW w:w="240" w:type="dxa"/>
            <w:vAlign w:val="bottom"/>
            <w:tcBorders>
              <w:bottom w:val="single" w:sz="8" w:color="939598"/>
            </w:tcBorders>
          </w:tcPr>
          <w:p>
            <w:pPr>
              <w:spacing w:after="0"/>
              <w:rPr>
                <w:sz w:val="16"/>
                <w:szCs w:val="16"/>
                <w:color w:val="auto"/>
              </w:rPr>
            </w:pPr>
          </w:p>
        </w:tc>
        <w:tc>
          <w:tcPr>
            <w:tcW w:w="140" w:type="dxa"/>
            <w:vAlign w:val="bottom"/>
            <w:tcBorders>
              <w:bottom w:val="single" w:sz="8" w:color="939598"/>
            </w:tcBorders>
          </w:tcPr>
          <w:p>
            <w:pPr>
              <w:spacing w:after="0"/>
              <w:rPr>
                <w:sz w:val="16"/>
                <w:szCs w:val="16"/>
                <w:color w:val="auto"/>
              </w:rPr>
            </w:pPr>
          </w:p>
        </w:tc>
        <w:tc>
          <w:tcPr>
            <w:tcW w:w="560" w:type="dxa"/>
            <w:vAlign w:val="bottom"/>
            <w:tcBorders>
              <w:bottom w:val="single" w:sz="8" w:color="939598"/>
            </w:tcBorders>
            <w:vMerge w:val="continue"/>
          </w:tcPr>
          <w:p>
            <w:pPr>
              <w:spacing w:after="0"/>
              <w:rPr>
                <w:sz w:val="16"/>
                <w:szCs w:val="16"/>
                <w:color w:val="auto"/>
              </w:rPr>
            </w:pPr>
          </w:p>
        </w:tc>
        <w:tc>
          <w:tcPr>
            <w:tcW w:w="220" w:type="dxa"/>
            <w:vAlign w:val="bottom"/>
            <w:tcBorders>
              <w:bottom w:val="single" w:sz="8" w:color="939598"/>
            </w:tcBorders>
          </w:tcPr>
          <w:p>
            <w:pPr>
              <w:spacing w:after="0"/>
              <w:rPr>
                <w:sz w:val="16"/>
                <w:szCs w:val="16"/>
                <w:color w:val="auto"/>
              </w:rPr>
            </w:pPr>
          </w:p>
        </w:tc>
        <w:tc>
          <w:tcPr>
            <w:tcW w:w="120" w:type="dxa"/>
            <w:vAlign w:val="bottom"/>
            <w:tcBorders>
              <w:bottom w:val="single" w:sz="8" w:color="939598"/>
            </w:tcBorders>
          </w:tcPr>
          <w:p>
            <w:pPr>
              <w:spacing w:after="0"/>
              <w:rPr>
                <w:sz w:val="16"/>
                <w:szCs w:val="16"/>
                <w:color w:val="auto"/>
              </w:rPr>
            </w:pPr>
          </w:p>
        </w:tc>
        <w:tc>
          <w:tcPr>
            <w:tcW w:w="640" w:type="dxa"/>
            <w:vAlign w:val="bottom"/>
            <w:tcBorders>
              <w:bottom w:val="single" w:sz="8" w:color="939598"/>
            </w:tcBorders>
            <w:vMerge w:val="continue"/>
          </w:tcPr>
          <w:p>
            <w:pPr>
              <w:spacing w:after="0"/>
              <w:rPr>
                <w:sz w:val="16"/>
                <w:szCs w:val="16"/>
                <w:color w:val="auto"/>
              </w:rPr>
            </w:pPr>
          </w:p>
        </w:tc>
        <w:tc>
          <w:tcPr>
            <w:tcW w:w="220" w:type="dxa"/>
            <w:vAlign w:val="bottom"/>
            <w:tcBorders>
              <w:bottom w:val="single" w:sz="8" w:color="939598"/>
            </w:tcBorders>
          </w:tcPr>
          <w:p>
            <w:pPr>
              <w:spacing w:after="0"/>
              <w:rPr>
                <w:sz w:val="16"/>
                <w:szCs w:val="16"/>
                <w:color w:val="auto"/>
              </w:rPr>
            </w:pPr>
          </w:p>
        </w:tc>
        <w:tc>
          <w:tcPr>
            <w:tcW w:w="120" w:type="dxa"/>
            <w:vAlign w:val="bottom"/>
            <w:tcBorders>
              <w:bottom w:val="single" w:sz="8" w:color="939598"/>
            </w:tcBorders>
          </w:tcPr>
          <w:p>
            <w:pPr>
              <w:spacing w:after="0"/>
              <w:rPr>
                <w:sz w:val="16"/>
                <w:szCs w:val="16"/>
                <w:color w:val="auto"/>
              </w:rPr>
            </w:pPr>
          </w:p>
        </w:tc>
        <w:tc>
          <w:tcPr>
            <w:tcW w:w="660" w:type="dxa"/>
            <w:vAlign w:val="bottom"/>
            <w:tcBorders>
              <w:bottom w:val="single" w:sz="8" w:color="939598"/>
            </w:tcBorders>
            <w:vMerge w:val="continue"/>
          </w:tcPr>
          <w:p>
            <w:pPr>
              <w:spacing w:after="0"/>
              <w:rPr>
                <w:sz w:val="16"/>
                <w:szCs w:val="16"/>
                <w:color w:val="auto"/>
              </w:rPr>
            </w:pPr>
          </w:p>
        </w:tc>
        <w:tc>
          <w:tcPr>
            <w:tcW w:w="220" w:type="dxa"/>
            <w:vAlign w:val="bottom"/>
            <w:tcBorders>
              <w:bottom w:val="single" w:sz="8" w:color="939598"/>
            </w:tcBorders>
          </w:tcPr>
          <w:p>
            <w:pPr>
              <w:spacing w:after="0"/>
              <w:rPr>
                <w:sz w:val="16"/>
                <w:szCs w:val="16"/>
                <w:color w:val="auto"/>
              </w:rPr>
            </w:pPr>
          </w:p>
        </w:tc>
        <w:tc>
          <w:tcPr>
            <w:tcW w:w="160" w:type="dxa"/>
            <w:vAlign w:val="bottom"/>
            <w:tcBorders>
              <w:bottom w:val="single" w:sz="8" w:color="939598"/>
            </w:tcBorders>
          </w:tcPr>
          <w:p>
            <w:pPr>
              <w:spacing w:after="0"/>
              <w:rPr>
                <w:sz w:val="16"/>
                <w:szCs w:val="16"/>
                <w:color w:val="auto"/>
              </w:rPr>
            </w:pPr>
          </w:p>
        </w:tc>
        <w:tc>
          <w:tcPr>
            <w:tcW w:w="560" w:type="dxa"/>
            <w:vAlign w:val="bottom"/>
            <w:tcBorders>
              <w:bottom w:val="single" w:sz="8" w:color="939598"/>
            </w:tcBorders>
            <w:vMerge w:val="continue"/>
          </w:tcPr>
          <w:p>
            <w:pPr>
              <w:spacing w:after="0"/>
              <w:rPr>
                <w:sz w:val="16"/>
                <w:szCs w:val="16"/>
                <w:color w:val="auto"/>
              </w:rPr>
            </w:pPr>
          </w:p>
        </w:tc>
        <w:tc>
          <w:tcPr>
            <w:tcW w:w="200" w:type="dxa"/>
            <w:vAlign w:val="bottom"/>
            <w:tcBorders>
              <w:bottom w:val="single" w:sz="8" w:color="939598"/>
            </w:tcBorders>
          </w:tcPr>
          <w:p>
            <w:pPr>
              <w:spacing w:after="0"/>
              <w:rPr>
                <w:sz w:val="16"/>
                <w:szCs w:val="16"/>
                <w:color w:val="auto"/>
              </w:rPr>
            </w:pPr>
          </w:p>
        </w:tc>
        <w:tc>
          <w:tcPr>
            <w:tcW w:w="120" w:type="dxa"/>
            <w:vAlign w:val="bottom"/>
            <w:tcBorders>
              <w:bottom w:val="single" w:sz="8" w:color="939598"/>
            </w:tcBorders>
          </w:tcPr>
          <w:p>
            <w:pPr>
              <w:spacing w:after="0"/>
              <w:rPr>
                <w:sz w:val="16"/>
                <w:szCs w:val="16"/>
                <w:color w:val="auto"/>
              </w:rPr>
            </w:pPr>
          </w:p>
        </w:tc>
        <w:tc>
          <w:tcPr>
            <w:tcW w:w="660" w:type="dxa"/>
            <w:vAlign w:val="bottom"/>
            <w:tcBorders>
              <w:bottom w:val="single" w:sz="8" w:color="939598"/>
            </w:tcBorders>
            <w:vMerge w:val="continue"/>
          </w:tcPr>
          <w:p>
            <w:pPr>
              <w:spacing w:after="0"/>
              <w:rPr>
                <w:sz w:val="16"/>
                <w:szCs w:val="16"/>
                <w:color w:val="auto"/>
              </w:rPr>
            </w:pPr>
          </w:p>
        </w:tc>
        <w:tc>
          <w:tcPr>
            <w:tcW w:w="220" w:type="dxa"/>
            <w:vAlign w:val="bottom"/>
            <w:tcBorders>
              <w:bottom w:val="single" w:sz="8" w:color="939598"/>
            </w:tcBorders>
          </w:tcPr>
          <w:p>
            <w:pPr>
              <w:spacing w:after="0"/>
              <w:rPr>
                <w:sz w:val="16"/>
                <w:szCs w:val="16"/>
                <w:color w:val="auto"/>
              </w:rPr>
            </w:pPr>
          </w:p>
        </w:tc>
        <w:tc>
          <w:tcPr>
            <w:tcW w:w="120" w:type="dxa"/>
            <w:vAlign w:val="bottom"/>
            <w:tcBorders>
              <w:bottom w:val="single" w:sz="8" w:color="939598"/>
            </w:tcBorders>
          </w:tcPr>
          <w:p>
            <w:pPr>
              <w:spacing w:after="0"/>
              <w:rPr>
                <w:sz w:val="16"/>
                <w:szCs w:val="16"/>
                <w:color w:val="auto"/>
              </w:rPr>
            </w:pPr>
          </w:p>
        </w:tc>
        <w:tc>
          <w:tcPr>
            <w:tcW w:w="660" w:type="dxa"/>
            <w:vAlign w:val="bottom"/>
            <w:tcBorders>
              <w:bottom w:val="single" w:sz="8" w:color="939598"/>
            </w:tcBorders>
            <w:vMerge w:val="continue"/>
          </w:tcPr>
          <w:p>
            <w:pPr>
              <w:spacing w:after="0"/>
              <w:rPr>
                <w:sz w:val="16"/>
                <w:szCs w:val="16"/>
                <w:color w:val="auto"/>
              </w:rPr>
            </w:pPr>
          </w:p>
        </w:tc>
        <w:tc>
          <w:tcPr>
            <w:tcW w:w="220" w:type="dxa"/>
            <w:vAlign w:val="bottom"/>
            <w:tcBorders>
              <w:bottom w:val="single" w:sz="8" w:color="939598"/>
            </w:tcBorders>
          </w:tcPr>
          <w:p>
            <w:pPr>
              <w:spacing w:after="0"/>
              <w:rPr>
                <w:sz w:val="16"/>
                <w:szCs w:val="16"/>
                <w:color w:val="auto"/>
              </w:rPr>
            </w:pPr>
          </w:p>
        </w:tc>
        <w:tc>
          <w:tcPr>
            <w:tcW w:w="140" w:type="dxa"/>
            <w:vAlign w:val="bottom"/>
            <w:tcBorders>
              <w:bottom w:val="single" w:sz="8" w:color="939598"/>
            </w:tcBorders>
          </w:tcPr>
          <w:p>
            <w:pPr>
              <w:spacing w:after="0"/>
              <w:rPr>
                <w:sz w:val="16"/>
                <w:szCs w:val="16"/>
                <w:color w:val="auto"/>
              </w:rPr>
            </w:pPr>
          </w:p>
        </w:tc>
        <w:tc>
          <w:tcPr>
            <w:tcW w:w="580" w:type="dxa"/>
            <w:vAlign w:val="bottom"/>
            <w:tcBorders>
              <w:bottom w:val="single" w:sz="8" w:color="939598"/>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700" w:type="dxa"/>
            <w:vAlign w:val="bottom"/>
          </w:tcPr>
          <w:p>
            <w:pPr>
              <w:ind w:left="140"/>
              <w:spacing w:after="0" w:line="142" w:lineRule="exact"/>
              <w:rPr>
                <w:sz w:val="20"/>
                <w:szCs w:val="20"/>
                <w:color w:val="auto"/>
              </w:rPr>
            </w:pPr>
            <w:r>
              <w:rPr>
                <w:rFonts w:ascii="Arial" w:cs="Arial" w:eastAsia="Arial" w:hAnsi="Arial"/>
                <w:sz w:val="14"/>
                <w:szCs w:val="14"/>
                <w:color w:val="auto"/>
              </w:rPr>
              <w:t>Insurance receivables settlements and</w:t>
            </w:r>
          </w:p>
        </w:tc>
        <w:tc>
          <w:tcPr>
            <w:tcW w:w="120" w:type="dxa"/>
            <w:vAlign w:val="bottom"/>
          </w:tcPr>
          <w:p>
            <w:pPr>
              <w:spacing w:after="0"/>
              <w:rPr>
                <w:sz w:val="12"/>
                <w:szCs w:val="12"/>
                <w:color w:val="auto"/>
              </w:rPr>
            </w:pPr>
          </w:p>
        </w:tc>
        <w:tc>
          <w:tcPr>
            <w:tcW w:w="880" w:type="dxa"/>
            <w:vAlign w:val="bottom"/>
            <w:gridSpan w:val="2"/>
            <w:vMerge w:val="restart"/>
          </w:tcPr>
          <w:p>
            <w:pPr>
              <w:jc w:val="right"/>
              <w:ind w:righ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00" w:type="dxa"/>
            <w:vAlign w:val="bottom"/>
            <w:gridSpan w:val="2"/>
            <w:vMerge w:val="restart"/>
          </w:tcPr>
          <w:p>
            <w:pPr>
              <w:jc w:val="right"/>
              <w:ind w:right="3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80" w:type="dxa"/>
            <w:vAlign w:val="bottom"/>
            <w:gridSpan w:val="2"/>
            <w:vMerge w:val="restart"/>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60" w:type="dxa"/>
            <w:vAlign w:val="bottom"/>
            <w:gridSpan w:val="2"/>
            <w:vMerge w:val="restart"/>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(26)</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(26)</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restart"/>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(68)</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89"/>
        </w:trPr>
        <w:tc>
          <w:tcPr>
            <w:tcW w:w="2700" w:type="dxa"/>
            <w:vAlign w:val="bottom"/>
            <w:tcBorders>
              <w:bottom w:val="single" w:sz="8" w:color="DC202E"/>
            </w:tcBorders>
          </w:tcPr>
          <w:p>
            <w:pPr>
              <w:ind w:left="140"/>
              <w:spacing w:after="0"/>
              <w:rPr>
                <w:sz w:val="20"/>
                <w:szCs w:val="20"/>
                <w:color w:val="auto"/>
              </w:rPr>
            </w:pPr>
            <w:r>
              <w:rPr>
                <w:rFonts w:ascii="Arial" w:cs="Arial" w:eastAsia="Arial" w:hAnsi="Arial"/>
                <w:sz w:val="14"/>
                <w:szCs w:val="14"/>
                <w:color w:val="auto"/>
              </w:rPr>
              <w:t>write-offs</w:t>
            </w:r>
          </w:p>
        </w:tc>
        <w:tc>
          <w:tcPr>
            <w:tcW w:w="120" w:type="dxa"/>
            <w:vAlign w:val="bottom"/>
            <w:tcBorders>
              <w:bottom w:val="single" w:sz="8" w:color="DC202E"/>
            </w:tcBorders>
          </w:tcPr>
          <w:p>
            <w:pPr>
              <w:spacing w:after="0"/>
              <w:rPr>
                <w:sz w:val="16"/>
                <w:szCs w:val="16"/>
                <w:color w:val="auto"/>
              </w:rPr>
            </w:pPr>
          </w:p>
        </w:tc>
        <w:tc>
          <w:tcPr>
            <w:tcW w:w="880" w:type="dxa"/>
            <w:vAlign w:val="bottom"/>
            <w:tcBorders>
              <w:bottom w:val="single" w:sz="8" w:color="DC202E"/>
            </w:tcBorders>
            <w:gridSpan w:val="2"/>
            <w:vMerge w:val="continue"/>
          </w:tcPr>
          <w:p>
            <w:pPr>
              <w:spacing w:after="0"/>
              <w:rPr>
                <w:sz w:val="16"/>
                <w:szCs w:val="16"/>
                <w:color w:val="auto"/>
              </w:rPr>
            </w:pPr>
          </w:p>
        </w:tc>
        <w:tc>
          <w:tcPr>
            <w:tcW w:w="100" w:type="dxa"/>
            <w:vAlign w:val="bottom"/>
            <w:tcBorders>
              <w:bottom w:val="single" w:sz="8" w:color="DC202E"/>
            </w:tcBorders>
          </w:tcPr>
          <w:p>
            <w:pPr>
              <w:spacing w:after="0"/>
              <w:rPr>
                <w:sz w:val="16"/>
                <w:szCs w:val="16"/>
                <w:color w:val="auto"/>
              </w:rPr>
            </w:pPr>
          </w:p>
        </w:tc>
        <w:tc>
          <w:tcPr>
            <w:tcW w:w="900" w:type="dxa"/>
            <w:vAlign w:val="bottom"/>
            <w:tcBorders>
              <w:bottom w:val="single" w:sz="8" w:color="DC202E"/>
            </w:tcBorders>
            <w:gridSpan w:val="2"/>
            <w:vMerge w:val="continue"/>
          </w:tcPr>
          <w:p>
            <w:pPr>
              <w:spacing w:after="0"/>
              <w:rPr>
                <w:sz w:val="16"/>
                <w:szCs w:val="16"/>
                <w:color w:val="auto"/>
              </w:rPr>
            </w:pPr>
          </w:p>
        </w:tc>
        <w:tc>
          <w:tcPr>
            <w:tcW w:w="140" w:type="dxa"/>
            <w:vAlign w:val="bottom"/>
            <w:tcBorders>
              <w:bottom w:val="single" w:sz="8" w:color="DC202E"/>
            </w:tcBorders>
          </w:tcPr>
          <w:p>
            <w:pPr>
              <w:spacing w:after="0"/>
              <w:rPr>
                <w:sz w:val="16"/>
                <w:szCs w:val="16"/>
                <w:color w:val="auto"/>
              </w:rPr>
            </w:pPr>
          </w:p>
        </w:tc>
        <w:tc>
          <w:tcPr>
            <w:tcW w:w="780" w:type="dxa"/>
            <w:vAlign w:val="bottom"/>
            <w:tcBorders>
              <w:bottom w:val="single" w:sz="8" w:color="DC202E"/>
            </w:tcBorders>
            <w:gridSpan w:val="2"/>
            <w:vMerge w:val="continue"/>
          </w:tcPr>
          <w:p>
            <w:pPr>
              <w:spacing w:after="0"/>
              <w:rPr>
                <w:sz w:val="16"/>
                <w:szCs w:val="16"/>
                <w:color w:val="auto"/>
              </w:rPr>
            </w:pPr>
          </w:p>
        </w:tc>
        <w:tc>
          <w:tcPr>
            <w:tcW w:w="120" w:type="dxa"/>
            <w:vAlign w:val="bottom"/>
            <w:tcBorders>
              <w:bottom w:val="single" w:sz="8" w:color="DC202E"/>
            </w:tcBorders>
          </w:tcPr>
          <w:p>
            <w:pPr>
              <w:spacing w:after="0"/>
              <w:rPr>
                <w:sz w:val="16"/>
                <w:szCs w:val="16"/>
                <w:color w:val="auto"/>
              </w:rPr>
            </w:pPr>
          </w:p>
        </w:tc>
        <w:tc>
          <w:tcPr>
            <w:tcW w:w="860" w:type="dxa"/>
            <w:vAlign w:val="bottom"/>
            <w:tcBorders>
              <w:bottom w:val="single" w:sz="8" w:color="DC202E"/>
            </w:tcBorders>
            <w:gridSpan w:val="2"/>
            <w:vMerge w:val="continue"/>
          </w:tcPr>
          <w:p>
            <w:pPr>
              <w:spacing w:after="0"/>
              <w:rPr>
                <w:sz w:val="16"/>
                <w:szCs w:val="16"/>
                <w:color w:val="auto"/>
              </w:rPr>
            </w:pPr>
          </w:p>
        </w:tc>
        <w:tc>
          <w:tcPr>
            <w:tcW w:w="120" w:type="dxa"/>
            <w:vAlign w:val="bottom"/>
            <w:tcBorders>
              <w:bottom w:val="single" w:sz="8" w:color="DC202E"/>
            </w:tcBorders>
          </w:tcPr>
          <w:p>
            <w:pPr>
              <w:spacing w:after="0"/>
              <w:rPr>
                <w:sz w:val="16"/>
                <w:szCs w:val="16"/>
                <w:color w:val="auto"/>
              </w:rPr>
            </w:pPr>
          </w:p>
        </w:tc>
        <w:tc>
          <w:tcPr>
            <w:tcW w:w="660" w:type="dxa"/>
            <w:vAlign w:val="bottom"/>
            <w:tcBorders>
              <w:bottom w:val="single" w:sz="8" w:color="DC202E"/>
            </w:tcBorders>
            <w:vMerge w:val="continue"/>
          </w:tcPr>
          <w:p>
            <w:pPr>
              <w:spacing w:after="0"/>
              <w:rPr>
                <w:sz w:val="16"/>
                <w:szCs w:val="16"/>
                <w:color w:val="auto"/>
              </w:rPr>
            </w:pPr>
          </w:p>
        </w:tc>
        <w:tc>
          <w:tcPr>
            <w:tcW w:w="220" w:type="dxa"/>
            <w:vAlign w:val="bottom"/>
            <w:tcBorders>
              <w:bottom w:val="single" w:sz="8" w:color="DC202E"/>
            </w:tcBorders>
          </w:tcPr>
          <w:p>
            <w:pPr>
              <w:spacing w:after="0"/>
              <w:rPr>
                <w:sz w:val="16"/>
                <w:szCs w:val="16"/>
                <w:color w:val="auto"/>
              </w:rPr>
            </w:pPr>
          </w:p>
        </w:tc>
        <w:tc>
          <w:tcPr>
            <w:tcW w:w="160" w:type="dxa"/>
            <w:vAlign w:val="bottom"/>
            <w:tcBorders>
              <w:bottom w:val="single" w:sz="8" w:color="DC202E"/>
            </w:tcBorders>
          </w:tcPr>
          <w:p>
            <w:pPr>
              <w:spacing w:after="0"/>
              <w:rPr>
                <w:sz w:val="16"/>
                <w:szCs w:val="16"/>
                <w:color w:val="auto"/>
              </w:rPr>
            </w:pPr>
          </w:p>
        </w:tc>
        <w:tc>
          <w:tcPr>
            <w:tcW w:w="560" w:type="dxa"/>
            <w:vAlign w:val="bottom"/>
            <w:tcBorders>
              <w:bottom w:val="single" w:sz="8" w:color="DC202E"/>
            </w:tcBorders>
            <w:vMerge w:val="continue"/>
          </w:tcPr>
          <w:p>
            <w:pPr>
              <w:spacing w:after="0"/>
              <w:rPr>
                <w:sz w:val="16"/>
                <w:szCs w:val="16"/>
                <w:color w:val="auto"/>
              </w:rPr>
            </w:pPr>
          </w:p>
        </w:tc>
        <w:tc>
          <w:tcPr>
            <w:tcW w:w="200" w:type="dxa"/>
            <w:vAlign w:val="bottom"/>
            <w:tcBorders>
              <w:bottom w:val="single" w:sz="8" w:color="DC202E"/>
            </w:tcBorders>
          </w:tcPr>
          <w:p>
            <w:pPr>
              <w:spacing w:after="0"/>
              <w:rPr>
                <w:sz w:val="16"/>
                <w:szCs w:val="16"/>
                <w:color w:val="auto"/>
              </w:rPr>
            </w:pPr>
          </w:p>
        </w:tc>
        <w:tc>
          <w:tcPr>
            <w:tcW w:w="120" w:type="dxa"/>
            <w:vAlign w:val="bottom"/>
            <w:tcBorders>
              <w:bottom w:val="single" w:sz="8" w:color="DC202E"/>
            </w:tcBorders>
          </w:tcPr>
          <w:p>
            <w:pPr>
              <w:spacing w:after="0"/>
              <w:rPr>
                <w:sz w:val="16"/>
                <w:szCs w:val="16"/>
                <w:color w:val="auto"/>
              </w:rPr>
            </w:pPr>
          </w:p>
        </w:tc>
        <w:tc>
          <w:tcPr>
            <w:tcW w:w="880" w:type="dxa"/>
            <w:vAlign w:val="bottom"/>
            <w:tcBorders>
              <w:bottom w:val="single" w:sz="8" w:color="DC202E"/>
            </w:tcBorders>
            <w:gridSpan w:val="2"/>
            <w:vMerge w:val="continue"/>
          </w:tcPr>
          <w:p>
            <w:pPr>
              <w:spacing w:after="0"/>
              <w:rPr>
                <w:sz w:val="16"/>
                <w:szCs w:val="16"/>
                <w:color w:val="auto"/>
              </w:rPr>
            </w:pPr>
          </w:p>
        </w:tc>
        <w:tc>
          <w:tcPr>
            <w:tcW w:w="120" w:type="dxa"/>
            <w:vAlign w:val="bottom"/>
            <w:tcBorders>
              <w:bottom w:val="single" w:sz="8" w:color="DC202E"/>
            </w:tcBorders>
          </w:tcPr>
          <w:p>
            <w:pPr>
              <w:spacing w:after="0"/>
              <w:rPr>
                <w:sz w:val="16"/>
                <w:szCs w:val="16"/>
                <w:color w:val="auto"/>
              </w:rPr>
            </w:pPr>
          </w:p>
        </w:tc>
        <w:tc>
          <w:tcPr>
            <w:tcW w:w="660" w:type="dxa"/>
            <w:vAlign w:val="bottom"/>
            <w:tcBorders>
              <w:bottom w:val="single" w:sz="8" w:color="DC202E"/>
            </w:tcBorders>
            <w:vMerge w:val="continue"/>
          </w:tcPr>
          <w:p>
            <w:pPr>
              <w:spacing w:after="0"/>
              <w:rPr>
                <w:sz w:val="16"/>
                <w:szCs w:val="16"/>
                <w:color w:val="auto"/>
              </w:rPr>
            </w:pPr>
          </w:p>
        </w:tc>
        <w:tc>
          <w:tcPr>
            <w:tcW w:w="220" w:type="dxa"/>
            <w:vAlign w:val="bottom"/>
            <w:tcBorders>
              <w:bottom w:val="single" w:sz="8" w:color="DC202E"/>
            </w:tcBorders>
          </w:tcPr>
          <w:p>
            <w:pPr>
              <w:spacing w:after="0"/>
              <w:rPr>
                <w:sz w:val="16"/>
                <w:szCs w:val="16"/>
                <w:color w:val="auto"/>
              </w:rPr>
            </w:pPr>
          </w:p>
        </w:tc>
        <w:tc>
          <w:tcPr>
            <w:tcW w:w="140" w:type="dxa"/>
            <w:vAlign w:val="bottom"/>
            <w:tcBorders>
              <w:bottom w:val="single" w:sz="8" w:color="DC202E"/>
            </w:tcBorders>
          </w:tcPr>
          <w:p>
            <w:pPr>
              <w:spacing w:after="0"/>
              <w:rPr>
                <w:sz w:val="16"/>
                <w:szCs w:val="16"/>
                <w:color w:val="auto"/>
              </w:rPr>
            </w:pPr>
          </w:p>
        </w:tc>
        <w:tc>
          <w:tcPr>
            <w:tcW w:w="580" w:type="dxa"/>
            <w:vAlign w:val="bottom"/>
            <w:tcBorders>
              <w:bottom w:val="single" w:sz="8" w:color="DC202E"/>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700" w:type="dxa"/>
            <w:vAlign w:val="bottom"/>
            <w:tcBorders>
              <w:bottom w:val="single" w:sz="8" w:color="DC202E"/>
            </w:tcBorders>
          </w:tcPr>
          <w:p>
            <w:pPr>
              <w:ind w:left="20"/>
              <w:spacing w:after="0"/>
              <w:rPr>
                <w:sz w:val="20"/>
                <w:szCs w:val="20"/>
                <w:color w:val="auto"/>
              </w:rPr>
            </w:pPr>
            <w:r>
              <w:rPr>
                <w:rFonts w:ascii="Arial" w:cs="Arial" w:eastAsia="Arial" w:hAnsi="Arial"/>
                <w:sz w:val="14"/>
                <w:szCs w:val="14"/>
                <w:b w:val="1"/>
                <w:bCs w:val="1"/>
                <w:color w:val="auto"/>
              </w:rPr>
              <w:t>End of year</w:t>
            </w:r>
          </w:p>
        </w:tc>
        <w:tc>
          <w:tcPr>
            <w:tcW w:w="120" w:type="dxa"/>
            <w:vAlign w:val="bottom"/>
            <w:tcBorders>
              <w:bottom w:val="single" w:sz="8" w:color="DC202E"/>
            </w:tcBorders>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DC202E"/>
            </w:tcBorders>
          </w:tcPr>
          <w:p>
            <w:pPr>
              <w:jc w:val="right"/>
              <w:spacing w:after="0"/>
              <w:rPr>
                <w:sz w:val="20"/>
                <w:szCs w:val="20"/>
                <w:color w:val="auto"/>
              </w:rPr>
            </w:pPr>
            <w:r>
              <w:rPr>
                <w:rFonts w:ascii="Arial" w:cs="Arial" w:eastAsia="Arial" w:hAnsi="Arial"/>
                <w:sz w:val="14"/>
                <w:szCs w:val="14"/>
                <w:b w:val="1"/>
                <w:bCs w:val="1"/>
                <w:color w:val="auto"/>
              </w:rPr>
              <w:t>110</w:t>
            </w:r>
          </w:p>
        </w:tc>
        <w:tc>
          <w:tcPr>
            <w:tcW w:w="240" w:type="dxa"/>
            <w:vAlign w:val="bottom"/>
            <w:tcBorders>
              <w:bottom w:val="single" w:sz="8" w:color="DC202E"/>
            </w:tcBorders>
          </w:tcPr>
          <w:p>
            <w:pPr>
              <w:spacing w:after="0"/>
              <w:rPr>
                <w:sz w:val="16"/>
                <w:szCs w:val="16"/>
                <w:color w:val="auto"/>
              </w:rPr>
            </w:pPr>
          </w:p>
        </w:tc>
        <w:tc>
          <w:tcPr>
            <w:tcW w:w="100" w:type="dxa"/>
            <w:vAlign w:val="bottom"/>
            <w:tcBorders>
              <w:bottom w:val="single" w:sz="8" w:color="DC202E"/>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DC202E"/>
            </w:tcBorders>
          </w:tcPr>
          <w:p>
            <w:pPr>
              <w:jc w:val="right"/>
              <w:spacing w:after="0"/>
              <w:rPr>
                <w:sz w:val="20"/>
                <w:szCs w:val="20"/>
                <w:color w:val="auto"/>
              </w:rPr>
            </w:pPr>
            <w:r>
              <w:rPr>
                <w:rFonts w:ascii="Arial" w:cs="Arial" w:eastAsia="Arial" w:hAnsi="Arial"/>
                <w:sz w:val="14"/>
                <w:szCs w:val="14"/>
                <w:b w:val="1"/>
                <w:bCs w:val="1"/>
                <w:color w:val="auto"/>
              </w:rPr>
              <w:t>80</w:t>
            </w:r>
          </w:p>
        </w:tc>
        <w:tc>
          <w:tcPr>
            <w:tcW w:w="240" w:type="dxa"/>
            <w:vAlign w:val="bottom"/>
            <w:tcBorders>
              <w:bottom w:val="single" w:sz="8" w:color="DC202E"/>
            </w:tcBorders>
          </w:tcPr>
          <w:p>
            <w:pPr>
              <w:spacing w:after="0"/>
              <w:rPr>
                <w:sz w:val="16"/>
                <w:szCs w:val="16"/>
                <w:color w:val="auto"/>
              </w:rPr>
            </w:pPr>
          </w:p>
        </w:tc>
        <w:tc>
          <w:tcPr>
            <w:tcW w:w="140" w:type="dxa"/>
            <w:vAlign w:val="bottom"/>
            <w:tcBorders>
              <w:bottom w:val="single" w:sz="8" w:color="DC202E"/>
            </w:tcBorders>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DC202E"/>
            </w:tcBorders>
          </w:tcPr>
          <w:p>
            <w:pPr>
              <w:jc w:val="right"/>
              <w:spacing w:after="0"/>
              <w:rPr>
                <w:sz w:val="20"/>
                <w:szCs w:val="20"/>
                <w:color w:val="auto"/>
              </w:rPr>
            </w:pPr>
            <w:r>
              <w:rPr>
                <w:rFonts w:ascii="Arial" w:cs="Arial" w:eastAsia="Arial" w:hAnsi="Arial"/>
                <w:sz w:val="14"/>
                <w:szCs w:val="14"/>
                <w:b w:val="1"/>
                <w:bCs w:val="1"/>
                <w:color w:val="auto"/>
              </w:rPr>
              <w:t>190</w:t>
            </w:r>
          </w:p>
        </w:tc>
        <w:tc>
          <w:tcPr>
            <w:tcW w:w="220" w:type="dxa"/>
            <w:vAlign w:val="bottom"/>
            <w:tcBorders>
              <w:bottom w:val="single" w:sz="8" w:color="DC202E"/>
            </w:tcBorders>
          </w:tcPr>
          <w:p>
            <w:pPr>
              <w:spacing w:after="0"/>
              <w:rPr>
                <w:sz w:val="16"/>
                <w:szCs w:val="16"/>
                <w:color w:val="auto"/>
              </w:rPr>
            </w:pPr>
          </w:p>
        </w:tc>
        <w:tc>
          <w:tcPr>
            <w:tcW w:w="120" w:type="dxa"/>
            <w:vAlign w:val="bottom"/>
            <w:tcBorders>
              <w:bottom w:val="single" w:sz="8" w:color="DC202E"/>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640" w:type="dxa"/>
            <w:vAlign w:val="bottom"/>
            <w:tcBorders>
              <w:bottom w:val="single" w:sz="8" w:color="DC202E"/>
            </w:tcBorders>
          </w:tcPr>
          <w:p>
            <w:pPr>
              <w:jc w:val="right"/>
              <w:spacing w:after="0"/>
              <w:rPr>
                <w:sz w:val="20"/>
                <w:szCs w:val="20"/>
                <w:color w:val="auto"/>
              </w:rPr>
            </w:pPr>
            <w:r>
              <w:rPr>
                <w:rFonts w:ascii="Arial" w:cs="Arial" w:eastAsia="Arial" w:hAnsi="Arial"/>
                <w:sz w:val="14"/>
                <w:szCs w:val="14"/>
                <w:b w:val="1"/>
                <w:bCs w:val="1"/>
                <w:color w:val="auto"/>
              </w:rPr>
              <w:t>123</w:t>
            </w:r>
          </w:p>
        </w:tc>
        <w:tc>
          <w:tcPr>
            <w:tcW w:w="220" w:type="dxa"/>
            <w:vAlign w:val="bottom"/>
            <w:tcBorders>
              <w:bottom w:val="single" w:sz="8" w:color="DC202E"/>
            </w:tcBorders>
          </w:tcPr>
          <w:p>
            <w:pPr>
              <w:spacing w:after="0"/>
              <w:rPr>
                <w:sz w:val="16"/>
                <w:szCs w:val="16"/>
                <w:color w:val="auto"/>
              </w:rPr>
            </w:pPr>
          </w:p>
        </w:tc>
        <w:tc>
          <w:tcPr>
            <w:tcW w:w="120" w:type="dxa"/>
            <w:vAlign w:val="bottom"/>
            <w:tcBorders>
              <w:bottom w:val="single" w:sz="8" w:color="DC202E"/>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DC202E"/>
            </w:tcBorders>
          </w:tcPr>
          <w:p>
            <w:pPr>
              <w:jc w:val="right"/>
              <w:spacing w:after="0"/>
              <w:rPr>
                <w:sz w:val="20"/>
                <w:szCs w:val="20"/>
                <w:color w:val="auto"/>
              </w:rPr>
            </w:pPr>
            <w:r>
              <w:rPr>
                <w:rFonts w:ascii="Arial" w:cs="Arial" w:eastAsia="Arial" w:hAnsi="Arial"/>
                <w:sz w:val="14"/>
                <w:szCs w:val="14"/>
                <w:b w:val="1"/>
                <w:bCs w:val="1"/>
                <w:color w:val="auto"/>
              </w:rPr>
              <w:t>88</w:t>
            </w:r>
          </w:p>
        </w:tc>
        <w:tc>
          <w:tcPr>
            <w:tcW w:w="220" w:type="dxa"/>
            <w:vAlign w:val="bottom"/>
            <w:tcBorders>
              <w:bottom w:val="single" w:sz="8" w:color="DC202E"/>
            </w:tcBorders>
          </w:tcPr>
          <w:p>
            <w:pPr>
              <w:spacing w:after="0"/>
              <w:rPr>
                <w:sz w:val="16"/>
                <w:szCs w:val="16"/>
                <w:color w:val="auto"/>
              </w:rPr>
            </w:pPr>
          </w:p>
        </w:tc>
        <w:tc>
          <w:tcPr>
            <w:tcW w:w="160" w:type="dxa"/>
            <w:vAlign w:val="bottom"/>
            <w:tcBorders>
              <w:bottom w:val="single" w:sz="8" w:color="DC202E"/>
            </w:tcBorders>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DC202E"/>
            </w:tcBorders>
          </w:tcPr>
          <w:p>
            <w:pPr>
              <w:jc w:val="right"/>
              <w:spacing w:after="0"/>
              <w:rPr>
                <w:sz w:val="20"/>
                <w:szCs w:val="20"/>
                <w:color w:val="auto"/>
              </w:rPr>
            </w:pPr>
            <w:r>
              <w:rPr>
                <w:rFonts w:ascii="Arial" w:cs="Arial" w:eastAsia="Arial" w:hAnsi="Arial"/>
                <w:sz w:val="14"/>
                <w:szCs w:val="14"/>
                <w:b w:val="1"/>
                <w:bCs w:val="1"/>
                <w:color w:val="auto"/>
              </w:rPr>
              <w:t>211</w:t>
            </w:r>
          </w:p>
        </w:tc>
        <w:tc>
          <w:tcPr>
            <w:tcW w:w="200" w:type="dxa"/>
            <w:vAlign w:val="bottom"/>
            <w:tcBorders>
              <w:bottom w:val="single" w:sz="8" w:color="DC202E"/>
            </w:tcBorders>
          </w:tcPr>
          <w:p>
            <w:pPr>
              <w:spacing w:after="0"/>
              <w:rPr>
                <w:sz w:val="16"/>
                <w:szCs w:val="16"/>
                <w:color w:val="auto"/>
              </w:rPr>
            </w:pPr>
          </w:p>
        </w:tc>
        <w:tc>
          <w:tcPr>
            <w:tcW w:w="120" w:type="dxa"/>
            <w:vAlign w:val="bottom"/>
            <w:tcBorders>
              <w:bottom w:val="single" w:sz="8" w:color="DC202E"/>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DC202E"/>
            </w:tcBorders>
          </w:tcPr>
          <w:p>
            <w:pPr>
              <w:jc w:val="right"/>
              <w:ind w:right="8"/>
              <w:spacing w:after="0"/>
              <w:rPr>
                <w:sz w:val="20"/>
                <w:szCs w:val="20"/>
                <w:color w:val="auto"/>
              </w:rPr>
            </w:pPr>
            <w:r>
              <w:rPr>
                <w:rFonts w:ascii="Arial" w:cs="Arial" w:eastAsia="Arial" w:hAnsi="Arial"/>
                <w:sz w:val="14"/>
                <w:szCs w:val="14"/>
                <w:b w:val="1"/>
                <w:bCs w:val="1"/>
                <w:color w:val="auto"/>
              </w:rPr>
              <w:t>130</w:t>
            </w:r>
          </w:p>
        </w:tc>
        <w:tc>
          <w:tcPr>
            <w:tcW w:w="220" w:type="dxa"/>
            <w:vAlign w:val="bottom"/>
            <w:tcBorders>
              <w:bottom w:val="single" w:sz="8" w:color="DC202E"/>
            </w:tcBorders>
          </w:tcPr>
          <w:p>
            <w:pPr>
              <w:spacing w:after="0"/>
              <w:rPr>
                <w:sz w:val="16"/>
                <w:szCs w:val="16"/>
                <w:color w:val="auto"/>
              </w:rPr>
            </w:pPr>
          </w:p>
        </w:tc>
        <w:tc>
          <w:tcPr>
            <w:tcW w:w="120" w:type="dxa"/>
            <w:vAlign w:val="bottom"/>
            <w:tcBorders>
              <w:bottom w:val="single" w:sz="8" w:color="DC202E"/>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DC202E"/>
            </w:tcBorders>
          </w:tcPr>
          <w:p>
            <w:pPr>
              <w:jc w:val="right"/>
              <w:ind w:right="8"/>
              <w:spacing w:after="0"/>
              <w:rPr>
                <w:sz w:val="20"/>
                <w:szCs w:val="20"/>
                <w:color w:val="auto"/>
              </w:rPr>
            </w:pPr>
            <w:r>
              <w:rPr>
                <w:rFonts w:ascii="Arial" w:cs="Arial" w:eastAsia="Arial" w:hAnsi="Arial"/>
                <w:sz w:val="14"/>
                <w:szCs w:val="14"/>
                <w:b w:val="1"/>
                <w:bCs w:val="1"/>
                <w:color w:val="auto"/>
              </w:rPr>
              <w:t>135</w:t>
            </w:r>
          </w:p>
        </w:tc>
        <w:tc>
          <w:tcPr>
            <w:tcW w:w="220" w:type="dxa"/>
            <w:vAlign w:val="bottom"/>
            <w:tcBorders>
              <w:bottom w:val="single" w:sz="8" w:color="DC202E"/>
            </w:tcBorders>
          </w:tcPr>
          <w:p>
            <w:pPr>
              <w:spacing w:after="0"/>
              <w:rPr>
                <w:sz w:val="16"/>
                <w:szCs w:val="16"/>
                <w:color w:val="auto"/>
              </w:rPr>
            </w:pPr>
          </w:p>
        </w:tc>
        <w:tc>
          <w:tcPr>
            <w:tcW w:w="140" w:type="dxa"/>
            <w:vAlign w:val="bottom"/>
            <w:tcBorders>
              <w:bottom w:val="single" w:sz="8" w:color="DC202E"/>
            </w:tcBorders>
          </w:tcPr>
          <w:p>
            <w:pPr>
              <w:jc w:val="right"/>
              <w:spacing w:after="0"/>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DC202E"/>
            </w:tcBorders>
          </w:tcPr>
          <w:p>
            <w:pPr>
              <w:jc w:val="right"/>
              <w:spacing w:after="0"/>
              <w:rPr>
                <w:sz w:val="20"/>
                <w:szCs w:val="20"/>
                <w:color w:val="auto"/>
              </w:rPr>
            </w:pPr>
            <w:r>
              <w:rPr>
                <w:rFonts w:ascii="Arial" w:cs="Arial" w:eastAsia="Arial" w:hAnsi="Arial"/>
                <w:sz w:val="14"/>
                <w:szCs w:val="14"/>
                <w:b w:val="1"/>
                <w:bCs w:val="1"/>
                <w:color w:val="auto"/>
              </w:rPr>
              <w:t>265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D7282F"/>
        </w:rPr>
        <w:t>96</w:t>
      </w:r>
      <w:r>
        <w:rPr>
          <w:sz w:val="20"/>
          <w:szCs w:val="20"/>
          <w:color w:val="auto"/>
        </w:rPr>
        <w:tab/>
      </w: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98" w:name="page99"/>
    <w:bookmarkEnd w:id="98"/>
    <w:p>
      <w:pPr>
        <w:ind w:left="20"/>
        <w:spacing w:after="0"/>
        <w:tabs>
          <w:tab w:leader="none" w:pos="784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FINANCIAL STATEMENTS AND SUPPLEMENTARY DATA</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NARCO and Bendix asbestos-related balances are included in the following balance sheet accounts: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9480" w:type="dxa"/>
            <w:vAlign w:val="bottom"/>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gridSpan w:val="3"/>
          </w:tcPr>
          <w:p>
            <w:pPr>
              <w:jc w:val="right"/>
              <w:ind w:right="348"/>
              <w:spacing w:after="0"/>
              <w:rPr>
                <w:sz w:val="20"/>
                <w:szCs w:val="20"/>
                <w:color w:val="auto"/>
              </w:rPr>
            </w:pPr>
            <w:r>
              <w:rPr>
                <w:rFonts w:ascii="Arial" w:cs="Arial" w:eastAsia="Arial" w:hAnsi="Arial"/>
                <w:sz w:val="14"/>
                <w:szCs w:val="14"/>
                <w:b w:val="1"/>
                <w:bCs w:val="1"/>
                <w:color w:val="auto"/>
              </w:rPr>
              <w:t>December 31,</w:t>
            </w:r>
          </w:p>
        </w:tc>
      </w:tr>
      <w:tr>
        <w:trPr>
          <w:trHeight w:val="236"/>
        </w:trPr>
        <w:tc>
          <w:tcPr>
            <w:tcW w:w="9480" w:type="dxa"/>
            <w:vAlign w:val="bottom"/>
            <w:tcBorders>
              <w:bottom w:val="single" w:sz="8" w:color="D7282F"/>
            </w:tcBorders>
          </w:tcPr>
          <w:p>
            <w:pPr>
              <w:spacing w:after="0"/>
              <w:rPr>
                <w:sz w:val="20"/>
                <w:szCs w:val="20"/>
                <w:color w:val="auto"/>
              </w:rPr>
            </w:pPr>
          </w:p>
        </w:tc>
        <w:tc>
          <w:tcPr>
            <w:tcW w:w="160" w:type="dxa"/>
            <w:vAlign w:val="bottom"/>
            <w:tcBorders>
              <w:bottom w:val="single" w:sz="8" w:color="D7282F"/>
            </w:tcBorders>
          </w:tcPr>
          <w:p>
            <w:pPr>
              <w:spacing w:after="0"/>
              <w:rPr>
                <w:sz w:val="20"/>
                <w:szCs w:val="20"/>
                <w:color w:val="auto"/>
              </w:rPr>
            </w:pPr>
          </w:p>
        </w:tc>
        <w:tc>
          <w:tcPr>
            <w:tcW w:w="700" w:type="dxa"/>
            <w:vAlign w:val="bottom"/>
            <w:tcBorders>
              <w:bottom w:val="single" w:sz="8" w:color="D7282F"/>
            </w:tcBorders>
          </w:tcPr>
          <w:p>
            <w:pPr>
              <w:jc w:val="right"/>
              <w:ind w:right="248"/>
              <w:spacing w:after="0"/>
              <w:rPr>
                <w:sz w:val="20"/>
                <w:szCs w:val="20"/>
                <w:color w:val="auto"/>
              </w:rPr>
            </w:pPr>
            <w:r>
              <w:rPr>
                <w:rFonts w:ascii="Arial" w:cs="Arial" w:eastAsia="Arial" w:hAnsi="Arial"/>
                <w:sz w:val="14"/>
                <w:szCs w:val="14"/>
                <w:b w:val="1"/>
                <w:bCs w:val="1"/>
                <w:color w:val="auto"/>
              </w:rPr>
              <w:t>2024</w:t>
            </w:r>
          </w:p>
        </w:tc>
        <w:tc>
          <w:tcPr>
            <w:tcW w:w="300" w:type="dxa"/>
            <w:vAlign w:val="bottom"/>
            <w:tcBorders>
              <w:bottom w:val="single" w:sz="8" w:color="D7282F"/>
            </w:tcBorders>
          </w:tcPr>
          <w:p>
            <w:pPr>
              <w:spacing w:after="0"/>
              <w:rPr>
                <w:sz w:val="20"/>
                <w:szCs w:val="20"/>
                <w:color w:val="auto"/>
              </w:rPr>
            </w:pPr>
          </w:p>
        </w:tc>
        <w:tc>
          <w:tcPr>
            <w:tcW w:w="60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2023</w:t>
            </w:r>
          </w:p>
        </w:tc>
      </w:tr>
      <w:tr>
        <w:trPr>
          <w:trHeight w:val="199"/>
        </w:trPr>
        <w:tc>
          <w:tcPr>
            <w:tcW w:w="9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Other current assets</w:t>
            </w:r>
          </w:p>
        </w:tc>
        <w:tc>
          <w:tcPr>
            <w:tcW w:w="16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19</w:t>
            </w:r>
          </w:p>
        </w:tc>
        <w:tc>
          <w:tcPr>
            <w:tcW w:w="3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41</w:t>
            </w:r>
          </w:p>
        </w:tc>
      </w:tr>
      <w:tr>
        <w:trPr>
          <w:trHeight w:val="196"/>
        </w:trPr>
        <w:tc>
          <w:tcPr>
            <w:tcW w:w="94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Insurance recoveries for asbestos-related liabilities</w:t>
            </w:r>
          </w:p>
        </w:tc>
        <w:tc>
          <w:tcPr>
            <w:tcW w:w="16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171</w:t>
            </w:r>
          </w:p>
        </w:tc>
        <w:tc>
          <w:tcPr>
            <w:tcW w:w="30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170</w:t>
            </w:r>
          </w:p>
        </w:tc>
      </w:tr>
      <w:tr>
        <w:trPr>
          <w:trHeight w:val="199"/>
        </w:trPr>
        <w:tc>
          <w:tcPr>
            <w:tcW w:w="948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insurance recoveries for asbestos-related liabilities</w:t>
            </w:r>
          </w:p>
        </w:tc>
        <w:tc>
          <w:tcPr>
            <w:tcW w:w="16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190</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211</w:t>
            </w:r>
          </w:p>
        </w:tc>
      </w:tr>
      <w:tr>
        <w:trPr>
          <w:trHeight w:val="193"/>
        </w:trPr>
        <w:tc>
          <w:tcPr>
            <w:tcW w:w="9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Accrued liabilities</w:t>
            </w:r>
          </w:p>
        </w:tc>
        <w:tc>
          <w:tcPr>
            <w:tcW w:w="16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157</w:t>
            </w:r>
          </w:p>
        </w:tc>
        <w:tc>
          <w:tcPr>
            <w:tcW w:w="3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154</w:t>
            </w:r>
          </w:p>
        </w:tc>
      </w:tr>
      <w:tr>
        <w:trPr>
          <w:trHeight w:val="196"/>
        </w:trPr>
        <w:tc>
          <w:tcPr>
            <w:tcW w:w="94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Asbestos-related liabilities</w:t>
            </w:r>
          </w:p>
        </w:tc>
        <w:tc>
          <w:tcPr>
            <w:tcW w:w="16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1,325</w:t>
            </w:r>
          </w:p>
        </w:tc>
        <w:tc>
          <w:tcPr>
            <w:tcW w:w="30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1,490</w:t>
            </w:r>
          </w:p>
        </w:tc>
      </w:tr>
      <w:tr>
        <w:trPr>
          <w:trHeight w:val="199"/>
        </w:trPr>
        <w:tc>
          <w:tcPr>
            <w:tcW w:w="948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asbestos-related liabilities</w:t>
            </w:r>
          </w:p>
        </w:tc>
        <w:tc>
          <w:tcPr>
            <w:tcW w:w="16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1,482</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1,644</w:t>
            </w:r>
          </w:p>
        </w:tc>
      </w:tr>
    </w:tbl>
    <w:p>
      <w:pPr>
        <w:spacing w:after="0" w:line="18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b w:val="1"/>
          <w:bCs w:val="1"/>
          <w:i w:val="1"/>
          <w:iCs w:val="1"/>
          <w:color w:val="auto"/>
        </w:rPr>
        <w:t xml:space="preserve">NARCO Products </w:t>
      </w:r>
      <w:r>
        <w:rPr>
          <w:rFonts w:ascii="Arial" w:cs="Arial" w:eastAsia="Arial" w:hAnsi="Arial"/>
          <w:sz w:val="16"/>
          <w:szCs w:val="16"/>
          <w:color w:val="auto"/>
        </w:rPr>
        <w:t>– NARCO manufactured high-grade, heat-resistant, refractory products for various industries. Honeywell’s predecessor, Allied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Corporation, owned NARCO from 1979 to 1986. Allied Corporation sold the NARCO business in 1986 and entered into a cross-indemnity agreement which included an obligation to indemnify the purchaser for asbestos claims, arising primarily from alleged occupational exposure to asbestos-containing refractory brick and mortar for high-temperature applications. NARCO ceased manufacturing these products in 1980 and filed for bankruptcy in January 2002, at which point in time all then current and future NARCO asbestos claims were stayed against both NARCO and Honeywell pending the reorganization of NARCO. The Company established its initial liability for NARCO asbestos claims in 2002.</w:t>
      </w:r>
    </w:p>
    <w:p>
      <w:pPr>
        <w:spacing w:after="0" w:line="6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NARCO emerged from bankruptcy in April 2013, at which time a federally authorized 524(g) trust was established to evaluate and resolve all existing NARCO asbestos claims (the Trust). Both Honeywell and NARCO are protected by a permanent channeling injunction barring all present and future individual actions in state or federal courts and requiring all asbestos-related claims based on exposure to NARCO asbestos-containing products to be made against the Trust (Channeling Injunction). The NARCO Trust Agreement (TA) and the NARCO Trust Distribution Procedures (TDP) set forth the structure and operating rules of the Trust, and established Honeywell’s evergreen funding obligations.</w:t>
      </w:r>
    </w:p>
    <w:p>
      <w:pPr>
        <w:spacing w:after="0" w:line="64"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 operating rules per the TDP define criteria claimants must meet for a claim to be considered valid and paid. Once operational in 2014, the Trust began to receive, process, and pay claims. In September 2021, Honeywell filed suit against the Trust in the United States Bankruptcy Court for the Western District of Pennsylvania (Bankruptcy Court) alleging that the Trust breached its duties in managing the Trust, including breaches of certain provisions of the TA and TDP. Honeywell's lawsuit sought appropriate relief preventing the Trust from continuing these practices. The Trust also filed suit against Honeywell, alleging Honeywell breached its obligations under the Trust's governing documents. Honeywell moved to dismiss the Trust’s suit, and on December 15, 2021, the Bankruptcy Court granted Honeywell’s motion to dismiss subject to granting the Trust leave to file an amended complaint. On December 28, 2021, the Trust filed an answer with counterclaims in response to Honeywell’s complaint and in lieu of filing an amended complaint. The Bankruptcy Court conducted a trial on these matters during May 2022; following the trial, the Company and the Trust began discussing a potential settlement of Honeywell’s remaining obligations to the Trust.</w:t>
      </w:r>
    </w:p>
    <w:p>
      <w:pPr>
        <w:spacing w:after="0" w:line="8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On November 18, 2022, Honeywell entered into a definitive agreement (Buyout Agreement) with the Trust, and on November 20, 2022, in exchange for the NARCO Trust Advisory Committee (TAC) and Lawrence Fitzpatrick, in his capacity as the NARCO Asbestos Future Claimants Representative (FCR), becoming parties to the Buyout Agreement, Honeywell, the Trust, the TAC, and the FCR entered into an Amended and Restated Buyout Agreement (Amended Buyout Agreement).</w:t>
      </w:r>
    </w:p>
    <w:p>
      <w:pPr>
        <w:spacing w:after="0" w:line="65"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Pursuant to the terms of the Amended Buyout Agreement, Honeywell agreed to make a one-time, lump sum payment in the amount of $1.325 billion to the Trust (Buyout Amount), subject to certain deductions as described in the Amended Buyout Agreement and in exchange for the release by the Trust of Honeywell from all further and future obligations of any kind related to the Trust and/or any claimants who were exposed to asbestos-containing products manufactured, sold, or distributed by NARCO or its predecessors, including Honeywell’s ongoing evergreen obligation to fund (i) claims against the Trust, which comprise Honeywell’s NARCO asbestos-related claims liability, and (ii) the Trust’s annual operating expenses, which are expensed as incurred, including its legal fees (which operating expenses, for reference, were approximately $30 million in 2022) (such evergreen obligations referred to in (i) and (ii), Honeywell Obligations) (the NARCO Buyout).</w:t>
      </w:r>
    </w:p>
    <w:p>
      <w:pPr>
        <w:spacing w:after="0" w:line="6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On December 8, 2022, the Bankruptcy Court issued an order that (A) approved the Amended Buyout Agreement, and (B) declared that the NARCO Channeling Injunction (which bars all past, present, and future individual actions in state or federal courts based on exposure to NARCO asbestos-containing products and requires all such claims to be made against the Trust) will remain in full force and effect without modification, dissolution, or termination (Order).</w:t>
      </w:r>
    </w:p>
    <w:p>
      <w:pPr>
        <w:spacing w:after="0" w:line="56"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On December 14, 2022, HWI, the reorganized and renamed entity that emerged from the NARCO bankruptcy, entered into a definitive agreement (Sale Agreement) pursuant to which an affiliate of Platinum Equity, LLC agreed to acquire HWI (HWI Sale) subject to the terms set forth in the Sale Agreement, including customary conditions to closing set forth therein. In accordance with the Amended Buyout Agreement, the economic rights of the Trust in respect of the net proceeds from the HWI Sale inure to the benefit of Honeywell.</w:t>
      </w:r>
    </w:p>
    <w:p>
      <w:pPr>
        <w:spacing w:after="0" w:line="399" w:lineRule="exact"/>
        <w:rPr>
          <w:sz w:val="20"/>
          <w:szCs w:val="20"/>
          <w:color w:val="auto"/>
        </w:rPr>
      </w:pPr>
    </w:p>
    <w:p>
      <w:pPr>
        <w:ind w:left="400" w:hanging="392"/>
        <w:spacing w:after="0"/>
        <w:tabs>
          <w:tab w:leader="none" w:pos="400" w:val="left"/>
        </w:tabs>
        <w:numPr>
          <w:ilvl w:val="0"/>
          <w:numId w:val="160"/>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99" w:name="page100"/>
    <w:bookmarkEnd w:id="99"/>
    <w:p>
      <w:pPr>
        <w:ind w:left="20"/>
        <w:spacing w:after="0"/>
        <w:tabs>
          <w:tab w:leader="none" w:pos="784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FINANCIAL STATEMENTS AND SUPPLEMENTARY DATA</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2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On January 30, 2023, the Company paid the Buyout Amount to the Trust, the parties closed the transactions contemplated in the Amended Buyout Agreement (Closing), and Honeywell was released from the Honeywell Obligations. Honeywell continues to have the right to collect proceeds in connection with its NARCO asbestos-related insurance policies.</w:t>
      </w:r>
    </w:p>
    <w:p>
      <w:pPr>
        <w:spacing w:after="0" w:line="5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With the issuance of the Order, the Company derecognized the NARCO asbestos-related liability of $688 million from the Consolidated Balance Sheet and recognized a charge of $1.325 billion in the Consolidated Statement of Operations and accrued a corresponding liability in the Consolidated Balance Sheet for the Buyout Amount. In addition, the Company recognized a benefit of $295 million in the Consolidated Statement of Operations and corresponding asset in Other current assets in the Consolidated Balance Sheet for Honeywell's rights to the proceeds from the HWI Sale. The benefit of $295 million offset the charge for the Buyout Amount.</w:t>
      </w:r>
    </w:p>
    <w:p>
      <w:pPr>
        <w:spacing w:after="0" w:line="6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 xml:space="preserve">On February 16, 2023, the HWI Sale closed. Pursuant to the Amended Buyout Agreement, during 2024 and 2023, Honeywell received $3 million and $275 million of proceeds from the HWI sale, respectively. See Note 12 </w:t>
      </w:r>
      <w:r>
        <w:rPr>
          <w:rFonts w:ascii="Arial" w:cs="Arial" w:eastAsia="Arial" w:hAnsi="Arial"/>
          <w:sz w:val="16"/>
          <w:szCs w:val="16"/>
          <w:u w:val="single" w:color="auto"/>
          <w:color w:val="0000FF"/>
        </w:rPr>
        <w:t>Fair Value Measurements</w:t>
      </w:r>
      <w:r>
        <w:rPr>
          <w:rFonts w:ascii="Arial" w:cs="Arial" w:eastAsia="Arial" w:hAnsi="Arial"/>
          <w:sz w:val="16"/>
          <w:szCs w:val="16"/>
          <w:color w:val="auto"/>
        </w:rPr>
        <w:t xml:space="preserve"> for further information on the related proceeds and remaining amount under the Amended Buyout Agreement.</w:t>
      </w:r>
    </w:p>
    <w:p>
      <w:pPr>
        <w:spacing w:after="0" w:line="56"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b w:val="1"/>
          <w:bCs w:val="1"/>
          <w:i w:val="1"/>
          <w:iCs w:val="1"/>
          <w:color w:val="auto"/>
        </w:rPr>
        <w:t xml:space="preserve">Bendix Products </w:t>
      </w:r>
      <w:r>
        <w:rPr>
          <w:rFonts w:ascii="Arial" w:cs="Arial" w:eastAsia="Arial" w:hAnsi="Arial"/>
          <w:sz w:val="16"/>
          <w:szCs w:val="16"/>
          <w:color w:val="auto"/>
        </w:rPr>
        <w:t>– Bendix manufactured automotive brake linings that contained chrysotile asbestos in an encapsulated form. Claimants consist largely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individuals who allege exposure to asbestos from brakes from either performing or being in the vicinity of individuals who performed brake replacements. The following tables present information regarding Bendix-related asbestos claims activity:</w:t>
      </w:r>
    </w:p>
    <w:p>
      <w:pPr>
        <w:spacing w:after="0" w:line="115" w:lineRule="exact"/>
        <w:rPr>
          <w:sz w:val="20"/>
          <w:szCs w:val="20"/>
          <w:color w:val="auto"/>
        </w:rPr>
      </w:pPr>
    </w:p>
    <w:p>
      <w:pPr>
        <w:jc w:val="center"/>
        <w:ind w:left="9460"/>
        <w:spacing w:after="0"/>
        <w:rPr>
          <w:sz w:val="20"/>
          <w:szCs w:val="20"/>
          <w:color w:val="auto"/>
        </w:rPr>
      </w:pPr>
      <w:r>
        <w:rPr>
          <w:rFonts w:ascii="Arial" w:cs="Arial" w:eastAsia="Arial" w:hAnsi="Arial"/>
          <w:sz w:val="14"/>
          <w:szCs w:val="14"/>
          <w:b w:val="1"/>
          <w:bCs w:val="1"/>
          <w:color w:val="auto"/>
        </w:rPr>
        <w:t>Years Ended December</w:t>
      </w:r>
    </w:p>
    <w:p>
      <w:pPr>
        <w:spacing w:after="0" w:line="29" w:lineRule="exact"/>
        <w:rPr>
          <w:sz w:val="20"/>
          <w:szCs w:val="20"/>
          <w:color w:val="auto"/>
        </w:rPr>
      </w:pPr>
    </w:p>
    <w:p>
      <w:pPr>
        <w:jc w:val="center"/>
        <w:ind w:left="9460"/>
        <w:spacing w:after="0"/>
        <w:rPr>
          <w:sz w:val="20"/>
          <w:szCs w:val="20"/>
          <w:color w:val="auto"/>
        </w:rPr>
      </w:pPr>
      <w:r>
        <w:rPr>
          <w:rFonts w:ascii="Arial" w:cs="Arial" w:eastAsia="Arial" w:hAnsi="Arial"/>
          <w:sz w:val="14"/>
          <w:szCs w:val="14"/>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6014085</wp:posOffset>
            </wp:positionH>
            <wp:positionV relativeFrom="paragraph">
              <wp:posOffset>23495</wp:posOffset>
            </wp:positionV>
            <wp:extent cx="11226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3">
                      <a:extLst>
                        <a:ext uri="{28A0092B-C50C-407E-A947-70E740481C1C}"/>
                      </a:extLst>
                    </a:blip>
                    <a:srcRect/>
                    <a:stretch>
                      <a:fillRect/>
                    </a:stretch>
                  </pic:blipFill>
                  <pic:spPr bwMode="auto">
                    <a:xfrm>
                      <a:off x="0" y="0"/>
                      <a:ext cx="1122680" cy="8255"/>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948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2024</w:t>
            </w:r>
          </w:p>
        </w:tc>
        <w:tc>
          <w:tcPr>
            <w:tcW w:w="100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2023</w:t>
            </w:r>
          </w:p>
        </w:tc>
      </w:tr>
      <w:tr>
        <w:trPr>
          <w:trHeight w:val="201"/>
        </w:trPr>
        <w:tc>
          <w:tcPr>
            <w:tcW w:w="94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Claims unresolved at the beginning of year</w:t>
            </w:r>
          </w:p>
        </w:tc>
        <w:tc>
          <w:tcPr>
            <w:tcW w:w="760" w:type="dxa"/>
            <w:vAlign w:val="bottom"/>
            <w:tcBorders>
              <w:bottom w:val="single" w:sz="8" w:color="D7282F"/>
            </w:tcBorders>
          </w:tcPr>
          <w:p>
            <w:pPr>
              <w:jc w:val="center"/>
              <w:ind w:left="208"/>
              <w:spacing w:after="0"/>
              <w:rPr>
                <w:sz w:val="20"/>
                <w:szCs w:val="20"/>
                <w:color w:val="auto"/>
              </w:rPr>
            </w:pPr>
            <w:r>
              <w:rPr>
                <w:rFonts w:ascii="Arial" w:cs="Arial" w:eastAsia="Arial" w:hAnsi="Arial"/>
                <w:sz w:val="14"/>
                <w:szCs w:val="14"/>
                <w:b w:val="1"/>
                <w:bCs w:val="1"/>
                <w:color w:val="auto"/>
              </w:rPr>
              <w:t>5,517</w:t>
            </w:r>
          </w:p>
        </w:tc>
        <w:tc>
          <w:tcPr>
            <w:tcW w:w="1000" w:type="dxa"/>
            <w:vAlign w:val="bottom"/>
            <w:tcBorders>
              <w:bottom w:val="single" w:sz="8" w:color="D7282F"/>
            </w:tcBorders>
          </w:tcPr>
          <w:p>
            <w:pPr>
              <w:jc w:val="center"/>
              <w:ind w:left="448"/>
              <w:spacing w:after="0"/>
              <w:rPr>
                <w:sz w:val="20"/>
                <w:szCs w:val="20"/>
                <w:color w:val="auto"/>
              </w:rPr>
            </w:pPr>
            <w:r>
              <w:rPr>
                <w:rFonts w:ascii="Arial" w:cs="Arial" w:eastAsia="Arial" w:hAnsi="Arial"/>
                <w:sz w:val="14"/>
                <w:szCs w:val="14"/>
                <w:b w:val="1"/>
                <w:bCs w:val="1"/>
                <w:color w:val="auto"/>
              </w:rPr>
              <w:t>5,608</w:t>
            </w:r>
          </w:p>
        </w:tc>
      </w:tr>
      <w:tr>
        <w:trPr>
          <w:trHeight w:val="193"/>
        </w:trPr>
        <w:tc>
          <w:tcPr>
            <w:tcW w:w="94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Claims filed</w:t>
            </w:r>
          </w:p>
        </w:tc>
        <w:tc>
          <w:tcPr>
            <w:tcW w:w="760" w:type="dxa"/>
            <w:vAlign w:val="bottom"/>
            <w:tcBorders>
              <w:bottom w:val="single" w:sz="8" w:color="61656A"/>
            </w:tcBorders>
          </w:tcPr>
          <w:p>
            <w:pPr>
              <w:jc w:val="center"/>
              <w:ind w:left="208"/>
              <w:spacing w:after="0"/>
              <w:rPr>
                <w:sz w:val="20"/>
                <w:szCs w:val="20"/>
                <w:color w:val="auto"/>
              </w:rPr>
            </w:pPr>
            <w:r>
              <w:rPr>
                <w:rFonts w:ascii="Arial" w:cs="Arial" w:eastAsia="Arial" w:hAnsi="Arial"/>
                <w:sz w:val="14"/>
                <w:szCs w:val="14"/>
                <w:color w:val="auto"/>
              </w:rPr>
              <w:t>1,617</w:t>
            </w:r>
          </w:p>
        </w:tc>
        <w:tc>
          <w:tcPr>
            <w:tcW w:w="1000" w:type="dxa"/>
            <w:vAlign w:val="bottom"/>
            <w:tcBorders>
              <w:bottom w:val="single" w:sz="8" w:color="61656A"/>
            </w:tcBorders>
          </w:tcPr>
          <w:p>
            <w:pPr>
              <w:jc w:val="center"/>
              <w:ind w:left="448"/>
              <w:spacing w:after="0"/>
              <w:rPr>
                <w:sz w:val="20"/>
                <w:szCs w:val="20"/>
                <w:color w:val="auto"/>
              </w:rPr>
            </w:pPr>
            <w:r>
              <w:rPr>
                <w:rFonts w:ascii="Arial" w:cs="Arial" w:eastAsia="Arial" w:hAnsi="Arial"/>
                <w:sz w:val="14"/>
                <w:szCs w:val="14"/>
                <w:color w:val="auto"/>
              </w:rPr>
              <w:t>1,803</w:t>
            </w:r>
          </w:p>
        </w:tc>
      </w:tr>
      <w:tr>
        <w:trPr>
          <w:trHeight w:val="196"/>
        </w:trPr>
        <w:tc>
          <w:tcPr>
            <w:tcW w:w="948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Claims resolved</w:t>
            </w:r>
          </w:p>
        </w:tc>
        <w:tc>
          <w:tcPr>
            <w:tcW w:w="760" w:type="dxa"/>
            <w:vAlign w:val="bottom"/>
            <w:tcBorders>
              <w:bottom w:val="single" w:sz="8" w:color="D7282F"/>
            </w:tcBorders>
          </w:tcPr>
          <w:p>
            <w:pPr>
              <w:jc w:val="center"/>
              <w:ind w:left="188"/>
              <w:spacing w:after="0"/>
              <w:rPr>
                <w:sz w:val="20"/>
                <w:szCs w:val="20"/>
                <w:color w:val="auto"/>
              </w:rPr>
            </w:pPr>
            <w:r>
              <w:rPr>
                <w:rFonts w:ascii="Arial" w:cs="Arial" w:eastAsia="Arial" w:hAnsi="Arial"/>
                <w:sz w:val="14"/>
                <w:szCs w:val="14"/>
                <w:color w:val="auto"/>
              </w:rPr>
              <w:t>(2,184)</w:t>
            </w:r>
          </w:p>
        </w:tc>
        <w:tc>
          <w:tcPr>
            <w:tcW w:w="1000" w:type="dxa"/>
            <w:vAlign w:val="bottom"/>
            <w:tcBorders>
              <w:bottom w:val="single" w:sz="8" w:color="D7282F"/>
            </w:tcBorders>
          </w:tcPr>
          <w:p>
            <w:pPr>
              <w:jc w:val="center"/>
              <w:ind w:left="428"/>
              <w:spacing w:after="0"/>
              <w:rPr>
                <w:sz w:val="20"/>
                <w:szCs w:val="20"/>
                <w:color w:val="auto"/>
              </w:rPr>
            </w:pPr>
            <w:r>
              <w:rPr>
                <w:rFonts w:ascii="Arial" w:cs="Arial" w:eastAsia="Arial" w:hAnsi="Arial"/>
                <w:sz w:val="14"/>
                <w:szCs w:val="14"/>
                <w:color w:val="auto"/>
              </w:rPr>
              <w:t>(1,894)</w:t>
            </w:r>
          </w:p>
        </w:tc>
      </w:tr>
      <w:tr>
        <w:trPr>
          <w:trHeight w:val="199"/>
        </w:trPr>
        <w:tc>
          <w:tcPr>
            <w:tcW w:w="94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Claims unresolved at the end of year</w:t>
            </w:r>
          </w:p>
        </w:tc>
        <w:tc>
          <w:tcPr>
            <w:tcW w:w="760" w:type="dxa"/>
            <w:vAlign w:val="bottom"/>
            <w:tcBorders>
              <w:bottom w:val="single" w:sz="8" w:color="D7282F"/>
            </w:tcBorders>
          </w:tcPr>
          <w:p>
            <w:pPr>
              <w:jc w:val="center"/>
              <w:ind w:left="208"/>
              <w:spacing w:after="0"/>
              <w:rPr>
                <w:sz w:val="20"/>
                <w:szCs w:val="20"/>
                <w:color w:val="auto"/>
              </w:rPr>
            </w:pPr>
            <w:r>
              <w:rPr>
                <w:rFonts w:ascii="Arial" w:cs="Arial" w:eastAsia="Arial" w:hAnsi="Arial"/>
                <w:sz w:val="14"/>
                <w:szCs w:val="14"/>
                <w:b w:val="1"/>
                <w:bCs w:val="1"/>
                <w:color w:val="auto"/>
              </w:rPr>
              <w:t>4,950</w:t>
            </w:r>
          </w:p>
        </w:tc>
        <w:tc>
          <w:tcPr>
            <w:tcW w:w="1000" w:type="dxa"/>
            <w:vAlign w:val="bottom"/>
            <w:tcBorders>
              <w:bottom w:val="single" w:sz="8" w:color="D7282F"/>
            </w:tcBorders>
          </w:tcPr>
          <w:p>
            <w:pPr>
              <w:jc w:val="center"/>
              <w:ind w:left="448"/>
              <w:spacing w:after="0"/>
              <w:rPr>
                <w:sz w:val="20"/>
                <w:szCs w:val="20"/>
                <w:color w:val="auto"/>
              </w:rPr>
            </w:pPr>
            <w:r>
              <w:rPr>
                <w:rFonts w:ascii="Arial" w:cs="Arial" w:eastAsia="Arial" w:hAnsi="Arial"/>
                <w:sz w:val="14"/>
                <w:szCs w:val="14"/>
                <w:b w:val="1"/>
                <w:bCs w:val="1"/>
                <w:color w:val="auto"/>
              </w:rPr>
              <w:t>5,517</w:t>
            </w:r>
          </w:p>
        </w:tc>
      </w:tr>
      <w:tr>
        <w:trPr>
          <w:trHeight w:val="417"/>
        </w:trPr>
        <w:tc>
          <w:tcPr>
            <w:tcW w:w="9480" w:type="dxa"/>
            <w:vAlign w:val="bottom"/>
          </w:tcPr>
          <w:p>
            <w:pPr>
              <w:spacing w:after="0"/>
              <w:rPr>
                <w:sz w:val="24"/>
                <w:szCs w:val="24"/>
                <w:color w:val="auto"/>
              </w:rPr>
            </w:pPr>
          </w:p>
        </w:tc>
        <w:tc>
          <w:tcPr>
            <w:tcW w:w="176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Years Ended December</w:t>
            </w:r>
          </w:p>
        </w:tc>
      </w:tr>
      <w:tr>
        <w:trPr>
          <w:trHeight w:val="205"/>
        </w:trPr>
        <w:tc>
          <w:tcPr>
            <w:tcW w:w="9480" w:type="dxa"/>
            <w:vAlign w:val="bottom"/>
          </w:tcPr>
          <w:p>
            <w:pPr>
              <w:spacing w:after="0"/>
              <w:rPr>
                <w:sz w:val="17"/>
                <w:szCs w:val="17"/>
                <w:color w:val="auto"/>
              </w:rPr>
            </w:pPr>
          </w:p>
        </w:tc>
        <w:tc>
          <w:tcPr>
            <w:tcW w:w="760" w:type="dxa"/>
            <w:vAlign w:val="bottom"/>
            <w:tcBorders>
              <w:bottom w:val="single" w:sz="8" w:color="D7282F"/>
            </w:tcBorders>
          </w:tcPr>
          <w:p>
            <w:pPr>
              <w:spacing w:after="0"/>
              <w:rPr>
                <w:sz w:val="17"/>
                <w:szCs w:val="17"/>
                <w:color w:val="auto"/>
              </w:rPr>
            </w:pPr>
          </w:p>
        </w:tc>
        <w:tc>
          <w:tcPr>
            <w:tcW w:w="1000" w:type="dxa"/>
            <w:vAlign w:val="bottom"/>
            <w:tcBorders>
              <w:bottom w:val="single" w:sz="8" w:color="D7282F"/>
            </w:tcBorders>
          </w:tcPr>
          <w:p>
            <w:pPr>
              <w:jc w:val="right"/>
              <w:ind w:right="708"/>
              <w:spacing w:after="0"/>
              <w:rPr>
                <w:sz w:val="20"/>
                <w:szCs w:val="20"/>
                <w:color w:val="auto"/>
              </w:rPr>
            </w:pPr>
            <w:r>
              <w:rPr>
                <w:rFonts w:ascii="Arial" w:cs="Arial" w:eastAsia="Arial" w:hAnsi="Arial"/>
                <w:sz w:val="14"/>
                <w:szCs w:val="14"/>
                <w:b w:val="1"/>
                <w:bCs w:val="1"/>
                <w:color w:val="auto"/>
              </w:rPr>
              <w:t>31,</w:t>
            </w:r>
          </w:p>
        </w:tc>
      </w:tr>
      <w:tr>
        <w:trPr>
          <w:trHeight w:val="236"/>
        </w:trPr>
        <w:tc>
          <w:tcPr>
            <w:tcW w:w="94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Disease Distribution of Unresolved Claims</w:t>
            </w:r>
          </w:p>
        </w:tc>
        <w:tc>
          <w:tcPr>
            <w:tcW w:w="76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2024</w:t>
            </w:r>
          </w:p>
        </w:tc>
        <w:tc>
          <w:tcPr>
            <w:tcW w:w="100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2023</w:t>
            </w:r>
          </w:p>
        </w:tc>
      </w:tr>
      <w:tr>
        <w:trPr>
          <w:trHeight w:val="198"/>
        </w:trPr>
        <w:tc>
          <w:tcPr>
            <w:tcW w:w="9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Mesothelioma and other cancer claims</w:t>
            </w:r>
          </w:p>
        </w:tc>
        <w:tc>
          <w:tcPr>
            <w:tcW w:w="760" w:type="dxa"/>
            <w:vAlign w:val="bottom"/>
            <w:tcBorders>
              <w:bottom w:val="single" w:sz="8" w:color="61656A"/>
            </w:tcBorders>
          </w:tcPr>
          <w:p>
            <w:pPr>
              <w:jc w:val="center"/>
              <w:ind w:left="208"/>
              <w:spacing w:after="0"/>
              <w:rPr>
                <w:sz w:val="20"/>
                <w:szCs w:val="20"/>
                <w:color w:val="auto"/>
              </w:rPr>
            </w:pPr>
            <w:r>
              <w:rPr>
                <w:rFonts w:ascii="Arial" w:cs="Arial" w:eastAsia="Arial" w:hAnsi="Arial"/>
                <w:sz w:val="14"/>
                <w:szCs w:val="14"/>
                <w:color w:val="auto"/>
              </w:rPr>
              <w:t>2,923</w:t>
            </w:r>
          </w:p>
        </w:tc>
        <w:tc>
          <w:tcPr>
            <w:tcW w:w="1000" w:type="dxa"/>
            <w:vAlign w:val="bottom"/>
            <w:tcBorders>
              <w:bottom w:val="single" w:sz="8" w:color="61656A"/>
            </w:tcBorders>
          </w:tcPr>
          <w:p>
            <w:pPr>
              <w:jc w:val="center"/>
              <w:ind w:left="448"/>
              <w:spacing w:after="0"/>
              <w:rPr>
                <w:sz w:val="20"/>
                <w:szCs w:val="20"/>
                <w:color w:val="auto"/>
              </w:rPr>
            </w:pPr>
            <w:r>
              <w:rPr>
                <w:rFonts w:ascii="Arial" w:cs="Arial" w:eastAsia="Arial" w:hAnsi="Arial"/>
                <w:sz w:val="14"/>
                <w:szCs w:val="14"/>
                <w:color w:val="auto"/>
              </w:rPr>
              <w:t>3,244</w:t>
            </w:r>
          </w:p>
        </w:tc>
      </w:tr>
      <w:tr>
        <w:trPr>
          <w:trHeight w:val="196"/>
        </w:trPr>
        <w:tc>
          <w:tcPr>
            <w:tcW w:w="94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Nonmalignant claims</w:t>
            </w:r>
          </w:p>
        </w:tc>
        <w:tc>
          <w:tcPr>
            <w:tcW w:w="760" w:type="dxa"/>
            <w:vAlign w:val="bottom"/>
            <w:tcBorders>
              <w:bottom w:val="single" w:sz="8" w:color="D7282F"/>
            </w:tcBorders>
          </w:tcPr>
          <w:p>
            <w:pPr>
              <w:jc w:val="center"/>
              <w:ind w:left="208"/>
              <w:spacing w:after="0"/>
              <w:rPr>
                <w:sz w:val="20"/>
                <w:szCs w:val="20"/>
                <w:color w:val="auto"/>
              </w:rPr>
            </w:pPr>
            <w:r>
              <w:rPr>
                <w:rFonts w:ascii="Arial" w:cs="Arial" w:eastAsia="Arial" w:hAnsi="Arial"/>
                <w:sz w:val="14"/>
                <w:szCs w:val="14"/>
                <w:color w:val="auto"/>
              </w:rPr>
              <w:t>2,027</w:t>
            </w:r>
          </w:p>
        </w:tc>
        <w:tc>
          <w:tcPr>
            <w:tcW w:w="1000" w:type="dxa"/>
            <w:vAlign w:val="bottom"/>
            <w:tcBorders>
              <w:bottom w:val="single" w:sz="8" w:color="D7282F"/>
            </w:tcBorders>
          </w:tcPr>
          <w:p>
            <w:pPr>
              <w:jc w:val="center"/>
              <w:ind w:left="448"/>
              <w:spacing w:after="0"/>
              <w:rPr>
                <w:sz w:val="20"/>
                <w:szCs w:val="20"/>
                <w:color w:val="auto"/>
              </w:rPr>
            </w:pPr>
            <w:r>
              <w:rPr>
                <w:rFonts w:ascii="Arial" w:cs="Arial" w:eastAsia="Arial" w:hAnsi="Arial"/>
                <w:sz w:val="14"/>
                <w:szCs w:val="14"/>
                <w:color w:val="auto"/>
              </w:rPr>
              <w:t>2,273</w:t>
            </w:r>
          </w:p>
        </w:tc>
      </w:tr>
      <w:tr>
        <w:trPr>
          <w:trHeight w:val="199"/>
        </w:trPr>
        <w:tc>
          <w:tcPr>
            <w:tcW w:w="948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claims</w:t>
            </w:r>
          </w:p>
        </w:tc>
        <w:tc>
          <w:tcPr>
            <w:tcW w:w="760" w:type="dxa"/>
            <w:vAlign w:val="bottom"/>
            <w:tcBorders>
              <w:bottom w:val="single" w:sz="8" w:color="D7282F"/>
            </w:tcBorders>
          </w:tcPr>
          <w:p>
            <w:pPr>
              <w:jc w:val="center"/>
              <w:ind w:left="208"/>
              <w:spacing w:after="0"/>
              <w:rPr>
                <w:sz w:val="20"/>
                <w:szCs w:val="20"/>
                <w:color w:val="auto"/>
              </w:rPr>
            </w:pPr>
            <w:r>
              <w:rPr>
                <w:rFonts w:ascii="Arial" w:cs="Arial" w:eastAsia="Arial" w:hAnsi="Arial"/>
                <w:sz w:val="14"/>
                <w:szCs w:val="14"/>
                <w:b w:val="1"/>
                <w:bCs w:val="1"/>
                <w:color w:val="auto"/>
              </w:rPr>
              <w:t>4,950</w:t>
            </w:r>
          </w:p>
        </w:tc>
        <w:tc>
          <w:tcPr>
            <w:tcW w:w="1000" w:type="dxa"/>
            <w:vAlign w:val="bottom"/>
            <w:tcBorders>
              <w:bottom w:val="single" w:sz="8" w:color="D7282F"/>
            </w:tcBorders>
          </w:tcPr>
          <w:p>
            <w:pPr>
              <w:jc w:val="center"/>
              <w:ind w:left="448"/>
              <w:spacing w:after="0"/>
              <w:rPr>
                <w:sz w:val="20"/>
                <w:szCs w:val="20"/>
                <w:color w:val="auto"/>
              </w:rPr>
            </w:pPr>
            <w:r>
              <w:rPr>
                <w:rFonts w:ascii="Arial" w:cs="Arial" w:eastAsia="Arial" w:hAnsi="Arial"/>
                <w:sz w:val="14"/>
                <w:szCs w:val="14"/>
                <w:b w:val="1"/>
                <w:bCs w:val="1"/>
                <w:color w:val="auto"/>
              </w:rPr>
              <w:t>5,517</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Honeywell has experienced average resolution values per claim excluding legal costs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480" w:type="dxa"/>
            <w:vAlign w:val="bottom"/>
          </w:tcPr>
          <w:p>
            <w:pPr>
              <w:spacing w:after="0"/>
              <w:rPr>
                <w:sz w:val="17"/>
                <w:szCs w:val="17"/>
                <w:color w:val="auto"/>
              </w:rPr>
            </w:pPr>
          </w:p>
        </w:tc>
        <w:tc>
          <w:tcPr>
            <w:tcW w:w="860" w:type="dxa"/>
            <w:vAlign w:val="bottom"/>
            <w:tcBorders>
              <w:bottom w:val="single" w:sz="8" w:color="D7282F"/>
            </w:tcBorders>
          </w:tcPr>
          <w:p>
            <w:pPr>
              <w:spacing w:after="0"/>
              <w:rPr>
                <w:sz w:val="17"/>
                <w:szCs w:val="17"/>
                <w:color w:val="auto"/>
              </w:rPr>
            </w:pPr>
          </w:p>
        </w:tc>
        <w:tc>
          <w:tcPr>
            <w:tcW w:w="3000" w:type="dxa"/>
            <w:vAlign w:val="bottom"/>
            <w:tcBorders>
              <w:bottom w:val="single" w:sz="8" w:color="D7282F"/>
            </w:tcBorders>
            <w:gridSpan w:val="3"/>
          </w:tcPr>
          <w:p>
            <w:pPr>
              <w:jc w:val="center"/>
              <w:spacing w:after="0"/>
              <w:rPr>
                <w:sz w:val="20"/>
                <w:szCs w:val="20"/>
                <w:color w:val="auto"/>
              </w:rPr>
            </w:pPr>
            <w:r>
              <w:rPr>
                <w:rFonts w:ascii="Arial" w:cs="Arial" w:eastAsia="Arial" w:hAnsi="Arial"/>
                <w:sz w:val="14"/>
                <w:szCs w:val="14"/>
                <w:b w:val="1"/>
                <w:bCs w:val="1"/>
                <w:color w:val="auto"/>
              </w:rPr>
              <w:t>Years Ended December 31,</w:t>
            </w:r>
          </w:p>
        </w:tc>
        <w:tc>
          <w:tcPr>
            <w:tcW w:w="900" w:type="dxa"/>
            <w:vAlign w:val="bottom"/>
            <w:tcBorders>
              <w:bottom w:val="single" w:sz="8" w:color="D7282F"/>
            </w:tcBorders>
          </w:tcPr>
          <w:p>
            <w:pPr>
              <w:spacing w:after="0"/>
              <w:rPr>
                <w:sz w:val="17"/>
                <w:szCs w:val="17"/>
                <w:color w:val="auto"/>
              </w:rPr>
            </w:pPr>
          </w:p>
        </w:tc>
      </w:tr>
      <w:tr>
        <w:trPr>
          <w:trHeight w:val="236"/>
        </w:trPr>
        <w:tc>
          <w:tcPr>
            <w:tcW w:w="6480" w:type="dxa"/>
            <w:vAlign w:val="bottom"/>
          </w:tcPr>
          <w:p>
            <w:pPr>
              <w:spacing w:after="0"/>
              <w:rPr>
                <w:sz w:val="20"/>
                <w:szCs w:val="20"/>
                <w:color w:val="auto"/>
              </w:rPr>
            </w:pPr>
          </w:p>
        </w:tc>
        <w:tc>
          <w:tcPr>
            <w:tcW w:w="860" w:type="dxa"/>
            <w:vAlign w:val="bottom"/>
            <w:tcBorders>
              <w:bottom w:val="single" w:sz="8" w:color="D7282F"/>
            </w:tcBorders>
          </w:tcPr>
          <w:p>
            <w:pPr>
              <w:jc w:val="right"/>
              <w:ind w:right="248"/>
              <w:spacing w:after="0"/>
              <w:rPr>
                <w:sz w:val="20"/>
                <w:szCs w:val="20"/>
                <w:color w:val="auto"/>
              </w:rPr>
            </w:pPr>
            <w:r>
              <w:rPr>
                <w:rFonts w:ascii="Arial" w:cs="Arial" w:eastAsia="Arial" w:hAnsi="Arial"/>
                <w:sz w:val="14"/>
                <w:szCs w:val="14"/>
                <w:b w:val="1"/>
                <w:bCs w:val="1"/>
                <w:color w:val="auto"/>
              </w:rPr>
              <w:t>2024</w:t>
            </w:r>
          </w:p>
        </w:tc>
        <w:tc>
          <w:tcPr>
            <w:tcW w:w="880" w:type="dxa"/>
            <w:vAlign w:val="bottom"/>
            <w:tcBorders>
              <w:bottom w:val="single" w:sz="8" w:color="D7282F"/>
            </w:tcBorders>
          </w:tcPr>
          <w:p>
            <w:pPr>
              <w:jc w:val="right"/>
              <w:ind w:right="128"/>
              <w:spacing w:after="0"/>
              <w:rPr>
                <w:sz w:val="20"/>
                <w:szCs w:val="20"/>
                <w:color w:val="auto"/>
              </w:rPr>
            </w:pPr>
            <w:r>
              <w:rPr>
                <w:rFonts w:ascii="Arial" w:cs="Arial" w:eastAsia="Arial" w:hAnsi="Arial"/>
                <w:sz w:val="14"/>
                <w:szCs w:val="14"/>
                <w:b w:val="1"/>
                <w:bCs w:val="1"/>
                <w:color w:val="auto"/>
              </w:rPr>
              <w:t>2023</w:t>
            </w:r>
          </w:p>
        </w:tc>
        <w:tc>
          <w:tcPr>
            <w:tcW w:w="1240" w:type="dxa"/>
            <w:vAlign w:val="bottom"/>
            <w:tcBorders>
              <w:bottom w:val="single" w:sz="8" w:color="D7282F"/>
            </w:tcBorders>
          </w:tcPr>
          <w:p>
            <w:pPr>
              <w:jc w:val="center"/>
              <w:spacing w:after="0"/>
              <w:rPr>
                <w:sz w:val="20"/>
                <w:szCs w:val="20"/>
                <w:color w:val="auto"/>
              </w:rPr>
            </w:pPr>
            <w:r>
              <w:rPr>
                <w:rFonts w:ascii="Arial" w:cs="Arial" w:eastAsia="Arial" w:hAnsi="Arial"/>
                <w:sz w:val="14"/>
                <w:szCs w:val="14"/>
                <w:b w:val="1"/>
                <w:bCs w:val="1"/>
                <w:color w:val="auto"/>
              </w:rPr>
              <w:t>2022</w:t>
            </w:r>
          </w:p>
        </w:tc>
        <w:tc>
          <w:tcPr>
            <w:tcW w:w="880" w:type="dxa"/>
            <w:vAlign w:val="bottom"/>
            <w:tcBorders>
              <w:bottom w:val="single" w:sz="8" w:color="D7282F"/>
            </w:tcBorders>
          </w:tcPr>
          <w:p>
            <w:pPr>
              <w:jc w:val="right"/>
              <w:ind w:right="248"/>
              <w:spacing w:after="0"/>
              <w:rPr>
                <w:sz w:val="20"/>
                <w:szCs w:val="20"/>
                <w:color w:val="auto"/>
              </w:rPr>
            </w:pPr>
            <w:r>
              <w:rPr>
                <w:rFonts w:ascii="Arial" w:cs="Arial" w:eastAsia="Arial" w:hAnsi="Arial"/>
                <w:sz w:val="14"/>
                <w:szCs w:val="14"/>
                <w:b w:val="1"/>
                <w:bCs w:val="1"/>
                <w:color w:val="auto"/>
              </w:rPr>
              <w:t>2021</w:t>
            </w:r>
          </w:p>
        </w:tc>
        <w:tc>
          <w:tcPr>
            <w:tcW w:w="90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2020</w:t>
            </w:r>
          </w:p>
        </w:tc>
      </w:tr>
      <w:tr>
        <w:trPr>
          <w:trHeight w:val="202"/>
        </w:trPr>
        <w:tc>
          <w:tcPr>
            <w:tcW w:w="6480" w:type="dxa"/>
            <w:vAlign w:val="bottom"/>
            <w:tcBorders>
              <w:bottom w:val="single" w:sz="8" w:color="D7282F"/>
            </w:tcBorders>
          </w:tcPr>
          <w:p>
            <w:pPr>
              <w:spacing w:after="0"/>
              <w:rPr>
                <w:sz w:val="17"/>
                <w:szCs w:val="17"/>
                <w:color w:val="auto"/>
              </w:rPr>
            </w:pPr>
          </w:p>
        </w:tc>
        <w:tc>
          <w:tcPr>
            <w:tcW w:w="860" w:type="dxa"/>
            <w:vAlign w:val="bottom"/>
            <w:tcBorders>
              <w:bottom w:val="single" w:sz="8" w:color="D7282F"/>
            </w:tcBorders>
          </w:tcPr>
          <w:p>
            <w:pPr>
              <w:spacing w:after="0"/>
              <w:rPr>
                <w:sz w:val="17"/>
                <w:szCs w:val="17"/>
                <w:color w:val="auto"/>
              </w:rPr>
            </w:pPr>
          </w:p>
        </w:tc>
        <w:tc>
          <w:tcPr>
            <w:tcW w:w="880" w:type="dxa"/>
            <w:vAlign w:val="bottom"/>
            <w:tcBorders>
              <w:bottom w:val="single" w:sz="8" w:color="D7282F"/>
            </w:tcBorders>
          </w:tcPr>
          <w:p>
            <w:pPr>
              <w:spacing w:after="0"/>
              <w:rPr>
                <w:sz w:val="17"/>
                <w:szCs w:val="17"/>
                <w:color w:val="auto"/>
              </w:rPr>
            </w:pPr>
          </w:p>
        </w:tc>
        <w:tc>
          <w:tcPr>
            <w:tcW w:w="1240" w:type="dxa"/>
            <w:vAlign w:val="bottom"/>
            <w:tcBorders>
              <w:bottom w:val="single" w:sz="8" w:color="D7282F"/>
            </w:tcBorders>
          </w:tcPr>
          <w:p>
            <w:pPr>
              <w:jc w:val="center"/>
              <w:spacing w:after="0"/>
              <w:rPr>
                <w:sz w:val="20"/>
                <w:szCs w:val="20"/>
                <w:color w:val="auto"/>
              </w:rPr>
            </w:pPr>
            <w:r>
              <w:rPr>
                <w:rFonts w:ascii="Arial" w:cs="Arial" w:eastAsia="Arial" w:hAnsi="Arial"/>
                <w:sz w:val="14"/>
                <w:szCs w:val="14"/>
                <w:b w:val="1"/>
                <w:bCs w:val="1"/>
                <w:color w:val="auto"/>
              </w:rPr>
              <w:t>(in whole dollars)</w:t>
            </w:r>
          </w:p>
        </w:tc>
        <w:tc>
          <w:tcPr>
            <w:tcW w:w="880" w:type="dxa"/>
            <w:vAlign w:val="bottom"/>
            <w:tcBorders>
              <w:bottom w:val="single" w:sz="8" w:color="D7282F"/>
            </w:tcBorders>
          </w:tcPr>
          <w:p>
            <w:pPr>
              <w:spacing w:after="0"/>
              <w:rPr>
                <w:sz w:val="17"/>
                <w:szCs w:val="17"/>
                <w:color w:val="auto"/>
              </w:rPr>
            </w:pPr>
          </w:p>
        </w:tc>
        <w:tc>
          <w:tcPr>
            <w:tcW w:w="900" w:type="dxa"/>
            <w:vAlign w:val="bottom"/>
            <w:tcBorders>
              <w:bottom w:val="single" w:sz="8" w:color="D7282F"/>
            </w:tcBorders>
          </w:tcPr>
          <w:p>
            <w:pPr>
              <w:spacing w:after="0"/>
              <w:rPr>
                <w:sz w:val="17"/>
                <w:szCs w:val="17"/>
                <w:color w:val="auto"/>
              </w:rPr>
            </w:pPr>
          </w:p>
        </w:tc>
      </w:tr>
      <w:tr>
        <w:trPr>
          <w:trHeight w:val="193"/>
        </w:trPr>
        <w:tc>
          <w:tcPr>
            <w:tcW w:w="6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Mesothelioma and other cancer claims</w:t>
            </w:r>
          </w:p>
        </w:tc>
        <w:tc>
          <w:tcPr>
            <w:tcW w:w="86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  79,900</w:t>
            </w:r>
          </w:p>
        </w:tc>
        <w:tc>
          <w:tcPr>
            <w:tcW w:w="8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  66,200</w:t>
            </w:r>
          </w:p>
        </w:tc>
        <w:tc>
          <w:tcPr>
            <w:tcW w:w="1240" w:type="dxa"/>
            <w:vAlign w:val="bottom"/>
            <w:tcBorders>
              <w:bottom w:val="single" w:sz="8" w:color="61656A"/>
            </w:tcBorders>
          </w:tcPr>
          <w:p>
            <w:pPr>
              <w:jc w:val="right"/>
              <w:ind w:right="208"/>
              <w:spacing w:after="0"/>
              <w:rPr>
                <w:sz w:val="20"/>
                <w:szCs w:val="20"/>
                <w:color w:val="auto"/>
              </w:rPr>
            </w:pPr>
            <w:r>
              <w:rPr>
                <w:rFonts w:ascii="Arial" w:cs="Arial" w:eastAsia="Arial" w:hAnsi="Arial"/>
                <w:sz w:val="14"/>
                <w:szCs w:val="14"/>
                <w:color w:val="auto"/>
              </w:rPr>
              <w:t>$  59,200</w:t>
            </w:r>
          </w:p>
        </w:tc>
        <w:tc>
          <w:tcPr>
            <w:tcW w:w="8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  56,000</w:t>
            </w:r>
          </w:p>
        </w:tc>
        <w:tc>
          <w:tcPr>
            <w:tcW w:w="9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  61,500</w:t>
            </w:r>
          </w:p>
        </w:tc>
      </w:tr>
      <w:tr>
        <w:trPr>
          <w:trHeight w:val="196"/>
        </w:trPr>
        <w:tc>
          <w:tcPr>
            <w:tcW w:w="64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Nonmalignant claims</w:t>
            </w:r>
          </w:p>
        </w:tc>
        <w:tc>
          <w:tcPr>
            <w:tcW w:w="8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1,100</w:t>
            </w:r>
          </w:p>
        </w:tc>
        <w:tc>
          <w:tcPr>
            <w:tcW w:w="8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1,730</w:t>
            </w:r>
          </w:p>
        </w:tc>
        <w:tc>
          <w:tcPr>
            <w:tcW w:w="124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color w:val="auto"/>
              </w:rPr>
              <w:t>520</w:t>
            </w:r>
          </w:p>
        </w:tc>
        <w:tc>
          <w:tcPr>
            <w:tcW w:w="8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400</w:t>
            </w:r>
          </w:p>
        </w:tc>
        <w:tc>
          <w:tcPr>
            <w:tcW w:w="9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550</w:t>
            </w:r>
          </w:p>
        </w:tc>
      </w:tr>
    </w:tbl>
    <w:p>
      <w:pPr>
        <w:spacing w:after="0" w:line="18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Consolidated Financial Statements reflect an estimated liability for resolution of asserted (claims filed as of the financial statement date) and unasserted Bendix-related asbestos claims, which exclude the Company’s ongoing legal fees to defend such asbestos claims which will continue to be expensed as they are incurred.</w:t>
      </w:r>
    </w:p>
    <w:p>
      <w:pPr>
        <w:spacing w:after="0" w:line="5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Company reflects the inclusion of all years of epidemiological disease projection through 2059 when estimating the liability for unasserted Bendix-related asbestos claims. Such liability for unasserted Bendix-related asbestos claims is based on historic and anticipated claims filing experience and dismissal rates, disease classifications, and average resolution values in the tort system over a defined look-back period. The Company historically valued Bendix asserted and unasserted claims using a five-year look-back period. The Company reviews the valuation assumptions and average resolution values used to estimate the cost of Bendix asserted and unasserted claims during the fourth quarter each year.</w:t>
      </w:r>
    </w:p>
    <w:p>
      <w:pPr>
        <w:spacing w:after="0" w:line="200" w:lineRule="exact"/>
        <w:rPr>
          <w:sz w:val="20"/>
          <w:szCs w:val="20"/>
          <w:color w:val="auto"/>
        </w:rPr>
      </w:pPr>
    </w:p>
    <w:p>
      <w:pPr>
        <w:spacing w:after="0" w:line="203" w:lineRule="exact"/>
        <w:rPr>
          <w:sz w:val="20"/>
          <w:szCs w:val="20"/>
          <w:color w:val="auto"/>
        </w:rPr>
      </w:pPr>
    </w:p>
    <w:p>
      <w:pPr>
        <w:ind w:left="400" w:hanging="392"/>
        <w:spacing w:after="0"/>
        <w:tabs>
          <w:tab w:leader="none" w:pos="400" w:val="left"/>
        </w:tabs>
        <w:numPr>
          <w:ilvl w:val="0"/>
          <w:numId w:val="161"/>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00" w:name="page101"/>
    <w:bookmarkEnd w:id="100"/>
    <w:p>
      <w:pPr>
        <w:ind w:left="20"/>
        <w:spacing w:after="0"/>
        <w:tabs>
          <w:tab w:leader="none" w:pos="784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FINANCIAL STATEMENTS AND SUPPLEMENTARY DATA</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29"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Company experienced fluctuations in average resolution values year-over-year in each of the past five years with no well-established trends in either direction. In 2023, the Company observed two consecutive years of increasing average resolution values (2023 and 2022), with more volatility in the earlier years of the five-year period (2019 through 2021). Based on these observations, the Company, during its annual review in the fourth quarter of 2023, reevaluated its valuation methodology and elected to give more weight to the two most recent years by shortening the look-back period from five years to two years (2023 and 2022). The Company believes that the average resolution values in the last two consecutive years are likely more representative of expected resolution values in future periods.</w:t>
      </w:r>
    </w:p>
    <w:p>
      <w:pPr>
        <w:spacing w:after="0" w:line="6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It is not possible to predict whether such resolution values will increase, decrease, or stabilize in the future, given recent litigation trends within the tort system and the inherent uncertainty in predicting the outcome of such trends. The Company will continue to monitor Bendix claim resolution values and other trends within the tort system to assess the appropriate look-back period for determining average resolution values going forward.</w:t>
      </w:r>
    </w:p>
    <w:p>
      <w:pPr>
        <w:spacing w:after="0" w:line="70"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In 2023, the Company recognized a $522 million expense and corresponding adjustment to its estimated liability for Bendix asbestos-related claims. This amount includes $434 million attributable primarily to shortening the look-back period to the two most recent years, and to a lesser extent to increasing expected resolution values for a subset of asserted claims to adjust for higher claim values in that subset than in the modelled two-year data set.</w:t>
      </w:r>
    </w:p>
    <w:p>
      <w:pPr>
        <w:spacing w:after="0" w:line="77"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Company's insurance receivable corresponding to the liability for settlement of asserted and unasserted Bendix asbestos claims reflects coverage which is provided by a large number of insurance policies written by dozens of insurance companies in both the domestic insurance market and the London excess market. Based on the Company's ongoing analysis of the probable insurance recovery, insurance receivables are recorded in the financial statements simultaneous with the recording of the estimated liability for the underlying asbestos claims. This determination is based on the Company's analysis of the underlying insurance policies, historical experience with insurers, ongoing review of the solvency of insurers, judicial determinations relevant to insurance programs, and consideration of the impacts of any settlements reached with the Company's insurers.</w:t>
      </w:r>
    </w:p>
    <w:p>
      <w:pPr>
        <w:spacing w:after="0" w:line="20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SEC MATTER</w:t>
      </w:r>
    </w:p>
    <w:p>
      <w:pPr>
        <w:spacing w:after="0" w:line="12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Company is cooperating with a formal investigation by the SEC which is primarily focused on certain accounting matters with respect to the Company's former Performance Materials and Technologies segment. At this time, the Company does not expect the outcome of this matter to have a material adverse effect on the Company's consolidated results of operations, cash flows, or financial position.</w:t>
      </w:r>
    </w:p>
    <w:p>
      <w:pPr>
        <w:spacing w:after="0" w:line="19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PETROBRAS AND UNAOIL MATTERS</w:t>
      </w:r>
    </w:p>
    <w:p>
      <w:pPr>
        <w:spacing w:after="0" w:line="12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On December 19, 2022, the Company reached a comprehensive resolution to the investigations by the U.S. Department of Justice (DOJ), the SEC, and certain Brazilian authorities (Brazilian Authorities) relating to the Company's use of third parties who previously worked for the Company's UOP business in Brazil in relation to a project awarded in 2010 for Petróleo Brasileiro S.A. (Petrobras). The investigations focused on the Company’s compliance with the U.S. Foreign Corrupt Practices Act and similar Brazilian laws (UOP Matters). The comprehensive resolution also resolves DOJ and SEC investigations relating to a matter involving a foreign subsidiary’s prior contract with Unaoil S.A.M. in Algeria executed in 2011 (the Unaoil Matter).</w:t>
      </w:r>
    </w:p>
    <w:p>
      <w:pPr>
        <w:spacing w:after="0" w:line="64"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 connection with the comprehensive resolution, (i) the Company agreed to pay a total equivalent of $203 million, which payment occurred in January 2023, to the DOJ, the SEC, and the Brazilian Authorities, collectively, in penalties, disgorgement, and prejudgment interest, (ii) the Company’s subsidiary, UOP, LLC (UOP), entered into a three-year Deferred Prosecution Agreement (DPA) with the DOJ for charges related to the UOP Matters, (iii) UOP entered into leniency agreements with the Brazilian Authorities related to the UOP Matter in Brazil, and (iv) the Company entered into an agreement with the SEC that resolves allegations relating to the UOP Matters and the Unaoil Matter. Pursuant to these agreements, the Company agreed to undertake certain compliance measures and compliance reporting obligations. These agreements entirely resolve the Petrobras and Unaoil investigations.</w:t>
      </w:r>
    </w:p>
    <w:p>
      <w:pPr>
        <w:spacing w:after="0" w:line="20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OTHER MATTERS</w:t>
      </w:r>
    </w:p>
    <w:p>
      <w:pPr>
        <w:spacing w:after="0" w:line="14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Company is subject to a number of other lawsuits, investigations, and disputes (some of which involve substantial amounts claimed) arising out of the conduct of the Company's business, including matters relating to commercial transactions, government contracts, product liability, prior acquisitions and divestitures, employee benefit plans, intellectual property, and environmental, health, and safety matters. The Company recognizes liabilities for any contingency that is probable of occurrence and reasonably estimable. The Company continually assesses the likelihood of adverse judgments or outcomes in such matters, as well as potential ranges of probable losses (taking into consideration any insurance recoveries), based on a careful analysis of each matter with the assistance of outside legal counsel and, if applicable, other experts.</w:t>
      </w:r>
    </w:p>
    <w:p>
      <w:pPr>
        <w:spacing w:after="0" w:line="200" w:lineRule="exact"/>
        <w:rPr>
          <w:sz w:val="20"/>
          <w:szCs w:val="20"/>
          <w:color w:val="auto"/>
        </w:rPr>
      </w:pPr>
    </w:p>
    <w:p>
      <w:pPr>
        <w:spacing w:after="0" w:line="208" w:lineRule="exact"/>
        <w:rPr>
          <w:sz w:val="20"/>
          <w:szCs w:val="20"/>
          <w:color w:val="auto"/>
        </w:rPr>
      </w:pPr>
    </w:p>
    <w:p>
      <w:pPr>
        <w:ind w:left="400" w:hanging="392"/>
        <w:spacing w:after="0"/>
        <w:tabs>
          <w:tab w:leader="none" w:pos="400" w:val="left"/>
        </w:tabs>
        <w:numPr>
          <w:ilvl w:val="0"/>
          <w:numId w:val="162"/>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01" w:name="page102"/>
    <w:bookmarkEnd w:id="101"/>
    <w:p>
      <w:pPr>
        <w:ind w:left="20"/>
        <w:spacing w:after="0"/>
        <w:tabs>
          <w:tab w:leader="none" w:pos="784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FINANCIAL STATEMENTS AND SUPPLEMENTARY DATA</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2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Given the uncertainty inherent in litigation and investigations, including those discussed in this Note 19, the Company cannot predict when or how these matters will be resolved and does not believe it is possible to develop estimates of reasonably possible loss (or a range of possible loss) in excess of current accruals for commitment and contingency matters. Considering the Company's past experience and existing accruals, the Company does not expect the outcome of such matters, either individually or in the aggregate, to have a material adverse effect on the Company's consolidated financial position. Because most contingencies are resolved over long periods of time, potential liabilities are subject to change due to new developments, changes in settlement strategy or the impact of evidentiary requirements, which could cause the Company to pay damage awards or settlements (or become subject to equitable remedies) that could have a material adverse effect on the Company's consolidated results of operations or operating cash flows in the periods recognized or paid.</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WARRANTIES AND GUARANTEES</w:t>
      </w:r>
    </w:p>
    <w:p>
      <w:pPr>
        <w:spacing w:after="0" w:line="12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the normal course of business, the Company issues product warranties and product performance guarantees. The Company accrues for the estimated cost of product warranties and performance guarantees based on contract terms and historical experience at the time of sale. Adjustments to initial obligations for warranties and guarantees are made as changes to the obligations become reasonably estimable. The following table summarizes information concerning the Company's recorded obligations for product warranties and product performance guarantees: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480" w:type="dxa"/>
            <w:vAlign w:val="bottom"/>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2600" w:type="dxa"/>
            <w:vAlign w:val="bottom"/>
            <w:tcBorders>
              <w:bottom w:val="single" w:sz="8" w:color="D7282F"/>
            </w:tcBorders>
            <w:gridSpan w:val="5"/>
          </w:tcPr>
          <w:p>
            <w:pPr>
              <w:jc w:val="right"/>
              <w:ind w:right="388"/>
              <w:spacing w:after="0"/>
              <w:rPr>
                <w:sz w:val="20"/>
                <w:szCs w:val="20"/>
                <w:color w:val="auto"/>
              </w:rPr>
            </w:pPr>
            <w:r>
              <w:rPr>
                <w:rFonts w:ascii="Arial" w:cs="Arial" w:eastAsia="Arial" w:hAnsi="Arial"/>
                <w:sz w:val="14"/>
                <w:szCs w:val="14"/>
                <w:b w:val="1"/>
                <w:bCs w:val="1"/>
                <w:color w:val="auto"/>
              </w:rPr>
              <w:t>Years Ended December 31,</w:t>
            </w:r>
          </w:p>
        </w:tc>
      </w:tr>
      <w:tr>
        <w:trPr>
          <w:trHeight w:val="236"/>
        </w:trPr>
        <w:tc>
          <w:tcPr>
            <w:tcW w:w="8480" w:type="dxa"/>
            <w:vAlign w:val="bottom"/>
            <w:tcBorders>
              <w:bottom w:val="single" w:sz="8" w:color="D7282F"/>
            </w:tcBorders>
          </w:tcPr>
          <w:p>
            <w:pPr>
              <w:spacing w:after="0"/>
              <w:rPr>
                <w:sz w:val="20"/>
                <w:szCs w:val="20"/>
                <w:color w:val="auto"/>
              </w:rPr>
            </w:pPr>
          </w:p>
        </w:tc>
        <w:tc>
          <w:tcPr>
            <w:tcW w:w="160" w:type="dxa"/>
            <w:vAlign w:val="bottom"/>
            <w:tcBorders>
              <w:bottom w:val="single" w:sz="8" w:color="D7282F"/>
            </w:tcBorders>
          </w:tcPr>
          <w:p>
            <w:pPr>
              <w:spacing w:after="0"/>
              <w:rPr>
                <w:sz w:val="20"/>
                <w:szCs w:val="20"/>
                <w:color w:val="auto"/>
              </w:rPr>
            </w:pPr>
          </w:p>
        </w:tc>
        <w:tc>
          <w:tcPr>
            <w:tcW w:w="72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2024</w:t>
            </w:r>
          </w:p>
        </w:tc>
        <w:tc>
          <w:tcPr>
            <w:tcW w:w="280" w:type="dxa"/>
            <w:vAlign w:val="bottom"/>
            <w:tcBorders>
              <w:bottom w:val="single" w:sz="8" w:color="D7282F"/>
            </w:tcBorders>
          </w:tcPr>
          <w:p>
            <w:pPr>
              <w:spacing w:after="0"/>
              <w:rPr>
                <w:sz w:val="20"/>
                <w:szCs w:val="20"/>
                <w:color w:val="auto"/>
              </w:rPr>
            </w:pPr>
          </w:p>
        </w:tc>
        <w:tc>
          <w:tcPr>
            <w:tcW w:w="72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2023</w:t>
            </w:r>
          </w:p>
        </w:tc>
        <w:tc>
          <w:tcPr>
            <w:tcW w:w="280" w:type="dxa"/>
            <w:vAlign w:val="bottom"/>
            <w:tcBorders>
              <w:bottom w:val="single" w:sz="8" w:color="D7282F"/>
            </w:tcBorders>
          </w:tcPr>
          <w:p>
            <w:pPr>
              <w:spacing w:after="0"/>
              <w:rPr>
                <w:sz w:val="20"/>
                <w:szCs w:val="20"/>
                <w:color w:val="auto"/>
              </w:rPr>
            </w:pPr>
          </w:p>
        </w:tc>
        <w:tc>
          <w:tcPr>
            <w:tcW w:w="60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2022</w:t>
            </w:r>
          </w:p>
        </w:tc>
      </w:tr>
      <w:tr>
        <w:trPr>
          <w:trHeight w:val="196"/>
        </w:trPr>
        <w:tc>
          <w:tcPr>
            <w:tcW w:w="84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Beginning of year</w:t>
            </w: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219</w:t>
            </w:r>
          </w:p>
        </w:tc>
        <w:tc>
          <w:tcPr>
            <w:tcW w:w="2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213</w:t>
            </w:r>
          </w:p>
        </w:tc>
        <w:tc>
          <w:tcPr>
            <w:tcW w:w="2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223</w:t>
            </w:r>
          </w:p>
        </w:tc>
      </w:tr>
      <w:tr>
        <w:trPr>
          <w:trHeight w:val="193"/>
        </w:trPr>
        <w:tc>
          <w:tcPr>
            <w:tcW w:w="84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Accruals for warranties/guarantees issued during the year</w:t>
            </w:r>
          </w:p>
        </w:tc>
        <w:tc>
          <w:tcPr>
            <w:tcW w:w="160" w:type="dxa"/>
            <w:vAlign w:val="bottom"/>
            <w:tcBorders>
              <w:bottom w:val="single" w:sz="8" w:color="61656A"/>
            </w:tcBorders>
          </w:tcPr>
          <w:p>
            <w:pPr>
              <w:spacing w:after="0"/>
              <w:rPr>
                <w:sz w:val="16"/>
                <w:szCs w:val="16"/>
                <w:color w:val="auto"/>
              </w:rPr>
            </w:pPr>
          </w:p>
        </w:tc>
        <w:tc>
          <w:tcPr>
            <w:tcW w:w="7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186</w:t>
            </w:r>
          </w:p>
        </w:tc>
        <w:tc>
          <w:tcPr>
            <w:tcW w:w="280" w:type="dxa"/>
            <w:vAlign w:val="bottom"/>
            <w:tcBorders>
              <w:bottom w:val="single" w:sz="8" w:color="61656A"/>
            </w:tcBorders>
          </w:tcPr>
          <w:p>
            <w:pPr>
              <w:spacing w:after="0"/>
              <w:rPr>
                <w:sz w:val="16"/>
                <w:szCs w:val="16"/>
                <w:color w:val="auto"/>
              </w:rPr>
            </w:pPr>
          </w:p>
        </w:tc>
        <w:tc>
          <w:tcPr>
            <w:tcW w:w="7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139</w:t>
            </w:r>
          </w:p>
        </w:tc>
        <w:tc>
          <w:tcPr>
            <w:tcW w:w="280" w:type="dxa"/>
            <w:vAlign w:val="bottom"/>
            <w:tcBorders>
              <w:bottom w:val="single" w:sz="8" w:color="61656A"/>
            </w:tcBorders>
          </w:tcPr>
          <w:p>
            <w:pPr>
              <w:spacing w:after="0"/>
              <w:rPr>
                <w:sz w:val="16"/>
                <w:szCs w:val="16"/>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117</w:t>
            </w:r>
          </w:p>
        </w:tc>
      </w:tr>
      <w:tr>
        <w:trPr>
          <w:trHeight w:val="196"/>
        </w:trPr>
        <w:tc>
          <w:tcPr>
            <w:tcW w:w="84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Adjustment of pre-existing warranties/guarantees</w:t>
            </w:r>
          </w:p>
        </w:tc>
        <w:tc>
          <w:tcPr>
            <w:tcW w:w="16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3</w:t>
            </w:r>
          </w:p>
        </w:tc>
        <w:tc>
          <w:tcPr>
            <w:tcW w:w="28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(27)</w:t>
            </w:r>
          </w:p>
        </w:tc>
        <w:tc>
          <w:tcPr>
            <w:tcW w:w="28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(12)</w:t>
            </w:r>
          </w:p>
        </w:tc>
      </w:tr>
      <w:tr>
        <w:trPr>
          <w:trHeight w:val="196"/>
        </w:trPr>
        <w:tc>
          <w:tcPr>
            <w:tcW w:w="848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Settlement of warranty/guarantee claims</w:t>
            </w:r>
          </w:p>
        </w:tc>
        <w:tc>
          <w:tcPr>
            <w:tcW w:w="1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(171)</w:t>
            </w:r>
          </w:p>
        </w:tc>
        <w:tc>
          <w:tcPr>
            <w:tcW w:w="28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(106)</w:t>
            </w:r>
          </w:p>
        </w:tc>
        <w:tc>
          <w:tcPr>
            <w:tcW w:w="28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(115)</w:t>
            </w:r>
          </w:p>
        </w:tc>
      </w:tr>
      <w:tr>
        <w:trPr>
          <w:trHeight w:val="199"/>
        </w:trPr>
        <w:tc>
          <w:tcPr>
            <w:tcW w:w="84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End of year</w:t>
            </w: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237</w:t>
            </w:r>
          </w:p>
        </w:tc>
        <w:tc>
          <w:tcPr>
            <w:tcW w:w="2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219</w:t>
            </w:r>
          </w:p>
        </w:tc>
        <w:tc>
          <w:tcPr>
            <w:tcW w:w="2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213</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Product warranties and product performance guarantees are included in the following balance sheet accounts: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480" w:type="dxa"/>
            <w:vAlign w:val="bottom"/>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gridSpan w:val="3"/>
          </w:tcPr>
          <w:p>
            <w:pPr>
              <w:jc w:val="right"/>
              <w:ind w:right="348"/>
              <w:spacing w:after="0"/>
              <w:rPr>
                <w:sz w:val="20"/>
                <w:szCs w:val="20"/>
                <w:color w:val="auto"/>
              </w:rPr>
            </w:pPr>
            <w:r>
              <w:rPr>
                <w:rFonts w:ascii="Arial" w:cs="Arial" w:eastAsia="Arial" w:hAnsi="Arial"/>
                <w:sz w:val="14"/>
                <w:szCs w:val="14"/>
                <w:b w:val="1"/>
                <w:bCs w:val="1"/>
                <w:color w:val="auto"/>
              </w:rPr>
              <w:t>December 31,</w:t>
            </w:r>
          </w:p>
        </w:tc>
      </w:tr>
      <w:tr>
        <w:trPr>
          <w:trHeight w:val="237"/>
        </w:trPr>
        <w:tc>
          <w:tcPr>
            <w:tcW w:w="9480" w:type="dxa"/>
            <w:vAlign w:val="bottom"/>
            <w:tcBorders>
              <w:bottom w:val="single" w:sz="8" w:color="D7282F"/>
            </w:tcBorders>
          </w:tcPr>
          <w:p>
            <w:pPr>
              <w:spacing w:after="0"/>
              <w:rPr>
                <w:sz w:val="20"/>
                <w:szCs w:val="20"/>
                <w:color w:val="auto"/>
              </w:rPr>
            </w:pPr>
          </w:p>
        </w:tc>
        <w:tc>
          <w:tcPr>
            <w:tcW w:w="160" w:type="dxa"/>
            <w:vAlign w:val="bottom"/>
            <w:tcBorders>
              <w:bottom w:val="single" w:sz="8" w:color="D7282F"/>
            </w:tcBorders>
          </w:tcPr>
          <w:p>
            <w:pPr>
              <w:spacing w:after="0"/>
              <w:rPr>
                <w:sz w:val="20"/>
                <w:szCs w:val="20"/>
                <w:color w:val="auto"/>
              </w:rPr>
            </w:pPr>
          </w:p>
        </w:tc>
        <w:tc>
          <w:tcPr>
            <w:tcW w:w="700" w:type="dxa"/>
            <w:vAlign w:val="bottom"/>
            <w:tcBorders>
              <w:bottom w:val="single" w:sz="8" w:color="D7282F"/>
            </w:tcBorders>
          </w:tcPr>
          <w:p>
            <w:pPr>
              <w:jc w:val="right"/>
              <w:ind w:right="248"/>
              <w:spacing w:after="0"/>
              <w:rPr>
                <w:sz w:val="20"/>
                <w:szCs w:val="20"/>
                <w:color w:val="auto"/>
              </w:rPr>
            </w:pPr>
            <w:r>
              <w:rPr>
                <w:rFonts w:ascii="Arial" w:cs="Arial" w:eastAsia="Arial" w:hAnsi="Arial"/>
                <w:sz w:val="14"/>
                <w:szCs w:val="14"/>
                <w:b w:val="1"/>
                <w:bCs w:val="1"/>
                <w:color w:val="auto"/>
              </w:rPr>
              <w:t>2024</w:t>
            </w:r>
          </w:p>
        </w:tc>
        <w:tc>
          <w:tcPr>
            <w:tcW w:w="300" w:type="dxa"/>
            <w:vAlign w:val="bottom"/>
            <w:tcBorders>
              <w:bottom w:val="single" w:sz="8" w:color="D7282F"/>
            </w:tcBorders>
          </w:tcPr>
          <w:p>
            <w:pPr>
              <w:spacing w:after="0"/>
              <w:rPr>
                <w:sz w:val="20"/>
                <w:szCs w:val="20"/>
                <w:color w:val="auto"/>
              </w:rPr>
            </w:pPr>
          </w:p>
        </w:tc>
        <w:tc>
          <w:tcPr>
            <w:tcW w:w="60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2023</w:t>
            </w:r>
          </w:p>
        </w:tc>
      </w:tr>
      <w:tr>
        <w:trPr>
          <w:trHeight w:val="193"/>
        </w:trPr>
        <w:tc>
          <w:tcPr>
            <w:tcW w:w="9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Accrued liabilities</w:t>
            </w:r>
          </w:p>
        </w:tc>
        <w:tc>
          <w:tcPr>
            <w:tcW w:w="16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202</w:t>
            </w:r>
          </w:p>
        </w:tc>
        <w:tc>
          <w:tcPr>
            <w:tcW w:w="3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182</w:t>
            </w:r>
          </w:p>
        </w:tc>
      </w:tr>
      <w:tr>
        <w:trPr>
          <w:trHeight w:val="196"/>
        </w:trPr>
        <w:tc>
          <w:tcPr>
            <w:tcW w:w="94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Other liabilities</w:t>
            </w:r>
          </w:p>
        </w:tc>
        <w:tc>
          <w:tcPr>
            <w:tcW w:w="16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35</w:t>
            </w:r>
          </w:p>
        </w:tc>
        <w:tc>
          <w:tcPr>
            <w:tcW w:w="30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37</w:t>
            </w:r>
          </w:p>
        </w:tc>
      </w:tr>
      <w:tr>
        <w:trPr>
          <w:trHeight w:val="199"/>
        </w:trPr>
        <w:tc>
          <w:tcPr>
            <w:tcW w:w="948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obligations for product warranties and product performance guarantees</w:t>
            </w:r>
          </w:p>
        </w:tc>
        <w:tc>
          <w:tcPr>
            <w:tcW w:w="16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237</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219</w:t>
            </w:r>
          </w:p>
        </w:tc>
      </w:tr>
    </w:tbl>
    <w:p>
      <w:pPr>
        <w:spacing w:after="0" w:line="346" w:lineRule="exact"/>
        <w:rPr>
          <w:sz w:val="20"/>
          <w:szCs w:val="20"/>
          <w:color w:val="auto"/>
        </w:rPr>
      </w:pPr>
    </w:p>
    <w:p>
      <w:pPr>
        <w:spacing w:after="0"/>
        <w:rPr>
          <w:sz w:val="20"/>
          <w:szCs w:val="20"/>
          <w:color w:val="auto"/>
        </w:rPr>
      </w:pPr>
      <w:r>
        <w:rPr>
          <w:rFonts w:ascii="Arial" w:cs="Arial" w:eastAsia="Arial" w:hAnsi="Arial"/>
          <w:sz w:val="29"/>
          <w:szCs w:val="29"/>
          <w:color w:val="D7282F"/>
        </w:rPr>
        <w:t>NOTE 20. PENSION AND OTHER POSTRETIREMENT BENEFITS</w:t>
      </w:r>
    </w:p>
    <w:p>
      <w:pPr>
        <w:spacing w:after="0" w:line="23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Company sponsors a number of both funded and unfunded U.S. and non-U.S. defined benefit pension plans. Pension benefits for many of the Company's U.S. employees are provided through non-contributory, qualified, and non-qualified defined benefit plans. All non-union hourly and salaried employees joining Honeywell for the first time after December 31, 2012, are not eligible to participate in Honeywell’s U.S. defined benefit pension plans. The Company also sponsors defined benefit pension plans which cover non-U.S. employees who are not U.S. citizens, in certain jurisdictions, principally the UK, Netherlands, Germany, and Canada. Other pension plans outside of the U.S. are not material to the Company either individually or in the aggregate.</w:t>
      </w:r>
    </w:p>
    <w:p>
      <w:pPr>
        <w:spacing w:after="0" w:line="6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Company sponsors postretirement benefit plans that provide health care benefits and life insurance coverage mainly to U.S. eligible retirees. None of Honeywell’s U.S. employees are eligible for a retiree medical subsidy from the Company. In addition, the vast majority of Honeywell’s U.S. retirees either have no Company subsidy or have a fixed-dollar subsidy amount. This significantly limits the Company's exposure to the impact of future health care cost increases. The retiree medical and life insurance plans are not funded. Claims and expenses are paid from the Company's cash flows from operations.</w:t>
      </w:r>
    </w:p>
    <w:p>
      <w:pPr>
        <w:spacing w:after="0" w:line="200" w:lineRule="exact"/>
        <w:rPr>
          <w:sz w:val="20"/>
          <w:szCs w:val="20"/>
          <w:color w:val="auto"/>
        </w:rPr>
      </w:pPr>
    </w:p>
    <w:p>
      <w:pPr>
        <w:spacing w:after="0" w:line="218" w:lineRule="exact"/>
        <w:rPr>
          <w:sz w:val="20"/>
          <w:szCs w:val="20"/>
          <w:color w:val="auto"/>
        </w:rPr>
      </w:pPr>
    </w:p>
    <w:p>
      <w:pPr>
        <w:ind w:left="500" w:hanging="492"/>
        <w:spacing w:after="0"/>
        <w:tabs>
          <w:tab w:leader="none" w:pos="500" w:val="left"/>
        </w:tabs>
        <w:numPr>
          <w:ilvl w:val="0"/>
          <w:numId w:val="163"/>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02" w:name="page103"/>
    <w:bookmarkEnd w:id="102"/>
    <w:p>
      <w:pPr>
        <w:ind w:left="20"/>
        <w:spacing w:after="0"/>
        <w:tabs>
          <w:tab w:leader="none" w:pos="784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FINANCIAL STATEMENTS AND SUPPLEMENTARY DATA</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2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following tables summarize the balance sheet impact, including the benefit obligations, assets, and funded status associated with the Company's significant pension and other postretirement benefit plans: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480" w:type="dxa"/>
            <w:vAlign w:val="bottom"/>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spacing w:after="0"/>
              <w:rPr>
                <w:sz w:val="17"/>
                <w:szCs w:val="17"/>
                <w:color w:val="auto"/>
              </w:rPr>
            </w:pPr>
          </w:p>
        </w:tc>
        <w:tc>
          <w:tcPr>
            <w:tcW w:w="280" w:type="dxa"/>
            <w:vAlign w:val="bottom"/>
            <w:tcBorders>
              <w:bottom w:val="single" w:sz="8" w:color="D7282F"/>
            </w:tcBorders>
          </w:tcPr>
          <w:p>
            <w:pPr>
              <w:spacing w:after="0"/>
              <w:rPr>
                <w:sz w:val="17"/>
                <w:szCs w:val="17"/>
                <w:color w:val="auto"/>
              </w:rPr>
            </w:pPr>
          </w:p>
        </w:tc>
        <w:tc>
          <w:tcPr>
            <w:tcW w:w="1720" w:type="dxa"/>
            <w:vAlign w:val="bottom"/>
            <w:tcBorders>
              <w:bottom w:val="single" w:sz="8" w:color="D7282F"/>
            </w:tcBorders>
            <w:gridSpan w:val="4"/>
          </w:tcPr>
          <w:p>
            <w:pPr>
              <w:jc w:val="right"/>
              <w:ind w:right="348"/>
              <w:spacing w:after="0"/>
              <w:rPr>
                <w:sz w:val="20"/>
                <w:szCs w:val="20"/>
                <w:color w:val="auto"/>
              </w:rPr>
            </w:pPr>
            <w:r>
              <w:rPr>
                <w:rFonts w:ascii="Arial" w:cs="Arial" w:eastAsia="Arial" w:hAnsi="Arial"/>
                <w:sz w:val="14"/>
                <w:szCs w:val="14"/>
                <w:b w:val="1"/>
                <w:bCs w:val="1"/>
                <w:color w:val="auto"/>
              </w:rPr>
              <w:t>Pension Benefits</w:t>
            </w:r>
          </w:p>
        </w:tc>
        <w:tc>
          <w:tcPr>
            <w:tcW w:w="28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spacing w:after="0"/>
              <w:rPr>
                <w:sz w:val="17"/>
                <w:szCs w:val="17"/>
                <w:color w:val="auto"/>
              </w:rPr>
            </w:pPr>
          </w:p>
        </w:tc>
      </w:tr>
      <w:tr>
        <w:trPr>
          <w:trHeight w:val="237"/>
        </w:trPr>
        <w:tc>
          <w:tcPr>
            <w:tcW w:w="7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40" w:type="dxa"/>
            <w:vAlign w:val="bottom"/>
            <w:gridSpan w:val="4"/>
          </w:tcPr>
          <w:p>
            <w:pPr>
              <w:ind w:left="360"/>
              <w:spacing w:after="0"/>
              <w:rPr>
                <w:sz w:val="20"/>
                <w:szCs w:val="20"/>
                <w:color w:val="auto"/>
              </w:rPr>
            </w:pPr>
            <w:r>
              <w:rPr>
                <w:rFonts w:ascii="Arial" w:cs="Arial" w:eastAsia="Arial" w:hAnsi="Arial"/>
                <w:sz w:val="14"/>
                <w:szCs w:val="14"/>
                <w:b w:val="1"/>
                <w:bCs w:val="1"/>
                <w:color w:val="auto"/>
              </w:rPr>
              <w:t>U.S. Plans</w:t>
            </w:r>
          </w:p>
        </w:tc>
        <w:tc>
          <w:tcPr>
            <w:tcW w:w="160" w:type="dxa"/>
            <w:vAlign w:val="bottom"/>
          </w:tcPr>
          <w:p>
            <w:pPr>
              <w:spacing w:after="0"/>
              <w:rPr>
                <w:sz w:val="20"/>
                <w:szCs w:val="20"/>
                <w:color w:val="auto"/>
              </w:rPr>
            </w:pPr>
          </w:p>
        </w:tc>
        <w:tc>
          <w:tcPr>
            <w:tcW w:w="1600" w:type="dxa"/>
            <w:vAlign w:val="bottom"/>
            <w:gridSpan w:val="3"/>
          </w:tcPr>
          <w:p>
            <w:pPr>
              <w:jc w:val="right"/>
              <w:ind w:right="288"/>
              <w:spacing w:after="0"/>
              <w:rPr>
                <w:sz w:val="20"/>
                <w:szCs w:val="20"/>
                <w:color w:val="auto"/>
              </w:rPr>
            </w:pPr>
            <w:r>
              <w:rPr>
                <w:rFonts w:ascii="Arial" w:cs="Arial" w:eastAsia="Arial" w:hAnsi="Arial"/>
                <w:sz w:val="14"/>
                <w:szCs w:val="14"/>
                <w:b w:val="1"/>
                <w:bCs w:val="1"/>
                <w:color w:val="auto"/>
              </w:rPr>
              <w:t>Non-U.S. Plans</w:t>
            </w:r>
          </w:p>
        </w:tc>
      </w:tr>
      <w:tr>
        <w:trPr>
          <w:trHeight w:val="236"/>
        </w:trPr>
        <w:tc>
          <w:tcPr>
            <w:tcW w:w="7480" w:type="dxa"/>
            <w:vAlign w:val="bottom"/>
            <w:tcBorders>
              <w:bottom w:val="single" w:sz="8" w:color="D7282F"/>
            </w:tcBorders>
          </w:tcPr>
          <w:p>
            <w:pPr>
              <w:spacing w:after="0"/>
              <w:rPr>
                <w:sz w:val="20"/>
                <w:szCs w:val="20"/>
                <w:color w:val="auto"/>
              </w:rPr>
            </w:pPr>
          </w:p>
        </w:tc>
        <w:tc>
          <w:tcPr>
            <w:tcW w:w="160" w:type="dxa"/>
            <w:vAlign w:val="bottom"/>
            <w:tcBorders>
              <w:top w:val="single" w:sz="8" w:color="D7282F"/>
              <w:bottom w:val="single" w:sz="8" w:color="D7282F"/>
            </w:tcBorders>
          </w:tcPr>
          <w:p>
            <w:pPr>
              <w:spacing w:after="0"/>
              <w:rPr>
                <w:sz w:val="20"/>
                <w:szCs w:val="20"/>
                <w:color w:val="auto"/>
              </w:rPr>
            </w:pPr>
          </w:p>
        </w:tc>
        <w:tc>
          <w:tcPr>
            <w:tcW w:w="720" w:type="dxa"/>
            <w:vAlign w:val="bottom"/>
            <w:tcBorders>
              <w:top w:val="single" w:sz="8" w:color="D7282F"/>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2024</w:t>
            </w:r>
          </w:p>
        </w:tc>
        <w:tc>
          <w:tcPr>
            <w:tcW w:w="280" w:type="dxa"/>
            <w:vAlign w:val="bottom"/>
            <w:tcBorders>
              <w:top w:val="single" w:sz="8" w:color="D7282F"/>
              <w:bottom w:val="single" w:sz="8" w:color="D7282F"/>
            </w:tcBorders>
          </w:tcPr>
          <w:p>
            <w:pPr>
              <w:spacing w:after="0"/>
              <w:rPr>
                <w:sz w:val="20"/>
                <w:szCs w:val="20"/>
                <w:color w:val="auto"/>
              </w:rPr>
            </w:pPr>
          </w:p>
        </w:tc>
        <w:tc>
          <w:tcPr>
            <w:tcW w:w="600" w:type="dxa"/>
            <w:vAlign w:val="bottom"/>
            <w:tcBorders>
              <w:top w:val="single" w:sz="8" w:color="D7282F"/>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bottom w:val="single" w:sz="8" w:color="D7282F"/>
            </w:tcBorders>
          </w:tcPr>
          <w:p>
            <w:pPr>
              <w:spacing w:after="0"/>
              <w:rPr>
                <w:sz w:val="20"/>
                <w:szCs w:val="20"/>
                <w:color w:val="auto"/>
              </w:rPr>
            </w:pPr>
          </w:p>
        </w:tc>
        <w:tc>
          <w:tcPr>
            <w:tcW w:w="160" w:type="dxa"/>
            <w:vAlign w:val="bottom"/>
            <w:tcBorders>
              <w:top w:val="single" w:sz="8" w:color="D7282F"/>
              <w:bottom w:val="single" w:sz="8" w:color="D7282F"/>
            </w:tcBorders>
          </w:tcPr>
          <w:p>
            <w:pPr>
              <w:spacing w:after="0"/>
              <w:rPr>
                <w:sz w:val="20"/>
                <w:szCs w:val="20"/>
                <w:color w:val="auto"/>
              </w:rPr>
            </w:pPr>
          </w:p>
        </w:tc>
        <w:tc>
          <w:tcPr>
            <w:tcW w:w="720" w:type="dxa"/>
            <w:vAlign w:val="bottom"/>
            <w:tcBorders>
              <w:top w:val="single" w:sz="8" w:color="D7282F"/>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2024</w:t>
            </w:r>
          </w:p>
        </w:tc>
        <w:tc>
          <w:tcPr>
            <w:tcW w:w="280" w:type="dxa"/>
            <w:vAlign w:val="bottom"/>
            <w:tcBorders>
              <w:top w:val="single" w:sz="8" w:color="D7282F"/>
              <w:bottom w:val="single" w:sz="8" w:color="D7282F"/>
            </w:tcBorders>
          </w:tcPr>
          <w:p>
            <w:pPr>
              <w:spacing w:after="0"/>
              <w:rPr>
                <w:sz w:val="20"/>
                <w:szCs w:val="20"/>
                <w:color w:val="auto"/>
              </w:rPr>
            </w:pPr>
          </w:p>
        </w:tc>
        <w:tc>
          <w:tcPr>
            <w:tcW w:w="600" w:type="dxa"/>
            <w:vAlign w:val="bottom"/>
            <w:tcBorders>
              <w:top w:val="single" w:sz="8" w:color="D7282F"/>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2023</w:t>
            </w:r>
          </w:p>
        </w:tc>
      </w:tr>
      <w:tr>
        <w:trPr>
          <w:trHeight w:val="193"/>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Change in benefit obligation</w:t>
            </w:r>
          </w:p>
        </w:tc>
        <w:tc>
          <w:tcPr>
            <w:tcW w:w="160" w:type="dxa"/>
            <w:vAlign w:val="bottom"/>
            <w:tcBorders>
              <w:bottom w:val="single" w:sz="8" w:color="61656A"/>
            </w:tcBorders>
          </w:tcPr>
          <w:p>
            <w:pPr>
              <w:spacing w:after="0"/>
              <w:rPr>
                <w:sz w:val="16"/>
                <w:szCs w:val="16"/>
                <w:color w:val="auto"/>
              </w:rPr>
            </w:pPr>
          </w:p>
        </w:tc>
        <w:tc>
          <w:tcPr>
            <w:tcW w:w="720" w:type="dxa"/>
            <w:vAlign w:val="bottom"/>
            <w:tcBorders>
              <w:bottom w:val="single" w:sz="8" w:color="61656A"/>
            </w:tcBorders>
          </w:tcPr>
          <w:p>
            <w:pPr>
              <w:spacing w:after="0"/>
              <w:rPr>
                <w:sz w:val="16"/>
                <w:szCs w:val="16"/>
                <w:color w:val="auto"/>
              </w:rPr>
            </w:pPr>
          </w:p>
        </w:tc>
        <w:tc>
          <w:tcPr>
            <w:tcW w:w="280" w:type="dxa"/>
            <w:vAlign w:val="bottom"/>
            <w:tcBorders>
              <w:bottom w:val="single" w:sz="8" w:color="61656A"/>
            </w:tcBorders>
          </w:tcPr>
          <w:p>
            <w:pPr>
              <w:spacing w:after="0"/>
              <w:rPr>
                <w:sz w:val="16"/>
                <w:szCs w:val="16"/>
                <w:color w:val="auto"/>
              </w:rPr>
            </w:pPr>
          </w:p>
        </w:tc>
        <w:tc>
          <w:tcPr>
            <w:tcW w:w="600" w:type="dxa"/>
            <w:vAlign w:val="bottom"/>
            <w:tcBorders>
              <w:bottom w:val="single" w:sz="8" w:color="61656A"/>
            </w:tcBorders>
          </w:tcPr>
          <w:p>
            <w:pPr>
              <w:spacing w:after="0"/>
              <w:rPr>
                <w:sz w:val="16"/>
                <w:szCs w:val="16"/>
                <w:color w:val="auto"/>
              </w:rPr>
            </w:pPr>
          </w:p>
        </w:tc>
        <w:tc>
          <w:tcPr>
            <w:tcW w:w="240" w:type="dxa"/>
            <w:vAlign w:val="bottom"/>
            <w:tcBorders>
              <w:bottom w:val="single" w:sz="8" w:color="61656A"/>
            </w:tcBorders>
          </w:tcPr>
          <w:p>
            <w:pPr>
              <w:spacing w:after="0"/>
              <w:rPr>
                <w:sz w:val="16"/>
                <w:szCs w:val="16"/>
                <w:color w:val="auto"/>
              </w:rPr>
            </w:pPr>
          </w:p>
        </w:tc>
        <w:tc>
          <w:tcPr>
            <w:tcW w:w="160" w:type="dxa"/>
            <w:vAlign w:val="bottom"/>
            <w:tcBorders>
              <w:bottom w:val="single" w:sz="8" w:color="61656A"/>
            </w:tcBorders>
          </w:tcPr>
          <w:p>
            <w:pPr>
              <w:spacing w:after="0"/>
              <w:rPr>
                <w:sz w:val="16"/>
                <w:szCs w:val="16"/>
                <w:color w:val="auto"/>
              </w:rPr>
            </w:pPr>
          </w:p>
        </w:tc>
        <w:tc>
          <w:tcPr>
            <w:tcW w:w="720" w:type="dxa"/>
            <w:vAlign w:val="bottom"/>
            <w:tcBorders>
              <w:bottom w:val="single" w:sz="8" w:color="61656A"/>
            </w:tcBorders>
          </w:tcPr>
          <w:p>
            <w:pPr>
              <w:spacing w:after="0"/>
              <w:rPr>
                <w:sz w:val="16"/>
                <w:szCs w:val="16"/>
                <w:color w:val="auto"/>
              </w:rPr>
            </w:pPr>
          </w:p>
        </w:tc>
        <w:tc>
          <w:tcPr>
            <w:tcW w:w="280" w:type="dxa"/>
            <w:vAlign w:val="bottom"/>
            <w:tcBorders>
              <w:bottom w:val="single" w:sz="8" w:color="61656A"/>
            </w:tcBorders>
          </w:tcPr>
          <w:p>
            <w:pPr>
              <w:spacing w:after="0"/>
              <w:rPr>
                <w:sz w:val="16"/>
                <w:szCs w:val="16"/>
                <w:color w:val="auto"/>
              </w:rPr>
            </w:pPr>
          </w:p>
        </w:tc>
        <w:tc>
          <w:tcPr>
            <w:tcW w:w="600" w:type="dxa"/>
            <w:vAlign w:val="bottom"/>
            <w:tcBorders>
              <w:bottom w:val="single" w:sz="8" w:color="61656A"/>
            </w:tcBorders>
          </w:tcPr>
          <w:p>
            <w:pPr>
              <w:spacing w:after="0"/>
              <w:rPr>
                <w:sz w:val="16"/>
                <w:szCs w:val="16"/>
                <w:color w:val="auto"/>
              </w:rPr>
            </w:pPr>
          </w:p>
        </w:tc>
      </w:tr>
      <w:tr>
        <w:trPr>
          <w:trHeight w:val="196"/>
        </w:trPr>
        <w:tc>
          <w:tcPr>
            <w:tcW w:w="74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Benefit obligation at beginning of year</w:t>
            </w:r>
          </w:p>
        </w:tc>
        <w:tc>
          <w:tcPr>
            <w:tcW w:w="1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12,792</w:t>
            </w:r>
          </w:p>
        </w:tc>
        <w:tc>
          <w:tcPr>
            <w:tcW w:w="2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13,290</w:t>
            </w:r>
          </w:p>
        </w:tc>
        <w:tc>
          <w:tcPr>
            <w:tcW w:w="240" w:type="dxa"/>
            <w:vAlign w:val="bottom"/>
            <w:tcBorders>
              <w:bottom w:val="single" w:sz="8" w:color="61656A"/>
            </w:tcBorders>
          </w:tcPr>
          <w:p>
            <w:pPr>
              <w:spacing w:after="0"/>
              <w:rPr>
                <w:sz w:val="17"/>
                <w:szCs w:val="17"/>
                <w:color w:val="auto"/>
              </w:rPr>
            </w:pPr>
          </w:p>
        </w:tc>
        <w:tc>
          <w:tcPr>
            <w:tcW w:w="16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4,718</w:t>
            </w:r>
          </w:p>
        </w:tc>
        <w:tc>
          <w:tcPr>
            <w:tcW w:w="2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4,400</w:t>
            </w:r>
          </w:p>
        </w:tc>
      </w:tr>
      <w:tr>
        <w:trPr>
          <w:trHeight w:val="196"/>
        </w:trPr>
        <w:tc>
          <w:tcPr>
            <w:tcW w:w="7480" w:type="dxa"/>
            <w:vAlign w:val="bottom"/>
            <w:tcBorders>
              <w:bottom w:val="single" w:sz="8" w:color="888B8D"/>
            </w:tcBorders>
          </w:tcPr>
          <w:p>
            <w:pPr>
              <w:ind w:left="240"/>
              <w:spacing w:after="0"/>
              <w:rPr>
                <w:sz w:val="20"/>
                <w:szCs w:val="20"/>
                <w:color w:val="auto"/>
              </w:rPr>
            </w:pPr>
            <w:r>
              <w:rPr>
                <w:rFonts w:ascii="Arial" w:cs="Arial" w:eastAsia="Arial" w:hAnsi="Arial"/>
                <w:sz w:val="14"/>
                <w:szCs w:val="14"/>
                <w:color w:val="auto"/>
              </w:rPr>
              <w:t>Service cost</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28</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29</w:t>
            </w:r>
          </w:p>
        </w:tc>
        <w:tc>
          <w:tcPr>
            <w:tcW w:w="240" w:type="dxa"/>
            <w:vAlign w:val="bottom"/>
            <w:tcBorders>
              <w:bottom w:val="single" w:sz="8" w:color="888B8D"/>
            </w:tcBorders>
          </w:tcPr>
          <w:p>
            <w:pPr>
              <w:spacing w:after="0"/>
              <w:rPr>
                <w:sz w:val="17"/>
                <w:szCs w:val="17"/>
                <w:color w:val="auto"/>
              </w:rPr>
            </w:pP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12</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11</w:t>
            </w:r>
          </w:p>
        </w:tc>
      </w:tr>
      <w:tr>
        <w:trPr>
          <w:trHeight w:val="196"/>
        </w:trPr>
        <w:tc>
          <w:tcPr>
            <w:tcW w:w="7480" w:type="dxa"/>
            <w:vAlign w:val="bottom"/>
            <w:tcBorders>
              <w:bottom w:val="single" w:sz="8" w:color="888B8D"/>
            </w:tcBorders>
          </w:tcPr>
          <w:p>
            <w:pPr>
              <w:ind w:left="240"/>
              <w:spacing w:after="0"/>
              <w:rPr>
                <w:sz w:val="20"/>
                <w:szCs w:val="20"/>
                <w:color w:val="auto"/>
              </w:rPr>
            </w:pPr>
            <w:r>
              <w:rPr>
                <w:rFonts w:ascii="Arial" w:cs="Arial" w:eastAsia="Arial" w:hAnsi="Arial"/>
                <w:sz w:val="14"/>
                <w:szCs w:val="14"/>
                <w:color w:val="auto"/>
              </w:rPr>
              <w:t>Interest cost</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599</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645</w:t>
            </w:r>
          </w:p>
        </w:tc>
        <w:tc>
          <w:tcPr>
            <w:tcW w:w="240" w:type="dxa"/>
            <w:vAlign w:val="bottom"/>
            <w:tcBorders>
              <w:bottom w:val="single" w:sz="8" w:color="888B8D"/>
            </w:tcBorders>
          </w:tcPr>
          <w:p>
            <w:pPr>
              <w:spacing w:after="0"/>
              <w:rPr>
                <w:sz w:val="17"/>
                <w:szCs w:val="17"/>
                <w:color w:val="auto"/>
              </w:rPr>
            </w:pP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191</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200</w:t>
            </w:r>
          </w:p>
        </w:tc>
      </w:tr>
      <w:tr>
        <w:trPr>
          <w:trHeight w:val="196"/>
        </w:trPr>
        <w:tc>
          <w:tcPr>
            <w:tcW w:w="7480" w:type="dxa"/>
            <w:vAlign w:val="bottom"/>
            <w:tcBorders>
              <w:bottom w:val="single" w:sz="8" w:color="888B8D"/>
            </w:tcBorders>
          </w:tcPr>
          <w:p>
            <w:pPr>
              <w:ind w:left="240"/>
              <w:spacing w:after="0"/>
              <w:rPr>
                <w:sz w:val="20"/>
                <w:szCs w:val="20"/>
                <w:color w:val="auto"/>
              </w:rPr>
            </w:pPr>
            <w:r>
              <w:rPr>
                <w:rFonts w:ascii="Arial" w:cs="Arial" w:eastAsia="Arial" w:hAnsi="Arial"/>
                <w:sz w:val="14"/>
                <w:szCs w:val="14"/>
                <w:color w:val="auto"/>
              </w:rPr>
              <w:t>Plan amendments</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888B8D"/>
            </w:tcBorders>
          </w:tcPr>
          <w:p>
            <w:pPr>
              <w:spacing w:after="0"/>
              <w:rPr>
                <w:sz w:val="17"/>
                <w:szCs w:val="17"/>
                <w:color w:val="auto"/>
              </w:rPr>
            </w:pPr>
          </w:p>
        </w:tc>
        <w:tc>
          <w:tcPr>
            <w:tcW w:w="840" w:type="dxa"/>
            <w:vAlign w:val="bottom"/>
            <w:tcBorders>
              <w:bottom w:val="single" w:sz="8" w:color="888B8D"/>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14</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r>
      <w:tr>
        <w:trPr>
          <w:trHeight w:val="200"/>
        </w:trPr>
        <w:tc>
          <w:tcPr>
            <w:tcW w:w="7480" w:type="dxa"/>
            <w:vAlign w:val="bottom"/>
            <w:tcBorders>
              <w:bottom w:val="single" w:sz="8" w:color="888B8D"/>
            </w:tcBorders>
          </w:tcPr>
          <w:p>
            <w:pPr>
              <w:ind w:left="240"/>
              <w:spacing w:after="0" w:line="200" w:lineRule="exact"/>
              <w:rPr>
                <w:sz w:val="20"/>
                <w:szCs w:val="20"/>
                <w:color w:val="auto"/>
              </w:rPr>
            </w:pPr>
            <w:r>
              <w:rPr>
                <w:rFonts w:ascii="Arial" w:cs="Arial" w:eastAsia="Arial" w:hAnsi="Arial"/>
                <w:sz w:val="14"/>
                <w:szCs w:val="14"/>
                <w:color w:val="auto"/>
              </w:rPr>
              <w:t>Actuarial (gains) losses</w:t>
            </w:r>
            <w:r>
              <w:rPr>
                <w:rFonts w:ascii="Arial" w:cs="Arial" w:eastAsia="Arial" w:hAnsi="Arial"/>
                <w:sz w:val="18"/>
                <w:szCs w:val="18"/>
                <w:color w:val="auto"/>
                <w:vertAlign w:val="superscript"/>
              </w:rPr>
              <w:t>1</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(579)</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337</w:t>
            </w:r>
          </w:p>
        </w:tc>
        <w:tc>
          <w:tcPr>
            <w:tcW w:w="240" w:type="dxa"/>
            <w:vAlign w:val="bottom"/>
            <w:tcBorders>
              <w:bottom w:val="single" w:sz="8" w:color="888B8D"/>
            </w:tcBorders>
          </w:tcPr>
          <w:p>
            <w:pPr>
              <w:spacing w:after="0"/>
              <w:rPr>
                <w:sz w:val="17"/>
                <w:szCs w:val="17"/>
                <w:color w:val="auto"/>
              </w:rPr>
            </w:pP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(393)</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191</w:t>
            </w:r>
          </w:p>
        </w:tc>
      </w:tr>
      <w:tr>
        <w:trPr>
          <w:trHeight w:val="192"/>
        </w:trPr>
        <w:tc>
          <w:tcPr>
            <w:tcW w:w="7480" w:type="dxa"/>
            <w:vAlign w:val="bottom"/>
            <w:tcBorders>
              <w:bottom w:val="single" w:sz="8" w:color="888B8D"/>
            </w:tcBorders>
          </w:tcPr>
          <w:p>
            <w:pPr>
              <w:ind w:left="240"/>
              <w:spacing w:after="0"/>
              <w:rPr>
                <w:sz w:val="20"/>
                <w:szCs w:val="20"/>
                <w:color w:val="auto"/>
              </w:rPr>
            </w:pPr>
            <w:r>
              <w:rPr>
                <w:rFonts w:ascii="Arial" w:cs="Arial" w:eastAsia="Arial" w:hAnsi="Arial"/>
                <w:sz w:val="14"/>
                <w:szCs w:val="14"/>
                <w:color w:val="auto"/>
              </w:rPr>
              <w:t>Benefits paid</w:t>
            </w:r>
          </w:p>
        </w:tc>
        <w:tc>
          <w:tcPr>
            <w:tcW w:w="160" w:type="dxa"/>
            <w:vAlign w:val="bottom"/>
            <w:tcBorders>
              <w:bottom w:val="single" w:sz="8" w:color="888B8D"/>
            </w:tcBorders>
          </w:tcPr>
          <w:p>
            <w:pPr>
              <w:spacing w:after="0"/>
              <w:rPr>
                <w:sz w:val="16"/>
                <w:szCs w:val="16"/>
                <w:color w:val="auto"/>
              </w:rPr>
            </w:pPr>
          </w:p>
        </w:tc>
        <w:tc>
          <w:tcPr>
            <w:tcW w:w="72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(1,069)</w:t>
            </w:r>
          </w:p>
        </w:tc>
        <w:tc>
          <w:tcPr>
            <w:tcW w:w="280" w:type="dxa"/>
            <w:vAlign w:val="bottom"/>
            <w:tcBorders>
              <w:bottom w:val="single" w:sz="8" w:color="888B8D"/>
            </w:tcBorders>
          </w:tcPr>
          <w:p>
            <w:pPr>
              <w:spacing w:after="0"/>
              <w:rPr>
                <w:sz w:val="16"/>
                <w:szCs w:val="16"/>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(1,509)</w:t>
            </w:r>
          </w:p>
        </w:tc>
        <w:tc>
          <w:tcPr>
            <w:tcW w:w="240" w:type="dxa"/>
            <w:vAlign w:val="bottom"/>
            <w:tcBorders>
              <w:bottom w:val="single" w:sz="8" w:color="888B8D"/>
            </w:tcBorders>
          </w:tcPr>
          <w:p>
            <w:pPr>
              <w:spacing w:after="0"/>
              <w:rPr>
                <w:sz w:val="16"/>
                <w:szCs w:val="16"/>
                <w:color w:val="auto"/>
              </w:rPr>
            </w:pPr>
          </w:p>
        </w:tc>
        <w:tc>
          <w:tcPr>
            <w:tcW w:w="160" w:type="dxa"/>
            <w:vAlign w:val="bottom"/>
            <w:tcBorders>
              <w:bottom w:val="single" w:sz="8" w:color="888B8D"/>
            </w:tcBorders>
          </w:tcPr>
          <w:p>
            <w:pPr>
              <w:spacing w:after="0"/>
              <w:rPr>
                <w:sz w:val="16"/>
                <w:szCs w:val="16"/>
                <w:color w:val="auto"/>
              </w:rPr>
            </w:pPr>
          </w:p>
        </w:tc>
        <w:tc>
          <w:tcPr>
            <w:tcW w:w="72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(262)</w:t>
            </w:r>
          </w:p>
        </w:tc>
        <w:tc>
          <w:tcPr>
            <w:tcW w:w="280" w:type="dxa"/>
            <w:vAlign w:val="bottom"/>
            <w:tcBorders>
              <w:bottom w:val="single" w:sz="8" w:color="888B8D"/>
            </w:tcBorders>
          </w:tcPr>
          <w:p>
            <w:pPr>
              <w:spacing w:after="0"/>
              <w:rPr>
                <w:sz w:val="16"/>
                <w:szCs w:val="16"/>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(250)</w:t>
            </w:r>
          </w:p>
        </w:tc>
      </w:tr>
      <w:tr>
        <w:trPr>
          <w:trHeight w:val="196"/>
        </w:trPr>
        <w:tc>
          <w:tcPr>
            <w:tcW w:w="7480" w:type="dxa"/>
            <w:vAlign w:val="bottom"/>
            <w:tcBorders>
              <w:bottom w:val="single" w:sz="8" w:color="888B8D"/>
            </w:tcBorders>
          </w:tcPr>
          <w:p>
            <w:pPr>
              <w:ind w:left="240"/>
              <w:spacing w:after="0"/>
              <w:rPr>
                <w:sz w:val="20"/>
                <w:szCs w:val="20"/>
                <w:color w:val="auto"/>
              </w:rPr>
            </w:pPr>
            <w:r>
              <w:rPr>
                <w:rFonts w:ascii="Arial" w:cs="Arial" w:eastAsia="Arial" w:hAnsi="Arial"/>
                <w:sz w:val="14"/>
                <w:szCs w:val="14"/>
                <w:color w:val="auto"/>
              </w:rPr>
              <w:t>Settlements and curtailments</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888B8D"/>
            </w:tcBorders>
          </w:tcPr>
          <w:p>
            <w:pPr>
              <w:spacing w:after="0"/>
              <w:rPr>
                <w:sz w:val="17"/>
                <w:szCs w:val="17"/>
                <w:color w:val="auto"/>
              </w:rPr>
            </w:pPr>
          </w:p>
        </w:tc>
        <w:tc>
          <w:tcPr>
            <w:tcW w:w="840" w:type="dxa"/>
            <w:vAlign w:val="bottom"/>
            <w:tcBorders>
              <w:bottom w:val="single" w:sz="8" w:color="888B8D"/>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(14)</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7480" w:type="dxa"/>
            <w:vAlign w:val="bottom"/>
            <w:tcBorders>
              <w:bottom w:val="single" w:sz="8" w:color="888B8D"/>
            </w:tcBorders>
          </w:tcPr>
          <w:p>
            <w:pPr>
              <w:ind w:left="240"/>
              <w:spacing w:after="0"/>
              <w:rPr>
                <w:sz w:val="20"/>
                <w:szCs w:val="20"/>
                <w:color w:val="auto"/>
              </w:rPr>
            </w:pPr>
            <w:r>
              <w:rPr>
                <w:rFonts w:ascii="Arial" w:cs="Arial" w:eastAsia="Arial" w:hAnsi="Arial"/>
                <w:sz w:val="14"/>
                <w:szCs w:val="14"/>
                <w:color w:val="auto"/>
              </w:rPr>
              <w:t>Foreign currency translation</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888B8D"/>
            </w:tcBorders>
          </w:tcPr>
          <w:p>
            <w:pPr>
              <w:spacing w:after="0"/>
              <w:rPr>
                <w:sz w:val="17"/>
                <w:szCs w:val="17"/>
                <w:color w:val="auto"/>
              </w:rPr>
            </w:pPr>
          </w:p>
        </w:tc>
        <w:tc>
          <w:tcPr>
            <w:tcW w:w="840" w:type="dxa"/>
            <w:vAlign w:val="bottom"/>
            <w:tcBorders>
              <w:bottom w:val="single" w:sz="8" w:color="888B8D"/>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(106)</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165</w:t>
            </w:r>
          </w:p>
        </w:tc>
      </w:tr>
      <w:tr>
        <w:trPr>
          <w:trHeight w:val="196"/>
        </w:trPr>
        <w:tc>
          <w:tcPr>
            <w:tcW w:w="7480" w:type="dxa"/>
            <w:vAlign w:val="bottom"/>
            <w:tcBorders>
              <w:bottom w:val="single" w:sz="8" w:color="D7282F"/>
            </w:tcBorders>
          </w:tcPr>
          <w:p>
            <w:pPr>
              <w:ind w:left="240"/>
              <w:spacing w:after="0"/>
              <w:rPr>
                <w:sz w:val="20"/>
                <w:szCs w:val="20"/>
                <w:color w:val="auto"/>
              </w:rPr>
            </w:pPr>
            <w:r>
              <w:rPr>
                <w:rFonts w:ascii="Arial" w:cs="Arial" w:eastAsia="Arial" w:hAnsi="Arial"/>
                <w:sz w:val="14"/>
                <w:szCs w:val="14"/>
                <w:color w:val="auto"/>
              </w:rPr>
              <w:t>Other</w:t>
            </w:r>
          </w:p>
        </w:tc>
        <w:tc>
          <w:tcPr>
            <w:tcW w:w="1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w:t>
            </w:r>
          </w:p>
        </w:tc>
        <w:tc>
          <w:tcPr>
            <w:tcW w:w="280" w:type="dxa"/>
            <w:vAlign w:val="bottom"/>
            <w:tcBorders>
              <w:bottom w:val="single" w:sz="8" w:color="D7282F"/>
            </w:tcBorders>
          </w:tcPr>
          <w:p>
            <w:pPr>
              <w:spacing w:after="0"/>
              <w:rPr>
                <w:sz w:val="17"/>
                <w:szCs w:val="17"/>
                <w:color w:val="auto"/>
              </w:rPr>
            </w:pPr>
          </w:p>
        </w:tc>
        <w:tc>
          <w:tcPr>
            <w:tcW w:w="840" w:type="dxa"/>
            <w:vAlign w:val="bottom"/>
            <w:tcBorders>
              <w:bottom w:val="single" w:sz="8" w:color="D7282F"/>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w:t>
            </w:r>
          </w:p>
        </w:tc>
        <w:tc>
          <w:tcPr>
            <w:tcW w:w="28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w:t>
            </w:r>
          </w:p>
        </w:tc>
      </w:tr>
      <w:tr>
        <w:trPr>
          <w:trHeight w:val="199"/>
        </w:trPr>
        <w:tc>
          <w:tcPr>
            <w:tcW w:w="748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Benefit obligation at end of year</w:t>
            </w:r>
          </w:p>
        </w:tc>
        <w:tc>
          <w:tcPr>
            <w:tcW w:w="1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11,772</w:t>
            </w:r>
          </w:p>
        </w:tc>
        <w:tc>
          <w:tcPr>
            <w:tcW w:w="28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12,792</w:t>
            </w:r>
          </w:p>
        </w:tc>
        <w:tc>
          <w:tcPr>
            <w:tcW w:w="240" w:type="dxa"/>
            <w:vAlign w:val="bottom"/>
            <w:tcBorders>
              <w:bottom w:val="single" w:sz="8" w:color="D7282F"/>
            </w:tcBorders>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4,161</w:t>
            </w:r>
          </w:p>
        </w:tc>
        <w:tc>
          <w:tcPr>
            <w:tcW w:w="28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4,718</w:t>
            </w:r>
          </w:p>
        </w:tc>
      </w:tr>
      <w:tr>
        <w:trPr>
          <w:trHeight w:val="193"/>
        </w:trPr>
        <w:tc>
          <w:tcPr>
            <w:tcW w:w="7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Change in plan assets</w:t>
            </w:r>
          </w:p>
        </w:tc>
        <w:tc>
          <w:tcPr>
            <w:tcW w:w="160" w:type="dxa"/>
            <w:vAlign w:val="bottom"/>
            <w:tcBorders>
              <w:bottom w:val="single" w:sz="8" w:color="888B8D"/>
            </w:tcBorders>
          </w:tcPr>
          <w:p>
            <w:pPr>
              <w:spacing w:after="0"/>
              <w:rPr>
                <w:sz w:val="16"/>
                <w:szCs w:val="16"/>
                <w:color w:val="auto"/>
              </w:rPr>
            </w:pPr>
          </w:p>
        </w:tc>
        <w:tc>
          <w:tcPr>
            <w:tcW w:w="720" w:type="dxa"/>
            <w:vAlign w:val="bottom"/>
            <w:tcBorders>
              <w:bottom w:val="single" w:sz="8" w:color="888B8D"/>
            </w:tcBorders>
          </w:tcPr>
          <w:p>
            <w:pPr>
              <w:spacing w:after="0"/>
              <w:rPr>
                <w:sz w:val="16"/>
                <w:szCs w:val="16"/>
                <w:color w:val="auto"/>
              </w:rPr>
            </w:pPr>
          </w:p>
        </w:tc>
        <w:tc>
          <w:tcPr>
            <w:tcW w:w="280" w:type="dxa"/>
            <w:vAlign w:val="bottom"/>
            <w:tcBorders>
              <w:bottom w:val="single" w:sz="8" w:color="888B8D"/>
            </w:tcBorders>
          </w:tcPr>
          <w:p>
            <w:pPr>
              <w:spacing w:after="0"/>
              <w:rPr>
                <w:sz w:val="16"/>
                <w:szCs w:val="16"/>
                <w:color w:val="auto"/>
              </w:rPr>
            </w:pPr>
          </w:p>
        </w:tc>
        <w:tc>
          <w:tcPr>
            <w:tcW w:w="600" w:type="dxa"/>
            <w:vAlign w:val="bottom"/>
            <w:tcBorders>
              <w:bottom w:val="single" w:sz="8" w:color="888B8D"/>
            </w:tcBorders>
          </w:tcPr>
          <w:p>
            <w:pPr>
              <w:spacing w:after="0"/>
              <w:rPr>
                <w:sz w:val="16"/>
                <w:szCs w:val="16"/>
                <w:color w:val="auto"/>
              </w:rPr>
            </w:pPr>
          </w:p>
        </w:tc>
        <w:tc>
          <w:tcPr>
            <w:tcW w:w="240" w:type="dxa"/>
            <w:vAlign w:val="bottom"/>
            <w:tcBorders>
              <w:bottom w:val="single" w:sz="8" w:color="888B8D"/>
            </w:tcBorders>
          </w:tcPr>
          <w:p>
            <w:pPr>
              <w:spacing w:after="0"/>
              <w:rPr>
                <w:sz w:val="16"/>
                <w:szCs w:val="16"/>
                <w:color w:val="auto"/>
              </w:rPr>
            </w:pPr>
          </w:p>
        </w:tc>
        <w:tc>
          <w:tcPr>
            <w:tcW w:w="160" w:type="dxa"/>
            <w:vAlign w:val="bottom"/>
            <w:tcBorders>
              <w:bottom w:val="single" w:sz="8" w:color="888B8D"/>
            </w:tcBorders>
          </w:tcPr>
          <w:p>
            <w:pPr>
              <w:spacing w:after="0"/>
              <w:rPr>
                <w:sz w:val="16"/>
                <w:szCs w:val="16"/>
                <w:color w:val="auto"/>
              </w:rPr>
            </w:pPr>
          </w:p>
        </w:tc>
        <w:tc>
          <w:tcPr>
            <w:tcW w:w="720" w:type="dxa"/>
            <w:vAlign w:val="bottom"/>
            <w:tcBorders>
              <w:bottom w:val="single" w:sz="8" w:color="888B8D"/>
            </w:tcBorders>
          </w:tcPr>
          <w:p>
            <w:pPr>
              <w:spacing w:after="0"/>
              <w:rPr>
                <w:sz w:val="16"/>
                <w:szCs w:val="16"/>
                <w:color w:val="auto"/>
              </w:rPr>
            </w:pPr>
          </w:p>
        </w:tc>
        <w:tc>
          <w:tcPr>
            <w:tcW w:w="280" w:type="dxa"/>
            <w:vAlign w:val="bottom"/>
            <w:tcBorders>
              <w:bottom w:val="single" w:sz="8" w:color="888B8D"/>
            </w:tcBorders>
          </w:tcPr>
          <w:p>
            <w:pPr>
              <w:spacing w:after="0"/>
              <w:rPr>
                <w:sz w:val="16"/>
                <w:szCs w:val="16"/>
                <w:color w:val="auto"/>
              </w:rPr>
            </w:pPr>
          </w:p>
        </w:tc>
        <w:tc>
          <w:tcPr>
            <w:tcW w:w="600" w:type="dxa"/>
            <w:vAlign w:val="bottom"/>
            <w:tcBorders>
              <w:bottom w:val="single" w:sz="8" w:color="888B8D"/>
            </w:tcBorders>
          </w:tcPr>
          <w:p>
            <w:pPr>
              <w:spacing w:after="0"/>
              <w:rPr>
                <w:sz w:val="16"/>
                <w:szCs w:val="16"/>
                <w:color w:val="auto"/>
              </w:rPr>
            </w:pPr>
          </w:p>
        </w:tc>
      </w:tr>
      <w:tr>
        <w:trPr>
          <w:trHeight w:val="196"/>
        </w:trPr>
        <w:tc>
          <w:tcPr>
            <w:tcW w:w="748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Fair value of plan assets at beginning of year</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16,594</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17,005</w:t>
            </w:r>
          </w:p>
        </w:tc>
        <w:tc>
          <w:tcPr>
            <w:tcW w:w="240" w:type="dxa"/>
            <w:vAlign w:val="bottom"/>
            <w:tcBorders>
              <w:bottom w:val="single" w:sz="8" w:color="888B8D"/>
            </w:tcBorders>
          </w:tcPr>
          <w:p>
            <w:pPr>
              <w:spacing w:after="0"/>
              <w:rPr>
                <w:sz w:val="17"/>
                <w:szCs w:val="17"/>
                <w:color w:val="auto"/>
              </w:rPr>
            </w:pP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5,549</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5,304</w:t>
            </w:r>
          </w:p>
        </w:tc>
      </w:tr>
      <w:tr>
        <w:trPr>
          <w:trHeight w:val="196"/>
        </w:trPr>
        <w:tc>
          <w:tcPr>
            <w:tcW w:w="7480" w:type="dxa"/>
            <w:vAlign w:val="bottom"/>
            <w:tcBorders>
              <w:bottom w:val="single" w:sz="8" w:color="888B8D"/>
            </w:tcBorders>
          </w:tcPr>
          <w:p>
            <w:pPr>
              <w:ind w:left="240"/>
              <w:spacing w:after="0"/>
              <w:rPr>
                <w:sz w:val="20"/>
                <w:szCs w:val="20"/>
                <w:color w:val="auto"/>
              </w:rPr>
            </w:pPr>
            <w:r>
              <w:rPr>
                <w:rFonts w:ascii="Arial" w:cs="Arial" w:eastAsia="Arial" w:hAnsi="Arial"/>
                <w:sz w:val="14"/>
                <w:szCs w:val="14"/>
                <w:color w:val="auto"/>
              </w:rPr>
              <w:t>Actual return on plan assets</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1,008</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1,070</w:t>
            </w:r>
          </w:p>
        </w:tc>
        <w:tc>
          <w:tcPr>
            <w:tcW w:w="240" w:type="dxa"/>
            <w:vAlign w:val="bottom"/>
            <w:tcBorders>
              <w:bottom w:val="single" w:sz="8" w:color="888B8D"/>
            </w:tcBorders>
          </w:tcPr>
          <w:p>
            <w:pPr>
              <w:spacing w:after="0"/>
              <w:rPr>
                <w:sz w:val="17"/>
                <w:szCs w:val="17"/>
                <w:color w:val="auto"/>
              </w:rPr>
            </w:pP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(111)</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267</w:t>
            </w:r>
          </w:p>
        </w:tc>
      </w:tr>
      <w:tr>
        <w:trPr>
          <w:trHeight w:val="196"/>
        </w:trPr>
        <w:tc>
          <w:tcPr>
            <w:tcW w:w="7480" w:type="dxa"/>
            <w:vAlign w:val="bottom"/>
            <w:tcBorders>
              <w:bottom w:val="single" w:sz="8" w:color="888B8D"/>
            </w:tcBorders>
          </w:tcPr>
          <w:p>
            <w:pPr>
              <w:ind w:left="240"/>
              <w:spacing w:after="0"/>
              <w:rPr>
                <w:sz w:val="20"/>
                <w:szCs w:val="20"/>
                <w:color w:val="auto"/>
              </w:rPr>
            </w:pPr>
            <w:r>
              <w:rPr>
                <w:rFonts w:ascii="Arial" w:cs="Arial" w:eastAsia="Arial" w:hAnsi="Arial"/>
                <w:sz w:val="14"/>
                <w:szCs w:val="14"/>
                <w:color w:val="auto"/>
              </w:rPr>
              <w:t>Company contributions</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31</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28</w:t>
            </w:r>
          </w:p>
        </w:tc>
        <w:tc>
          <w:tcPr>
            <w:tcW w:w="240" w:type="dxa"/>
            <w:vAlign w:val="bottom"/>
            <w:tcBorders>
              <w:bottom w:val="single" w:sz="8" w:color="888B8D"/>
            </w:tcBorders>
          </w:tcPr>
          <w:p>
            <w:pPr>
              <w:spacing w:after="0"/>
              <w:rPr>
                <w:sz w:val="17"/>
                <w:szCs w:val="17"/>
                <w:color w:val="auto"/>
              </w:rPr>
            </w:pP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29</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22</w:t>
            </w:r>
          </w:p>
        </w:tc>
      </w:tr>
      <w:tr>
        <w:trPr>
          <w:trHeight w:val="196"/>
        </w:trPr>
        <w:tc>
          <w:tcPr>
            <w:tcW w:w="7480" w:type="dxa"/>
            <w:vAlign w:val="bottom"/>
            <w:tcBorders>
              <w:bottom w:val="single" w:sz="8" w:color="888B8D"/>
            </w:tcBorders>
          </w:tcPr>
          <w:p>
            <w:pPr>
              <w:ind w:left="240"/>
              <w:spacing w:after="0"/>
              <w:rPr>
                <w:sz w:val="20"/>
                <w:szCs w:val="20"/>
                <w:color w:val="auto"/>
              </w:rPr>
            </w:pPr>
            <w:r>
              <w:rPr>
                <w:rFonts w:ascii="Arial" w:cs="Arial" w:eastAsia="Arial" w:hAnsi="Arial"/>
                <w:sz w:val="14"/>
                <w:szCs w:val="14"/>
                <w:color w:val="auto"/>
              </w:rPr>
              <w:t>Benefits paid</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(1,069)</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(1,509)</w:t>
            </w:r>
          </w:p>
        </w:tc>
        <w:tc>
          <w:tcPr>
            <w:tcW w:w="240" w:type="dxa"/>
            <w:vAlign w:val="bottom"/>
            <w:tcBorders>
              <w:bottom w:val="single" w:sz="8" w:color="888B8D"/>
            </w:tcBorders>
          </w:tcPr>
          <w:p>
            <w:pPr>
              <w:spacing w:after="0"/>
              <w:rPr>
                <w:sz w:val="17"/>
                <w:szCs w:val="17"/>
                <w:color w:val="auto"/>
              </w:rPr>
            </w:pP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(262)</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(250)</w:t>
            </w:r>
          </w:p>
        </w:tc>
      </w:tr>
      <w:tr>
        <w:trPr>
          <w:trHeight w:val="196"/>
        </w:trPr>
        <w:tc>
          <w:tcPr>
            <w:tcW w:w="7480" w:type="dxa"/>
            <w:vAlign w:val="bottom"/>
            <w:tcBorders>
              <w:bottom w:val="single" w:sz="8" w:color="888B8D"/>
            </w:tcBorders>
          </w:tcPr>
          <w:p>
            <w:pPr>
              <w:ind w:left="240"/>
              <w:spacing w:after="0"/>
              <w:rPr>
                <w:sz w:val="20"/>
                <w:szCs w:val="20"/>
                <w:color w:val="auto"/>
              </w:rPr>
            </w:pPr>
            <w:r>
              <w:rPr>
                <w:rFonts w:ascii="Arial" w:cs="Arial" w:eastAsia="Arial" w:hAnsi="Arial"/>
                <w:sz w:val="14"/>
                <w:szCs w:val="14"/>
                <w:color w:val="auto"/>
              </w:rPr>
              <w:t>Foreign currency translation</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888B8D"/>
            </w:tcBorders>
          </w:tcPr>
          <w:p>
            <w:pPr>
              <w:spacing w:after="0"/>
              <w:rPr>
                <w:sz w:val="17"/>
                <w:szCs w:val="17"/>
                <w:color w:val="auto"/>
              </w:rPr>
            </w:pPr>
          </w:p>
        </w:tc>
        <w:tc>
          <w:tcPr>
            <w:tcW w:w="840" w:type="dxa"/>
            <w:vAlign w:val="bottom"/>
            <w:tcBorders>
              <w:bottom w:val="single" w:sz="8" w:color="888B8D"/>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(101)</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205</w:t>
            </w:r>
          </w:p>
        </w:tc>
      </w:tr>
      <w:tr>
        <w:trPr>
          <w:trHeight w:val="196"/>
        </w:trPr>
        <w:tc>
          <w:tcPr>
            <w:tcW w:w="7480" w:type="dxa"/>
            <w:vAlign w:val="bottom"/>
            <w:tcBorders>
              <w:bottom w:val="single" w:sz="8" w:color="D7282F"/>
            </w:tcBorders>
          </w:tcPr>
          <w:p>
            <w:pPr>
              <w:ind w:left="240"/>
              <w:spacing w:after="0"/>
              <w:rPr>
                <w:sz w:val="20"/>
                <w:szCs w:val="20"/>
                <w:color w:val="auto"/>
              </w:rPr>
            </w:pPr>
            <w:r>
              <w:rPr>
                <w:rFonts w:ascii="Arial" w:cs="Arial" w:eastAsia="Arial" w:hAnsi="Arial"/>
                <w:sz w:val="14"/>
                <w:szCs w:val="14"/>
                <w:color w:val="auto"/>
              </w:rPr>
              <w:t>Other</w:t>
            </w:r>
          </w:p>
        </w:tc>
        <w:tc>
          <w:tcPr>
            <w:tcW w:w="1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w:t>
            </w:r>
          </w:p>
        </w:tc>
        <w:tc>
          <w:tcPr>
            <w:tcW w:w="28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spacing w:after="0"/>
              <w:rPr>
                <w:sz w:val="17"/>
                <w:szCs w:val="17"/>
                <w:color w:val="auto"/>
              </w:rPr>
            </w:pPr>
          </w:p>
        </w:tc>
        <w:tc>
          <w:tcPr>
            <w:tcW w:w="240" w:type="dxa"/>
            <w:vAlign w:val="bottom"/>
            <w:tcBorders>
              <w:bottom w:val="single" w:sz="8" w:color="D7282F"/>
            </w:tcBorders>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w:t>
            </w:r>
          </w:p>
        </w:tc>
        <w:tc>
          <w:tcPr>
            <w:tcW w:w="28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w:t>
            </w:r>
          </w:p>
        </w:tc>
      </w:tr>
      <w:tr>
        <w:trPr>
          <w:trHeight w:val="199"/>
        </w:trPr>
        <w:tc>
          <w:tcPr>
            <w:tcW w:w="748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Fair value of plan assets at end of year</w:t>
            </w:r>
          </w:p>
        </w:tc>
        <w:tc>
          <w:tcPr>
            <w:tcW w:w="1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16,565</w:t>
            </w:r>
          </w:p>
        </w:tc>
        <w:tc>
          <w:tcPr>
            <w:tcW w:w="28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16,594</w:t>
            </w:r>
          </w:p>
        </w:tc>
        <w:tc>
          <w:tcPr>
            <w:tcW w:w="240" w:type="dxa"/>
            <w:vAlign w:val="bottom"/>
            <w:tcBorders>
              <w:bottom w:val="single" w:sz="8" w:color="D7282F"/>
            </w:tcBorders>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5,105</w:t>
            </w:r>
          </w:p>
        </w:tc>
        <w:tc>
          <w:tcPr>
            <w:tcW w:w="28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5,549</w:t>
            </w:r>
          </w:p>
        </w:tc>
      </w:tr>
      <w:tr>
        <w:trPr>
          <w:trHeight w:val="196"/>
        </w:trPr>
        <w:tc>
          <w:tcPr>
            <w:tcW w:w="748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Funded status of plans</w:t>
            </w: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4,793</w:t>
            </w:r>
          </w:p>
        </w:tc>
        <w:tc>
          <w:tcPr>
            <w:tcW w:w="2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3,802</w:t>
            </w:r>
          </w:p>
        </w:tc>
        <w:tc>
          <w:tcPr>
            <w:tcW w:w="240" w:type="dxa"/>
            <w:vAlign w:val="bottom"/>
            <w:tcBorders>
              <w:bottom w:val="single" w:sz="8" w:color="D7282F"/>
            </w:tcBorders>
          </w:tcPr>
          <w:p>
            <w:pPr>
              <w:spacing w:after="0"/>
              <w:rPr>
                <w:sz w:val="17"/>
                <w:szCs w:val="17"/>
                <w:color w:val="auto"/>
              </w:rPr>
            </w:pPr>
          </w:p>
        </w:tc>
        <w:tc>
          <w:tcPr>
            <w:tcW w:w="16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944</w:t>
            </w:r>
          </w:p>
        </w:tc>
        <w:tc>
          <w:tcPr>
            <w:tcW w:w="2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831</w:t>
            </w:r>
          </w:p>
        </w:tc>
      </w:tr>
      <w:tr>
        <w:trPr>
          <w:trHeight w:val="193"/>
        </w:trPr>
        <w:tc>
          <w:tcPr>
            <w:tcW w:w="7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Amounts recognized in the Consolidated Balance Sheet consist of</w:t>
            </w:r>
          </w:p>
        </w:tc>
        <w:tc>
          <w:tcPr>
            <w:tcW w:w="160" w:type="dxa"/>
            <w:vAlign w:val="bottom"/>
            <w:tcBorders>
              <w:bottom w:val="single" w:sz="8" w:color="888B8D"/>
            </w:tcBorders>
          </w:tcPr>
          <w:p>
            <w:pPr>
              <w:spacing w:after="0"/>
              <w:rPr>
                <w:sz w:val="16"/>
                <w:szCs w:val="16"/>
                <w:color w:val="auto"/>
              </w:rPr>
            </w:pPr>
          </w:p>
        </w:tc>
        <w:tc>
          <w:tcPr>
            <w:tcW w:w="720" w:type="dxa"/>
            <w:vAlign w:val="bottom"/>
            <w:tcBorders>
              <w:bottom w:val="single" w:sz="8" w:color="888B8D"/>
            </w:tcBorders>
          </w:tcPr>
          <w:p>
            <w:pPr>
              <w:spacing w:after="0"/>
              <w:rPr>
                <w:sz w:val="16"/>
                <w:szCs w:val="16"/>
                <w:color w:val="auto"/>
              </w:rPr>
            </w:pPr>
          </w:p>
        </w:tc>
        <w:tc>
          <w:tcPr>
            <w:tcW w:w="280" w:type="dxa"/>
            <w:vAlign w:val="bottom"/>
            <w:tcBorders>
              <w:bottom w:val="single" w:sz="8" w:color="888B8D"/>
            </w:tcBorders>
          </w:tcPr>
          <w:p>
            <w:pPr>
              <w:spacing w:after="0"/>
              <w:rPr>
                <w:sz w:val="16"/>
                <w:szCs w:val="16"/>
                <w:color w:val="auto"/>
              </w:rPr>
            </w:pPr>
          </w:p>
        </w:tc>
        <w:tc>
          <w:tcPr>
            <w:tcW w:w="600" w:type="dxa"/>
            <w:vAlign w:val="bottom"/>
            <w:tcBorders>
              <w:bottom w:val="single" w:sz="8" w:color="888B8D"/>
            </w:tcBorders>
          </w:tcPr>
          <w:p>
            <w:pPr>
              <w:spacing w:after="0"/>
              <w:rPr>
                <w:sz w:val="16"/>
                <w:szCs w:val="16"/>
                <w:color w:val="auto"/>
              </w:rPr>
            </w:pPr>
          </w:p>
        </w:tc>
        <w:tc>
          <w:tcPr>
            <w:tcW w:w="240" w:type="dxa"/>
            <w:vAlign w:val="bottom"/>
            <w:tcBorders>
              <w:bottom w:val="single" w:sz="8" w:color="888B8D"/>
            </w:tcBorders>
          </w:tcPr>
          <w:p>
            <w:pPr>
              <w:spacing w:after="0"/>
              <w:rPr>
                <w:sz w:val="16"/>
                <w:szCs w:val="16"/>
                <w:color w:val="auto"/>
              </w:rPr>
            </w:pPr>
          </w:p>
        </w:tc>
        <w:tc>
          <w:tcPr>
            <w:tcW w:w="160" w:type="dxa"/>
            <w:vAlign w:val="bottom"/>
            <w:tcBorders>
              <w:bottom w:val="single" w:sz="8" w:color="888B8D"/>
            </w:tcBorders>
          </w:tcPr>
          <w:p>
            <w:pPr>
              <w:spacing w:after="0"/>
              <w:rPr>
                <w:sz w:val="16"/>
                <w:szCs w:val="16"/>
                <w:color w:val="auto"/>
              </w:rPr>
            </w:pPr>
          </w:p>
        </w:tc>
        <w:tc>
          <w:tcPr>
            <w:tcW w:w="720" w:type="dxa"/>
            <w:vAlign w:val="bottom"/>
            <w:tcBorders>
              <w:bottom w:val="single" w:sz="8" w:color="888B8D"/>
            </w:tcBorders>
          </w:tcPr>
          <w:p>
            <w:pPr>
              <w:spacing w:after="0"/>
              <w:rPr>
                <w:sz w:val="16"/>
                <w:szCs w:val="16"/>
                <w:color w:val="auto"/>
              </w:rPr>
            </w:pPr>
          </w:p>
        </w:tc>
        <w:tc>
          <w:tcPr>
            <w:tcW w:w="280" w:type="dxa"/>
            <w:vAlign w:val="bottom"/>
            <w:tcBorders>
              <w:bottom w:val="single" w:sz="8" w:color="888B8D"/>
            </w:tcBorders>
          </w:tcPr>
          <w:p>
            <w:pPr>
              <w:spacing w:after="0"/>
              <w:rPr>
                <w:sz w:val="16"/>
                <w:szCs w:val="16"/>
                <w:color w:val="auto"/>
              </w:rPr>
            </w:pPr>
          </w:p>
        </w:tc>
        <w:tc>
          <w:tcPr>
            <w:tcW w:w="600" w:type="dxa"/>
            <w:vAlign w:val="bottom"/>
            <w:tcBorders>
              <w:bottom w:val="single" w:sz="8" w:color="888B8D"/>
            </w:tcBorders>
          </w:tcPr>
          <w:p>
            <w:pPr>
              <w:spacing w:after="0"/>
              <w:rPr>
                <w:sz w:val="16"/>
                <w:szCs w:val="16"/>
                <w:color w:val="auto"/>
              </w:rPr>
            </w:pPr>
          </w:p>
        </w:tc>
      </w:tr>
      <w:tr>
        <w:trPr>
          <w:trHeight w:val="200"/>
        </w:trPr>
        <w:tc>
          <w:tcPr>
            <w:tcW w:w="7480" w:type="dxa"/>
            <w:vAlign w:val="bottom"/>
            <w:tcBorders>
              <w:bottom w:val="single" w:sz="8" w:color="888B8D"/>
            </w:tcBorders>
          </w:tcPr>
          <w:p>
            <w:pPr>
              <w:ind w:left="140"/>
              <w:spacing w:after="0" w:line="200" w:lineRule="exact"/>
              <w:rPr>
                <w:sz w:val="20"/>
                <w:szCs w:val="20"/>
                <w:color w:val="auto"/>
              </w:rPr>
            </w:pPr>
            <w:r>
              <w:rPr>
                <w:rFonts w:ascii="Arial" w:cs="Arial" w:eastAsia="Arial" w:hAnsi="Arial"/>
                <w:sz w:val="14"/>
                <w:szCs w:val="14"/>
                <w:color w:val="auto"/>
              </w:rPr>
              <w:t>Prepaid pension benefit cost</w:t>
            </w:r>
            <w:r>
              <w:rPr>
                <w:rFonts w:ascii="Arial" w:cs="Arial" w:eastAsia="Arial" w:hAnsi="Arial"/>
                <w:sz w:val="18"/>
                <w:szCs w:val="18"/>
                <w:color w:val="auto"/>
                <w:vertAlign w:val="superscript"/>
              </w:rPr>
              <w:t>2</w:t>
            </w:r>
          </w:p>
        </w:tc>
        <w:tc>
          <w:tcPr>
            <w:tcW w:w="1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5,029</w:t>
            </w:r>
          </w:p>
        </w:tc>
        <w:tc>
          <w:tcPr>
            <w:tcW w:w="28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4,052</w:t>
            </w:r>
          </w:p>
        </w:tc>
        <w:tc>
          <w:tcPr>
            <w:tcW w:w="240" w:type="dxa"/>
            <w:vAlign w:val="bottom"/>
            <w:tcBorders>
              <w:bottom w:val="single" w:sz="8" w:color="888B8D"/>
            </w:tcBorders>
          </w:tcPr>
          <w:p>
            <w:pPr>
              <w:spacing w:after="0"/>
              <w:rPr>
                <w:sz w:val="17"/>
                <w:szCs w:val="17"/>
                <w:color w:val="auto"/>
              </w:rPr>
            </w:pPr>
          </w:p>
        </w:tc>
        <w:tc>
          <w:tcPr>
            <w:tcW w:w="160" w:type="dxa"/>
            <w:vAlign w:val="bottom"/>
            <w:tcBorders>
              <w:bottom w:val="single" w:sz="8" w:color="888B8D"/>
            </w:tcBorders>
          </w:tcPr>
          <w:p>
            <w:pPr>
              <w:jc w:val="right"/>
              <w:ind w:right="8"/>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1,431</w:t>
            </w:r>
          </w:p>
        </w:tc>
        <w:tc>
          <w:tcPr>
            <w:tcW w:w="280" w:type="dxa"/>
            <w:vAlign w:val="bottom"/>
            <w:tcBorders>
              <w:bottom w:val="single" w:sz="8" w:color="888B8D"/>
            </w:tcBorders>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1,335</w:t>
            </w:r>
          </w:p>
        </w:tc>
      </w:tr>
      <w:tr>
        <w:trPr>
          <w:trHeight w:val="196"/>
        </w:trPr>
        <w:tc>
          <w:tcPr>
            <w:tcW w:w="7480" w:type="dxa"/>
            <w:vAlign w:val="bottom"/>
            <w:tcBorders>
              <w:bottom w:val="single" w:sz="8" w:color="888B8D"/>
            </w:tcBorders>
          </w:tcPr>
          <w:p>
            <w:pPr>
              <w:ind w:left="140"/>
              <w:spacing w:after="0" w:line="196" w:lineRule="exact"/>
              <w:rPr>
                <w:sz w:val="20"/>
                <w:szCs w:val="20"/>
                <w:color w:val="auto"/>
              </w:rPr>
            </w:pPr>
            <w:r>
              <w:rPr>
                <w:rFonts w:ascii="Arial" w:cs="Arial" w:eastAsia="Arial" w:hAnsi="Arial"/>
                <w:sz w:val="14"/>
                <w:szCs w:val="14"/>
                <w:color w:val="auto"/>
              </w:rPr>
              <w:t>Accrued pension liabilities—current</w:t>
            </w:r>
            <w:r>
              <w:rPr>
                <w:rFonts w:ascii="Arial" w:cs="Arial" w:eastAsia="Arial" w:hAnsi="Arial"/>
                <w:sz w:val="18"/>
                <w:szCs w:val="18"/>
                <w:color w:val="auto"/>
                <w:vertAlign w:val="superscript"/>
              </w:rPr>
              <w:t>3</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(28)</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(26)</w:t>
            </w:r>
          </w:p>
        </w:tc>
        <w:tc>
          <w:tcPr>
            <w:tcW w:w="240" w:type="dxa"/>
            <w:vAlign w:val="bottom"/>
            <w:tcBorders>
              <w:bottom w:val="single" w:sz="8" w:color="888B8D"/>
            </w:tcBorders>
          </w:tcPr>
          <w:p>
            <w:pPr>
              <w:spacing w:after="0"/>
              <w:rPr>
                <w:sz w:val="17"/>
                <w:szCs w:val="17"/>
                <w:color w:val="auto"/>
              </w:rPr>
            </w:pP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(15)</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(15)</w:t>
            </w:r>
          </w:p>
        </w:tc>
      </w:tr>
      <w:tr>
        <w:trPr>
          <w:trHeight w:val="196"/>
        </w:trPr>
        <w:tc>
          <w:tcPr>
            <w:tcW w:w="7480" w:type="dxa"/>
            <w:vAlign w:val="bottom"/>
            <w:tcBorders>
              <w:bottom w:val="single" w:sz="8" w:color="D7282F"/>
            </w:tcBorders>
          </w:tcPr>
          <w:p>
            <w:pPr>
              <w:ind w:left="140"/>
              <w:spacing w:after="0" w:line="196" w:lineRule="exact"/>
              <w:rPr>
                <w:sz w:val="20"/>
                <w:szCs w:val="20"/>
                <w:color w:val="auto"/>
              </w:rPr>
            </w:pPr>
            <w:r>
              <w:rPr>
                <w:rFonts w:ascii="Arial" w:cs="Arial" w:eastAsia="Arial" w:hAnsi="Arial"/>
                <w:sz w:val="14"/>
                <w:szCs w:val="14"/>
                <w:color w:val="auto"/>
              </w:rPr>
              <w:t>Accrued pension liabilities—noncurrent</w:t>
            </w:r>
            <w:r>
              <w:rPr>
                <w:rFonts w:ascii="Arial" w:cs="Arial" w:eastAsia="Arial" w:hAnsi="Arial"/>
                <w:sz w:val="18"/>
                <w:szCs w:val="18"/>
                <w:color w:val="auto"/>
                <w:vertAlign w:val="superscript"/>
              </w:rPr>
              <w:t>4</w:t>
            </w:r>
          </w:p>
        </w:tc>
        <w:tc>
          <w:tcPr>
            <w:tcW w:w="1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(208)</w:t>
            </w:r>
          </w:p>
        </w:tc>
        <w:tc>
          <w:tcPr>
            <w:tcW w:w="28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(224)</w:t>
            </w:r>
          </w:p>
        </w:tc>
        <w:tc>
          <w:tcPr>
            <w:tcW w:w="240" w:type="dxa"/>
            <w:vAlign w:val="bottom"/>
            <w:tcBorders>
              <w:bottom w:val="single" w:sz="8" w:color="D7282F"/>
            </w:tcBorders>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(472)</w:t>
            </w:r>
          </w:p>
        </w:tc>
        <w:tc>
          <w:tcPr>
            <w:tcW w:w="28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(489)</w:t>
            </w:r>
          </w:p>
        </w:tc>
      </w:tr>
      <w:tr>
        <w:trPr>
          <w:trHeight w:val="195"/>
        </w:trPr>
        <w:tc>
          <w:tcPr>
            <w:tcW w:w="748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Net amount recognized</w:t>
            </w: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4,793</w:t>
            </w:r>
          </w:p>
        </w:tc>
        <w:tc>
          <w:tcPr>
            <w:tcW w:w="2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3,802</w:t>
            </w:r>
          </w:p>
        </w:tc>
        <w:tc>
          <w:tcPr>
            <w:tcW w:w="240" w:type="dxa"/>
            <w:vAlign w:val="bottom"/>
            <w:tcBorders>
              <w:bottom w:val="single" w:sz="8" w:color="D7282F"/>
            </w:tcBorders>
          </w:tcPr>
          <w:p>
            <w:pPr>
              <w:spacing w:after="0"/>
              <w:rPr>
                <w:sz w:val="16"/>
                <w:szCs w:val="16"/>
                <w:color w:val="auto"/>
              </w:rPr>
            </w:pPr>
          </w:p>
        </w:tc>
        <w:tc>
          <w:tcPr>
            <w:tcW w:w="16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944</w:t>
            </w:r>
          </w:p>
        </w:tc>
        <w:tc>
          <w:tcPr>
            <w:tcW w:w="2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831</w:t>
            </w:r>
          </w:p>
        </w:tc>
      </w:tr>
    </w:tbl>
    <w:p>
      <w:pPr>
        <w:spacing w:after="0" w:line="144" w:lineRule="exact"/>
        <w:rPr>
          <w:sz w:val="20"/>
          <w:szCs w:val="20"/>
          <w:color w:val="auto"/>
        </w:rPr>
      </w:pPr>
    </w:p>
    <w:p>
      <w:pPr>
        <w:jc w:val="both"/>
        <w:ind w:left="480" w:right="20" w:hanging="344"/>
        <w:spacing w:after="0" w:line="187" w:lineRule="auto"/>
        <w:tabs>
          <w:tab w:leader="none" w:pos="480" w:val="left"/>
        </w:tabs>
        <w:numPr>
          <w:ilvl w:val="0"/>
          <w:numId w:val="164"/>
        </w:numPr>
        <w:rPr>
          <w:rFonts w:ascii="Arial" w:cs="Arial" w:eastAsia="Arial" w:hAnsi="Arial"/>
          <w:sz w:val="25"/>
          <w:szCs w:val="25"/>
          <w:color w:val="auto"/>
          <w:vertAlign w:val="superscript"/>
        </w:rPr>
      </w:pPr>
      <w:r>
        <w:rPr>
          <w:rFonts w:ascii="Arial" w:cs="Arial" w:eastAsia="Arial" w:hAnsi="Arial"/>
          <w:sz w:val="13"/>
          <w:szCs w:val="13"/>
          <w:color w:val="auto"/>
        </w:rPr>
        <w:t>The actuarial gains incurred in 2024 related to the Company's U.S. plans are primarily the result of an increase in the discount rate assumption, as well as changes in demographic assumptions, partially offset by changes in demographic experience used to estimate the benefit obligations as of December 31, 2024, compared to December 31, 2023. Actuarial gains incurred in 2024 related to the Company's non-U.S. plans are primarily the result of an increase in the discount rate assumption, as well as changes in demographic assumptions, partially offset by inflation related assumptions and changes in demographic experience used to estimate the benefit obligations as of December 31, 2024, compared to December 31, 2023. Actuarial losses incurred in 2023 related to the Company's U.S. plans are primarily the result of a decrease in the discount rate assumption, as well as changes in demographic experience and demographic assumptions used to estimate the benefit obligations as of December 31, 2023, compared to December 31, 2022. Actuarial losses incurred in 2023 related to the Company's non-U.S. plans are primarily the result of a decrease in the discount rate assumption, partially offset by inflation related assumptions used to estimate the benefit obligations as of December 31, 2023, compared to December 31, 2022.</w:t>
      </w:r>
    </w:p>
    <w:p>
      <w:pPr>
        <w:spacing w:after="0" w:line="14" w:lineRule="exact"/>
        <w:rPr>
          <w:sz w:val="20"/>
          <w:szCs w:val="20"/>
          <w:color w:val="auto"/>
        </w:rPr>
      </w:pPr>
    </w:p>
    <w:p>
      <w:pPr>
        <w:ind w:left="480" w:hanging="344"/>
        <w:spacing w:after="0"/>
        <w:tabs>
          <w:tab w:leader="none" w:pos="480" w:val="left"/>
        </w:tabs>
        <w:numPr>
          <w:ilvl w:val="0"/>
          <w:numId w:val="165"/>
        </w:numPr>
        <w:rPr>
          <w:rFonts w:ascii="Arial" w:cs="Arial" w:eastAsia="Arial" w:hAnsi="Arial"/>
          <w:sz w:val="13"/>
          <w:szCs w:val="13"/>
          <w:color w:val="auto"/>
        </w:rPr>
      </w:pPr>
      <w:r>
        <w:rPr>
          <w:rFonts w:ascii="Arial" w:cs="Arial" w:eastAsia="Arial" w:hAnsi="Arial"/>
          <w:sz w:val="13"/>
          <w:szCs w:val="13"/>
          <w:color w:val="auto"/>
        </w:rPr>
        <w:t>Included in Other assets in the Consolidated Balance Sheet.</w:t>
      </w:r>
    </w:p>
    <w:p>
      <w:pPr>
        <w:spacing w:after="0" w:line="26" w:lineRule="exact"/>
        <w:rPr>
          <w:sz w:val="20"/>
          <w:szCs w:val="20"/>
          <w:color w:val="auto"/>
        </w:rPr>
      </w:pPr>
    </w:p>
    <w:p>
      <w:pPr>
        <w:ind w:left="480" w:hanging="344"/>
        <w:spacing w:after="0"/>
        <w:tabs>
          <w:tab w:leader="none" w:pos="480" w:val="left"/>
        </w:tabs>
        <w:numPr>
          <w:ilvl w:val="0"/>
          <w:numId w:val="166"/>
        </w:numPr>
        <w:rPr>
          <w:rFonts w:ascii="Arial" w:cs="Arial" w:eastAsia="Arial" w:hAnsi="Arial"/>
          <w:sz w:val="13"/>
          <w:szCs w:val="13"/>
          <w:color w:val="auto"/>
        </w:rPr>
      </w:pPr>
      <w:r>
        <w:rPr>
          <w:rFonts w:ascii="Arial" w:cs="Arial" w:eastAsia="Arial" w:hAnsi="Arial"/>
          <w:sz w:val="13"/>
          <w:szCs w:val="13"/>
          <w:color w:val="auto"/>
        </w:rPr>
        <w:t>Included in Accrued liabilities in the Consolidated Balance Sheet.</w:t>
      </w:r>
    </w:p>
    <w:p>
      <w:pPr>
        <w:spacing w:after="0" w:line="26" w:lineRule="exact"/>
        <w:rPr>
          <w:rFonts w:ascii="Arial" w:cs="Arial" w:eastAsia="Arial" w:hAnsi="Arial"/>
          <w:sz w:val="13"/>
          <w:szCs w:val="13"/>
          <w:color w:val="auto"/>
        </w:rPr>
      </w:pPr>
    </w:p>
    <w:p>
      <w:pPr>
        <w:ind w:left="140"/>
        <w:spacing w:after="0"/>
        <w:rPr>
          <w:rFonts w:ascii="Arial" w:cs="Arial" w:eastAsia="Arial" w:hAnsi="Arial"/>
          <w:sz w:val="13"/>
          <w:szCs w:val="13"/>
          <w:color w:val="auto"/>
        </w:rPr>
      </w:pPr>
      <w:r>
        <w:rPr>
          <w:rFonts w:ascii="Arial" w:cs="Arial" w:eastAsia="Arial" w:hAnsi="Arial"/>
          <w:sz w:val="13"/>
          <w:szCs w:val="13"/>
          <w:color w:val="auto"/>
        </w:rPr>
        <w:t>4</w:t>
      </w:r>
      <w:r>
        <w:rPr>
          <w:rFonts w:ascii="Arial" w:cs="Arial" w:eastAsia="Arial" w:hAnsi="Arial"/>
          <w:sz w:val="12"/>
          <w:szCs w:val="12"/>
          <w:color w:val="auto"/>
        </w:rPr>
        <w:t>Included in Other liabilities in the Consolidated Balance Sheet.</w:t>
      </w:r>
    </w:p>
    <w:p>
      <w:pPr>
        <w:spacing w:after="0" w:line="200" w:lineRule="exact"/>
        <w:rPr>
          <w:sz w:val="20"/>
          <w:szCs w:val="20"/>
          <w:color w:val="auto"/>
        </w:rPr>
      </w:pPr>
    </w:p>
    <w:p>
      <w:pPr>
        <w:spacing w:after="0" w:line="358" w:lineRule="exact"/>
        <w:rPr>
          <w:sz w:val="20"/>
          <w:szCs w:val="20"/>
          <w:color w:val="auto"/>
        </w:rPr>
      </w:pPr>
    </w:p>
    <w:p>
      <w:pPr>
        <w:ind w:left="500" w:hanging="492"/>
        <w:spacing w:after="0"/>
        <w:tabs>
          <w:tab w:leader="none" w:pos="500" w:val="left"/>
        </w:tabs>
        <w:numPr>
          <w:ilvl w:val="0"/>
          <w:numId w:val="167"/>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03" w:name="page104"/>
    <w:bookmarkEnd w:id="103"/>
    <w:p>
      <w:pPr>
        <w:ind w:left="20"/>
        <w:spacing w:after="0"/>
        <w:tabs>
          <w:tab w:leader="none" w:pos="784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FINANCIAL STATEMENTS AND SUPPLEMENTARY DATA</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0160"/>
        <w:spacing w:after="0"/>
        <w:rPr>
          <w:sz w:val="20"/>
          <w:szCs w:val="20"/>
          <w:color w:val="auto"/>
        </w:rPr>
      </w:pPr>
      <w:r>
        <w:rPr>
          <w:rFonts w:ascii="Arial" w:cs="Arial" w:eastAsia="Arial" w:hAnsi="Arial"/>
          <w:sz w:val="14"/>
          <w:szCs w:val="14"/>
          <w:b w:val="1"/>
          <w:bCs w:val="1"/>
          <w:color w:val="auto"/>
        </w:rPr>
        <w:t>Other</w:t>
      </w:r>
    </w:p>
    <w:p>
      <w:pPr>
        <w:ind w:left="9840"/>
        <w:spacing w:after="0" w:line="203" w:lineRule="auto"/>
        <w:rPr>
          <w:sz w:val="20"/>
          <w:szCs w:val="20"/>
          <w:color w:val="auto"/>
        </w:rPr>
      </w:pPr>
      <w:r>
        <w:rPr>
          <w:rFonts w:ascii="Arial" w:cs="Arial" w:eastAsia="Arial" w:hAnsi="Arial"/>
          <w:sz w:val="14"/>
          <w:szCs w:val="14"/>
          <w:b w:val="1"/>
          <w:bCs w:val="1"/>
          <w:color w:val="auto"/>
        </w:rPr>
        <w:t>Postretirement</w:t>
      </w:r>
    </w:p>
    <w:p>
      <w:pPr>
        <w:ind w:left="10080"/>
        <w:spacing w:after="0"/>
        <w:rPr>
          <w:sz w:val="20"/>
          <w:szCs w:val="20"/>
          <w:color w:val="auto"/>
        </w:rPr>
      </w:pPr>
      <w:r>
        <w:rPr>
          <w:rFonts w:ascii="Arial" w:cs="Arial" w:eastAsia="Arial" w:hAnsi="Arial"/>
          <w:sz w:val="14"/>
          <w:szCs w:val="14"/>
          <w:b w:val="1"/>
          <w:bCs w:val="1"/>
          <w:color w:val="auto"/>
        </w:rPr>
        <w:t>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6014085</wp:posOffset>
            </wp:positionH>
            <wp:positionV relativeFrom="paragraph">
              <wp:posOffset>14605</wp:posOffset>
            </wp:positionV>
            <wp:extent cx="112268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8">
                      <a:extLst>
                        <a:ext uri="{28A0092B-C50C-407E-A947-70E740481C1C}"/>
                      </a:extLst>
                    </a:blip>
                    <a:srcRect/>
                    <a:stretch>
                      <a:fillRect/>
                    </a:stretch>
                  </pic:blipFill>
                  <pic:spPr bwMode="auto">
                    <a:xfrm>
                      <a:off x="0" y="0"/>
                      <a:ext cx="1122680" cy="8890"/>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860" w:type="dxa"/>
            <w:vAlign w:val="bottom"/>
            <w:tcBorders>
              <w:bottom w:val="single" w:sz="8" w:color="D7282F"/>
            </w:tcBorders>
          </w:tcPr>
          <w:p>
            <w:pPr>
              <w:spacing w:after="0"/>
              <w:rPr>
                <w:sz w:val="17"/>
                <w:szCs w:val="17"/>
                <w:color w:val="auto"/>
              </w:rPr>
            </w:pPr>
          </w:p>
        </w:tc>
        <w:tc>
          <w:tcPr>
            <w:tcW w:w="278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2024</w:t>
            </w:r>
          </w:p>
        </w:tc>
        <w:tc>
          <w:tcPr>
            <w:tcW w:w="28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2023</w:t>
            </w:r>
          </w:p>
        </w:tc>
      </w:tr>
      <w:tr>
        <w:trPr>
          <w:trHeight w:val="193"/>
        </w:trPr>
        <w:tc>
          <w:tcPr>
            <w:tcW w:w="686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Change in benefit obligation</w:t>
            </w:r>
          </w:p>
        </w:tc>
        <w:tc>
          <w:tcPr>
            <w:tcW w:w="2780" w:type="dxa"/>
            <w:vAlign w:val="bottom"/>
            <w:tcBorders>
              <w:bottom w:val="single" w:sz="8" w:color="61656A"/>
            </w:tcBorders>
          </w:tcPr>
          <w:p>
            <w:pPr>
              <w:spacing w:after="0"/>
              <w:rPr>
                <w:sz w:val="16"/>
                <w:szCs w:val="16"/>
                <w:color w:val="auto"/>
              </w:rPr>
            </w:pPr>
          </w:p>
        </w:tc>
        <w:tc>
          <w:tcPr>
            <w:tcW w:w="720" w:type="dxa"/>
            <w:vAlign w:val="bottom"/>
            <w:tcBorders>
              <w:bottom w:val="single" w:sz="8" w:color="61656A"/>
            </w:tcBorders>
          </w:tcPr>
          <w:p>
            <w:pPr>
              <w:spacing w:after="0"/>
              <w:rPr>
                <w:sz w:val="16"/>
                <w:szCs w:val="16"/>
                <w:color w:val="auto"/>
              </w:rPr>
            </w:pPr>
          </w:p>
        </w:tc>
        <w:tc>
          <w:tcPr>
            <w:tcW w:w="280" w:type="dxa"/>
            <w:vAlign w:val="bottom"/>
            <w:tcBorders>
              <w:bottom w:val="single" w:sz="8" w:color="61656A"/>
            </w:tcBorders>
          </w:tcPr>
          <w:p>
            <w:pPr>
              <w:spacing w:after="0"/>
              <w:rPr>
                <w:sz w:val="16"/>
                <w:szCs w:val="16"/>
                <w:color w:val="auto"/>
              </w:rPr>
            </w:pPr>
          </w:p>
        </w:tc>
        <w:tc>
          <w:tcPr>
            <w:tcW w:w="600" w:type="dxa"/>
            <w:vAlign w:val="bottom"/>
            <w:tcBorders>
              <w:bottom w:val="single" w:sz="8" w:color="61656A"/>
            </w:tcBorders>
          </w:tcPr>
          <w:p>
            <w:pPr>
              <w:spacing w:after="0"/>
              <w:rPr>
                <w:sz w:val="16"/>
                <w:szCs w:val="16"/>
                <w:color w:val="auto"/>
              </w:rPr>
            </w:pPr>
          </w:p>
        </w:tc>
      </w:tr>
      <w:tr>
        <w:trPr>
          <w:trHeight w:val="196"/>
        </w:trPr>
        <w:tc>
          <w:tcPr>
            <w:tcW w:w="686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Benefit obligation at beginning of year</w:t>
            </w:r>
          </w:p>
        </w:tc>
        <w:tc>
          <w:tcPr>
            <w:tcW w:w="27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116</w:t>
            </w:r>
          </w:p>
        </w:tc>
        <w:tc>
          <w:tcPr>
            <w:tcW w:w="2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133</w:t>
            </w:r>
          </w:p>
        </w:tc>
      </w:tr>
      <w:tr>
        <w:trPr>
          <w:trHeight w:val="196"/>
        </w:trPr>
        <w:tc>
          <w:tcPr>
            <w:tcW w:w="6860" w:type="dxa"/>
            <w:vAlign w:val="bottom"/>
            <w:tcBorders>
              <w:bottom w:val="single" w:sz="8" w:color="61656A"/>
            </w:tcBorders>
          </w:tcPr>
          <w:p>
            <w:pPr>
              <w:ind w:left="240"/>
              <w:spacing w:after="0"/>
              <w:rPr>
                <w:sz w:val="20"/>
                <w:szCs w:val="20"/>
                <w:color w:val="auto"/>
              </w:rPr>
            </w:pPr>
            <w:r>
              <w:rPr>
                <w:rFonts w:ascii="Arial" w:cs="Arial" w:eastAsia="Arial" w:hAnsi="Arial"/>
                <w:sz w:val="14"/>
                <w:szCs w:val="14"/>
                <w:color w:val="auto"/>
              </w:rPr>
              <w:t>Service cost</w:t>
            </w:r>
          </w:p>
        </w:tc>
        <w:tc>
          <w:tcPr>
            <w:tcW w:w="278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6860" w:type="dxa"/>
            <w:vAlign w:val="bottom"/>
            <w:tcBorders>
              <w:bottom w:val="single" w:sz="8" w:color="61656A"/>
            </w:tcBorders>
          </w:tcPr>
          <w:p>
            <w:pPr>
              <w:ind w:left="240"/>
              <w:spacing w:after="0"/>
              <w:rPr>
                <w:sz w:val="20"/>
                <w:szCs w:val="20"/>
                <w:color w:val="auto"/>
              </w:rPr>
            </w:pPr>
            <w:r>
              <w:rPr>
                <w:rFonts w:ascii="Arial" w:cs="Arial" w:eastAsia="Arial" w:hAnsi="Arial"/>
                <w:sz w:val="14"/>
                <w:szCs w:val="14"/>
                <w:color w:val="auto"/>
              </w:rPr>
              <w:t>Interest cost</w:t>
            </w:r>
          </w:p>
        </w:tc>
        <w:tc>
          <w:tcPr>
            <w:tcW w:w="278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5</w:t>
            </w:r>
          </w:p>
        </w:tc>
        <w:tc>
          <w:tcPr>
            <w:tcW w:w="28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w:t>
            </w:r>
          </w:p>
        </w:tc>
      </w:tr>
      <w:tr>
        <w:trPr>
          <w:trHeight w:val="196"/>
        </w:trPr>
        <w:tc>
          <w:tcPr>
            <w:tcW w:w="6860" w:type="dxa"/>
            <w:vAlign w:val="bottom"/>
            <w:tcBorders>
              <w:bottom w:val="single" w:sz="8" w:color="61656A"/>
            </w:tcBorders>
          </w:tcPr>
          <w:p>
            <w:pPr>
              <w:ind w:left="240"/>
              <w:spacing w:after="0"/>
              <w:rPr>
                <w:sz w:val="20"/>
                <w:szCs w:val="20"/>
                <w:color w:val="auto"/>
              </w:rPr>
            </w:pPr>
            <w:r>
              <w:rPr>
                <w:rFonts w:ascii="Arial" w:cs="Arial" w:eastAsia="Arial" w:hAnsi="Arial"/>
                <w:sz w:val="14"/>
                <w:szCs w:val="14"/>
                <w:color w:val="auto"/>
              </w:rPr>
              <w:t>Plan amendments</w:t>
            </w:r>
          </w:p>
        </w:tc>
        <w:tc>
          <w:tcPr>
            <w:tcW w:w="278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6860" w:type="dxa"/>
            <w:vAlign w:val="bottom"/>
            <w:tcBorders>
              <w:bottom w:val="single" w:sz="8" w:color="61656A"/>
            </w:tcBorders>
          </w:tcPr>
          <w:p>
            <w:pPr>
              <w:ind w:left="240"/>
              <w:spacing w:after="0"/>
              <w:rPr>
                <w:sz w:val="20"/>
                <w:szCs w:val="20"/>
                <w:color w:val="auto"/>
              </w:rPr>
            </w:pPr>
            <w:r>
              <w:rPr>
                <w:rFonts w:ascii="Arial" w:cs="Arial" w:eastAsia="Arial" w:hAnsi="Arial"/>
                <w:sz w:val="14"/>
                <w:szCs w:val="14"/>
                <w:color w:val="auto"/>
              </w:rPr>
              <w:t>Actuarial (gains) losses</w:t>
            </w:r>
          </w:p>
        </w:tc>
        <w:tc>
          <w:tcPr>
            <w:tcW w:w="278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(7)</w:t>
            </w:r>
          </w:p>
        </w:tc>
        <w:tc>
          <w:tcPr>
            <w:tcW w:w="28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w:t>
            </w:r>
          </w:p>
        </w:tc>
      </w:tr>
      <w:tr>
        <w:trPr>
          <w:trHeight w:val="196"/>
        </w:trPr>
        <w:tc>
          <w:tcPr>
            <w:tcW w:w="6860" w:type="dxa"/>
            <w:vAlign w:val="bottom"/>
            <w:tcBorders>
              <w:bottom w:val="single" w:sz="8" w:color="D7282F"/>
            </w:tcBorders>
          </w:tcPr>
          <w:p>
            <w:pPr>
              <w:ind w:left="240"/>
              <w:spacing w:after="0"/>
              <w:rPr>
                <w:sz w:val="20"/>
                <w:szCs w:val="20"/>
                <w:color w:val="auto"/>
              </w:rPr>
            </w:pPr>
            <w:r>
              <w:rPr>
                <w:rFonts w:ascii="Arial" w:cs="Arial" w:eastAsia="Arial" w:hAnsi="Arial"/>
                <w:sz w:val="14"/>
                <w:szCs w:val="14"/>
                <w:color w:val="auto"/>
              </w:rPr>
              <w:t>Benefits paid</w:t>
            </w:r>
          </w:p>
        </w:tc>
        <w:tc>
          <w:tcPr>
            <w:tcW w:w="278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(16)</w:t>
            </w:r>
          </w:p>
        </w:tc>
        <w:tc>
          <w:tcPr>
            <w:tcW w:w="28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(26)</w:t>
            </w:r>
          </w:p>
        </w:tc>
      </w:tr>
      <w:tr>
        <w:trPr>
          <w:trHeight w:val="199"/>
        </w:trPr>
        <w:tc>
          <w:tcPr>
            <w:tcW w:w="686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Benefit obligation at end of year</w:t>
            </w:r>
          </w:p>
        </w:tc>
        <w:tc>
          <w:tcPr>
            <w:tcW w:w="278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98</w:t>
            </w:r>
          </w:p>
        </w:tc>
        <w:tc>
          <w:tcPr>
            <w:tcW w:w="28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116</w:t>
            </w:r>
          </w:p>
        </w:tc>
      </w:tr>
      <w:tr>
        <w:trPr>
          <w:trHeight w:val="193"/>
        </w:trPr>
        <w:tc>
          <w:tcPr>
            <w:tcW w:w="686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Change in plan assets</w:t>
            </w:r>
          </w:p>
        </w:tc>
        <w:tc>
          <w:tcPr>
            <w:tcW w:w="2780" w:type="dxa"/>
            <w:vAlign w:val="bottom"/>
            <w:tcBorders>
              <w:bottom w:val="single" w:sz="8" w:color="61656A"/>
            </w:tcBorders>
          </w:tcPr>
          <w:p>
            <w:pPr>
              <w:spacing w:after="0"/>
              <w:rPr>
                <w:sz w:val="16"/>
                <w:szCs w:val="16"/>
                <w:color w:val="auto"/>
              </w:rPr>
            </w:pPr>
          </w:p>
        </w:tc>
        <w:tc>
          <w:tcPr>
            <w:tcW w:w="720" w:type="dxa"/>
            <w:vAlign w:val="bottom"/>
            <w:tcBorders>
              <w:bottom w:val="single" w:sz="8" w:color="61656A"/>
            </w:tcBorders>
          </w:tcPr>
          <w:p>
            <w:pPr>
              <w:spacing w:after="0"/>
              <w:rPr>
                <w:sz w:val="16"/>
                <w:szCs w:val="16"/>
                <w:color w:val="auto"/>
              </w:rPr>
            </w:pPr>
          </w:p>
        </w:tc>
        <w:tc>
          <w:tcPr>
            <w:tcW w:w="280" w:type="dxa"/>
            <w:vAlign w:val="bottom"/>
            <w:tcBorders>
              <w:bottom w:val="single" w:sz="8" w:color="61656A"/>
            </w:tcBorders>
          </w:tcPr>
          <w:p>
            <w:pPr>
              <w:spacing w:after="0"/>
              <w:rPr>
                <w:sz w:val="16"/>
                <w:szCs w:val="16"/>
                <w:color w:val="auto"/>
              </w:rPr>
            </w:pPr>
          </w:p>
        </w:tc>
        <w:tc>
          <w:tcPr>
            <w:tcW w:w="600" w:type="dxa"/>
            <w:vAlign w:val="bottom"/>
            <w:tcBorders>
              <w:bottom w:val="single" w:sz="8" w:color="61656A"/>
            </w:tcBorders>
          </w:tcPr>
          <w:p>
            <w:pPr>
              <w:spacing w:after="0"/>
              <w:rPr>
                <w:sz w:val="16"/>
                <w:szCs w:val="16"/>
                <w:color w:val="auto"/>
              </w:rPr>
            </w:pPr>
          </w:p>
        </w:tc>
      </w:tr>
      <w:tr>
        <w:trPr>
          <w:trHeight w:val="196"/>
        </w:trPr>
        <w:tc>
          <w:tcPr>
            <w:tcW w:w="686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Fair value of plan assets at beginning of year</w:t>
            </w:r>
          </w:p>
        </w:tc>
        <w:tc>
          <w:tcPr>
            <w:tcW w:w="278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6860" w:type="dxa"/>
            <w:vAlign w:val="bottom"/>
            <w:tcBorders>
              <w:bottom w:val="single" w:sz="8" w:color="61656A"/>
            </w:tcBorders>
          </w:tcPr>
          <w:p>
            <w:pPr>
              <w:ind w:left="240"/>
              <w:spacing w:after="0"/>
              <w:rPr>
                <w:sz w:val="20"/>
                <w:szCs w:val="20"/>
                <w:color w:val="auto"/>
              </w:rPr>
            </w:pPr>
            <w:r>
              <w:rPr>
                <w:rFonts w:ascii="Arial" w:cs="Arial" w:eastAsia="Arial" w:hAnsi="Arial"/>
                <w:sz w:val="14"/>
                <w:szCs w:val="14"/>
                <w:color w:val="auto"/>
              </w:rPr>
              <w:t>Actual return on plan assets</w:t>
            </w:r>
          </w:p>
        </w:tc>
        <w:tc>
          <w:tcPr>
            <w:tcW w:w="278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6860" w:type="dxa"/>
            <w:vAlign w:val="bottom"/>
            <w:tcBorders>
              <w:bottom w:val="single" w:sz="8" w:color="61656A"/>
            </w:tcBorders>
          </w:tcPr>
          <w:p>
            <w:pPr>
              <w:ind w:left="240"/>
              <w:spacing w:after="0"/>
              <w:rPr>
                <w:sz w:val="20"/>
                <w:szCs w:val="20"/>
                <w:color w:val="auto"/>
              </w:rPr>
            </w:pPr>
            <w:r>
              <w:rPr>
                <w:rFonts w:ascii="Arial" w:cs="Arial" w:eastAsia="Arial" w:hAnsi="Arial"/>
                <w:sz w:val="14"/>
                <w:szCs w:val="14"/>
                <w:color w:val="auto"/>
              </w:rPr>
              <w:t>Company contributions</w:t>
            </w:r>
          </w:p>
        </w:tc>
        <w:tc>
          <w:tcPr>
            <w:tcW w:w="278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6860" w:type="dxa"/>
            <w:vAlign w:val="bottom"/>
            <w:tcBorders>
              <w:bottom w:val="single" w:sz="8" w:color="D7282F"/>
            </w:tcBorders>
          </w:tcPr>
          <w:p>
            <w:pPr>
              <w:ind w:left="240"/>
              <w:spacing w:after="0"/>
              <w:rPr>
                <w:sz w:val="20"/>
                <w:szCs w:val="20"/>
                <w:color w:val="auto"/>
              </w:rPr>
            </w:pPr>
            <w:r>
              <w:rPr>
                <w:rFonts w:ascii="Arial" w:cs="Arial" w:eastAsia="Arial" w:hAnsi="Arial"/>
                <w:sz w:val="14"/>
                <w:szCs w:val="14"/>
                <w:color w:val="auto"/>
              </w:rPr>
              <w:t>Benefits paid</w:t>
            </w:r>
          </w:p>
        </w:tc>
        <w:tc>
          <w:tcPr>
            <w:tcW w:w="278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r>
      <w:tr>
        <w:trPr>
          <w:trHeight w:val="199"/>
        </w:trPr>
        <w:tc>
          <w:tcPr>
            <w:tcW w:w="686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Fair value of plan assets at end of year</w:t>
            </w:r>
          </w:p>
        </w:tc>
        <w:tc>
          <w:tcPr>
            <w:tcW w:w="278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r>
      <w:tr>
        <w:trPr>
          <w:trHeight w:val="196"/>
        </w:trPr>
        <w:tc>
          <w:tcPr>
            <w:tcW w:w="686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Funded status of plans</w:t>
            </w:r>
          </w:p>
        </w:tc>
        <w:tc>
          <w:tcPr>
            <w:tcW w:w="27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(98)</w:t>
            </w:r>
          </w:p>
        </w:tc>
        <w:tc>
          <w:tcPr>
            <w:tcW w:w="2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(116)</w:t>
            </w:r>
          </w:p>
        </w:tc>
      </w:tr>
      <w:tr>
        <w:trPr>
          <w:trHeight w:val="193"/>
        </w:trPr>
        <w:tc>
          <w:tcPr>
            <w:tcW w:w="686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Amounts recognized in the Consolidated Balance Sheet consist of</w:t>
            </w:r>
          </w:p>
        </w:tc>
        <w:tc>
          <w:tcPr>
            <w:tcW w:w="2780" w:type="dxa"/>
            <w:vAlign w:val="bottom"/>
            <w:tcBorders>
              <w:bottom w:val="single" w:sz="8" w:color="61656A"/>
            </w:tcBorders>
          </w:tcPr>
          <w:p>
            <w:pPr>
              <w:spacing w:after="0"/>
              <w:rPr>
                <w:sz w:val="16"/>
                <w:szCs w:val="16"/>
                <w:color w:val="auto"/>
              </w:rPr>
            </w:pPr>
          </w:p>
        </w:tc>
        <w:tc>
          <w:tcPr>
            <w:tcW w:w="720" w:type="dxa"/>
            <w:vAlign w:val="bottom"/>
            <w:tcBorders>
              <w:bottom w:val="single" w:sz="8" w:color="61656A"/>
            </w:tcBorders>
          </w:tcPr>
          <w:p>
            <w:pPr>
              <w:spacing w:after="0"/>
              <w:rPr>
                <w:sz w:val="16"/>
                <w:szCs w:val="16"/>
                <w:color w:val="auto"/>
              </w:rPr>
            </w:pPr>
          </w:p>
        </w:tc>
        <w:tc>
          <w:tcPr>
            <w:tcW w:w="280" w:type="dxa"/>
            <w:vAlign w:val="bottom"/>
            <w:tcBorders>
              <w:bottom w:val="single" w:sz="8" w:color="61656A"/>
            </w:tcBorders>
          </w:tcPr>
          <w:p>
            <w:pPr>
              <w:spacing w:after="0"/>
              <w:rPr>
                <w:sz w:val="16"/>
                <w:szCs w:val="16"/>
                <w:color w:val="auto"/>
              </w:rPr>
            </w:pPr>
          </w:p>
        </w:tc>
        <w:tc>
          <w:tcPr>
            <w:tcW w:w="600" w:type="dxa"/>
            <w:vAlign w:val="bottom"/>
            <w:tcBorders>
              <w:bottom w:val="single" w:sz="8" w:color="61656A"/>
            </w:tcBorders>
          </w:tcPr>
          <w:p>
            <w:pPr>
              <w:spacing w:after="0"/>
              <w:rPr>
                <w:sz w:val="16"/>
                <w:szCs w:val="16"/>
                <w:color w:val="auto"/>
              </w:rPr>
            </w:pPr>
          </w:p>
        </w:tc>
      </w:tr>
      <w:tr>
        <w:trPr>
          <w:trHeight w:val="196"/>
        </w:trPr>
        <w:tc>
          <w:tcPr>
            <w:tcW w:w="686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Accrued liabilities</w:t>
            </w:r>
          </w:p>
        </w:tc>
        <w:tc>
          <w:tcPr>
            <w:tcW w:w="27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(11)</w:t>
            </w:r>
          </w:p>
        </w:tc>
        <w:tc>
          <w:tcPr>
            <w:tcW w:w="2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(12)</w:t>
            </w:r>
          </w:p>
        </w:tc>
      </w:tr>
      <w:tr>
        <w:trPr>
          <w:trHeight w:val="200"/>
        </w:trPr>
        <w:tc>
          <w:tcPr>
            <w:tcW w:w="6860" w:type="dxa"/>
            <w:vAlign w:val="bottom"/>
            <w:tcBorders>
              <w:bottom w:val="single" w:sz="8" w:color="D7282F"/>
            </w:tcBorders>
          </w:tcPr>
          <w:p>
            <w:pPr>
              <w:ind w:left="140"/>
              <w:spacing w:after="0" w:line="200" w:lineRule="exact"/>
              <w:rPr>
                <w:sz w:val="20"/>
                <w:szCs w:val="20"/>
                <w:color w:val="auto"/>
              </w:rPr>
            </w:pPr>
            <w:r>
              <w:rPr>
                <w:rFonts w:ascii="Arial" w:cs="Arial" w:eastAsia="Arial" w:hAnsi="Arial"/>
                <w:sz w:val="14"/>
                <w:szCs w:val="14"/>
                <w:color w:val="auto"/>
              </w:rPr>
              <w:t>Postretirement benefit obligations other than pensions</w:t>
            </w:r>
            <w:r>
              <w:rPr>
                <w:rFonts w:ascii="Arial" w:cs="Arial" w:eastAsia="Arial" w:hAnsi="Arial"/>
                <w:sz w:val="18"/>
                <w:szCs w:val="18"/>
                <w:color w:val="auto"/>
                <w:vertAlign w:val="superscript"/>
              </w:rPr>
              <w:t>1</w:t>
            </w:r>
          </w:p>
        </w:tc>
        <w:tc>
          <w:tcPr>
            <w:tcW w:w="278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(87)</w:t>
            </w:r>
          </w:p>
        </w:tc>
        <w:tc>
          <w:tcPr>
            <w:tcW w:w="28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(104)</w:t>
            </w:r>
          </w:p>
        </w:tc>
      </w:tr>
      <w:tr>
        <w:trPr>
          <w:trHeight w:val="195"/>
        </w:trPr>
        <w:tc>
          <w:tcPr>
            <w:tcW w:w="686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Net amount recognized</w:t>
            </w:r>
          </w:p>
        </w:tc>
        <w:tc>
          <w:tcPr>
            <w:tcW w:w="27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(98)</w:t>
            </w:r>
          </w:p>
        </w:tc>
        <w:tc>
          <w:tcPr>
            <w:tcW w:w="2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(116)</w:t>
            </w:r>
          </w:p>
        </w:tc>
      </w:tr>
    </w:tbl>
    <w:p>
      <w:pPr>
        <w:spacing w:after="0" w:line="23" w:lineRule="exact"/>
        <w:rPr>
          <w:sz w:val="20"/>
          <w:szCs w:val="20"/>
          <w:color w:val="auto"/>
        </w:rPr>
      </w:pPr>
    </w:p>
    <w:p>
      <w:pPr>
        <w:ind w:left="480" w:hanging="344"/>
        <w:spacing w:after="0"/>
        <w:tabs>
          <w:tab w:leader="none" w:pos="480" w:val="left"/>
        </w:tabs>
        <w:numPr>
          <w:ilvl w:val="0"/>
          <w:numId w:val="168"/>
        </w:numPr>
        <w:rPr>
          <w:rFonts w:ascii="Arial" w:cs="Arial" w:eastAsia="Arial" w:hAnsi="Arial"/>
          <w:sz w:val="25"/>
          <w:szCs w:val="25"/>
          <w:color w:val="auto"/>
          <w:vertAlign w:val="superscript"/>
        </w:rPr>
      </w:pPr>
      <w:r>
        <w:rPr>
          <w:rFonts w:ascii="Arial" w:cs="Arial" w:eastAsia="Arial" w:hAnsi="Arial"/>
          <w:sz w:val="13"/>
          <w:szCs w:val="13"/>
          <w:color w:val="auto"/>
        </w:rPr>
        <w:t>Excludes non-U.S. plan of $25 million and $30 million as of December 31, 2024, and 2023, respectively.</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Amounts recognized in Accumulated other comprehensive loss associated with the Company's significant pension and other postretirement benefit plans at</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2024, and 2023, are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480" w:type="dxa"/>
            <w:vAlign w:val="bottom"/>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spacing w:after="0"/>
              <w:rPr>
                <w:sz w:val="17"/>
                <w:szCs w:val="17"/>
                <w:color w:val="auto"/>
              </w:rPr>
            </w:pPr>
          </w:p>
        </w:tc>
        <w:tc>
          <w:tcPr>
            <w:tcW w:w="300" w:type="dxa"/>
            <w:vAlign w:val="bottom"/>
            <w:tcBorders>
              <w:bottom w:val="single" w:sz="8" w:color="D7282F"/>
            </w:tcBorders>
          </w:tcPr>
          <w:p>
            <w:pPr>
              <w:spacing w:after="0"/>
              <w:rPr>
                <w:sz w:val="17"/>
                <w:szCs w:val="17"/>
                <w:color w:val="auto"/>
              </w:rPr>
            </w:pPr>
          </w:p>
        </w:tc>
        <w:tc>
          <w:tcPr>
            <w:tcW w:w="1720" w:type="dxa"/>
            <w:vAlign w:val="bottom"/>
            <w:tcBorders>
              <w:bottom w:val="single" w:sz="8" w:color="D7282F"/>
            </w:tcBorders>
            <w:gridSpan w:val="4"/>
          </w:tcPr>
          <w:p>
            <w:pPr>
              <w:jc w:val="right"/>
              <w:ind w:right="348"/>
              <w:spacing w:after="0"/>
              <w:rPr>
                <w:sz w:val="20"/>
                <w:szCs w:val="20"/>
                <w:color w:val="auto"/>
              </w:rPr>
            </w:pPr>
            <w:r>
              <w:rPr>
                <w:rFonts w:ascii="Arial" w:cs="Arial" w:eastAsia="Arial" w:hAnsi="Arial"/>
                <w:sz w:val="14"/>
                <w:szCs w:val="14"/>
                <w:b w:val="1"/>
                <w:bCs w:val="1"/>
                <w:color w:val="auto"/>
              </w:rPr>
              <w:t>Pension Benefits</w:t>
            </w:r>
          </w:p>
        </w:tc>
        <w:tc>
          <w:tcPr>
            <w:tcW w:w="300" w:type="dxa"/>
            <w:vAlign w:val="bottom"/>
            <w:tcBorders>
              <w:bottom w:val="single" w:sz="8" w:color="D7282F"/>
            </w:tcBorders>
          </w:tcPr>
          <w:p>
            <w:pPr>
              <w:spacing w:after="0"/>
              <w:rPr>
                <w:sz w:val="17"/>
                <w:szCs w:val="17"/>
                <w:color w:val="auto"/>
              </w:rPr>
            </w:pPr>
          </w:p>
        </w:tc>
        <w:tc>
          <w:tcPr>
            <w:tcW w:w="580" w:type="dxa"/>
            <w:vAlign w:val="bottom"/>
            <w:tcBorders>
              <w:bottom w:val="single" w:sz="8" w:color="D7282F"/>
            </w:tcBorders>
          </w:tcPr>
          <w:p>
            <w:pPr>
              <w:spacing w:after="0"/>
              <w:rPr>
                <w:sz w:val="17"/>
                <w:szCs w:val="17"/>
                <w:color w:val="auto"/>
              </w:rPr>
            </w:pPr>
          </w:p>
        </w:tc>
      </w:tr>
      <w:tr>
        <w:trPr>
          <w:trHeight w:val="237"/>
        </w:trPr>
        <w:tc>
          <w:tcPr>
            <w:tcW w:w="7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40" w:type="dxa"/>
            <w:vAlign w:val="bottom"/>
            <w:gridSpan w:val="4"/>
          </w:tcPr>
          <w:p>
            <w:pPr>
              <w:ind w:left="360"/>
              <w:spacing w:after="0"/>
              <w:rPr>
                <w:sz w:val="20"/>
                <w:szCs w:val="20"/>
                <w:color w:val="auto"/>
              </w:rPr>
            </w:pPr>
            <w:r>
              <w:rPr>
                <w:rFonts w:ascii="Arial" w:cs="Arial" w:eastAsia="Arial" w:hAnsi="Arial"/>
                <w:sz w:val="14"/>
                <w:szCs w:val="14"/>
                <w:b w:val="1"/>
                <w:bCs w:val="1"/>
                <w:color w:val="auto"/>
              </w:rPr>
              <w:t>U.S. Plans</w:t>
            </w:r>
          </w:p>
        </w:tc>
        <w:tc>
          <w:tcPr>
            <w:tcW w:w="160" w:type="dxa"/>
            <w:vAlign w:val="bottom"/>
          </w:tcPr>
          <w:p>
            <w:pPr>
              <w:spacing w:after="0"/>
              <w:rPr>
                <w:sz w:val="20"/>
                <w:szCs w:val="20"/>
                <w:color w:val="auto"/>
              </w:rPr>
            </w:pPr>
          </w:p>
        </w:tc>
        <w:tc>
          <w:tcPr>
            <w:tcW w:w="1600" w:type="dxa"/>
            <w:vAlign w:val="bottom"/>
            <w:gridSpan w:val="3"/>
          </w:tcPr>
          <w:p>
            <w:pPr>
              <w:jc w:val="center"/>
              <w:ind w:right="88"/>
              <w:spacing w:after="0"/>
              <w:rPr>
                <w:sz w:val="20"/>
                <w:szCs w:val="20"/>
                <w:color w:val="auto"/>
              </w:rPr>
            </w:pPr>
            <w:r>
              <w:rPr>
                <w:rFonts w:ascii="Arial" w:cs="Arial" w:eastAsia="Arial" w:hAnsi="Arial"/>
                <w:sz w:val="14"/>
                <w:szCs w:val="14"/>
                <w:b w:val="1"/>
                <w:bCs w:val="1"/>
                <w:color w:val="auto"/>
              </w:rPr>
              <w:t>Non-U.S. Plans</w:t>
            </w:r>
          </w:p>
        </w:tc>
      </w:tr>
      <w:tr>
        <w:trPr>
          <w:trHeight w:val="236"/>
        </w:trPr>
        <w:tc>
          <w:tcPr>
            <w:tcW w:w="7480" w:type="dxa"/>
            <w:vAlign w:val="bottom"/>
            <w:tcBorders>
              <w:bottom w:val="single" w:sz="8" w:color="D7282F"/>
            </w:tcBorders>
          </w:tcPr>
          <w:p>
            <w:pPr>
              <w:spacing w:after="0"/>
              <w:rPr>
                <w:sz w:val="20"/>
                <w:szCs w:val="20"/>
                <w:color w:val="auto"/>
              </w:rPr>
            </w:pPr>
          </w:p>
        </w:tc>
        <w:tc>
          <w:tcPr>
            <w:tcW w:w="160" w:type="dxa"/>
            <w:vAlign w:val="bottom"/>
            <w:tcBorders>
              <w:top w:val="single" w:sz="8" w:color="D7282F"/>
              <w:bottom w:val="single" w:sz="8" w:color="D7282F"/>
            </w:tcBorders>
          </w:tcPr>
          <w:p>
            <w:pPr>
              <w:spacing w:after="0"/>
              <w:rPr>
                <w:sz w:val="20"/>
                <w:szCs w:val="20"/>
                <w:color w:val="auto"/>
              </w:rPr>
            </w:pPr>
          </w:p>
        </w:tc>
        <w:tc>
          <w:tcPr>
            <w:tcW w:w="700" w:type="dxa"/>
            <w:vAlign w:val="bottom"/>
            <w:tcBorders>
              <w:top w:val="single" w:sz="8" w:color="D7282F"/>
              <w:bottom w:val="single" w:sz="8" w:color="D7282F"/>
            </w:tcBorders>
          </w:tcPr>
          <w:p>
            <w:pPr>
              <w:jc w:val="right"/>
              <w:ind w:right="248"/>
              <w:spacing w:after="0"/>
              <w:rPr>
                <w:sz w:val="20"/>
                <w:szCs w:val="20"/>
                <w:color w:val="auto"/>
              </w:rPr>
            </w:pPr>
            <w:r>
              <w:rPr>
                <w:rFonts w:ascii="Arial" w:cs="Arial" w:eastAsia="Arial" w:hAnsi="Arial"/>
                <w:sz w:val="14"/>
                <w:szCs w:val="14"/>
                <w:b w:val="1"/>
                <w:bCs w:val="1"/>
                <w:color w:val="auto"/>
              </w:rPr>
              <w:t>2024</w:t>
            </w:r>
          </w:p>
        </w:tc>
        <w:tc>
          <w:tcPr>
            <w:tcW w:w="300" w:type="dxa"/>
            <w:vAlign w:val="bottom"/>
            <w:tcBorders>
              <w:top w:val="single" w:sz="8" w:color="D7282F"/>
              <w:bottom w:val="single" w:sz="8" w:color="D7282F"/>
            </w:tcBorders>
          </w:tcPr>
          <w:p>
            <w:pPr>
              <w:spacing w:after="0"/>
              <w:rPr>
                <w:sz w:val="20"/>
                <w:szCs w:val="20"/>
                <w:color w:val="auto"/>
              </w:rPr>
            </w:pPr>
          </w:p>
        </w:tc>
        <w:tc>
          <w:tcPr>
            <w:tcW w:w="600" w:type="dxa"/>
            <w:vAlign w:val="bottom"/>
            <w:tcBorders>
              <w:top w:val="single" w:sz="8" w:color="D7282F"/>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bottom w:val="single" w:sz="8" w:color="D7282F"/>
            </w:tcBorders>
          </w:tcPr>
          <w:p>
            <w:pPr>
              <w:spacing w:after="0"/>
              <w:rPr>
                <w:sz w:val="20"/>
                <w:szCs w:val="20"/>
                <w:color w:val="auto"/>
              </w:rPr>
            </w:pPr>
          </w:p>
        </w:tc>
        <w:tc>
          <w:tcPr>
            <w:tcW w:w="160" w:type="dxa"/>
            <w:vAlign w:val="bottom"/>
            <w:tcBorders>
              <w:top w:val="single" w:sz="8" w:color="D7282F"/>
              <w:bottom w:val="single" w:sz="8" w:color="D7282F"/>
            </w:tcBorders>
          </w:tcPr>
          <w:p>
            <w:pPr>
              <w:spacing w:after="0"/>
              <w:rPr>
                <w:sz w:val="20"/>
                <w:szCs w:val="20"/>
                <w:color w:val="auto"/>
              </w:rPr>
            </w:pPr>
          </w:p>
        </w:tc>
        <w:tc>
          <w:tcPr>
            <w:tcW w:w="720" w:type="dxa"/>
            <w:vAlign w:val="bottom"/>
            <w:tcBorders>
              <w:top w:val="single" w:sz="8" w:color="D7282F"/>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2024</w:t>
            </w:r>
          </w:p>
        </w:tc>
        <w:tc>
          <w:tcPr>
            <w:tcW w:w="300" w:type="dxa"/>
            <w:vAlign w:val="bottom"/>
            <w:tcBorders>
              <w:top w:val="single" w:sz="8" w:color="D7282F"/>
              <w:bottom w:val="single" w:sz="8" w:color="D7282F"/>
            </w:tcBorders>
          </w:tcPr>
          <w:p>
            <w:pPr>
              <w:spacing w:after="0"/>
              <w:rPr>
                <w:sz w:val="20"/>
                <w:szCs w:val="20"/>
                <w:color w:val="auto"/>
              </w:rPr>
            </w:pPr>
          </w:p>
        </w:tc>
        <w:tc>
          <w:tcPr>
            <w:tcW w:w="580" w:type="dxa"/>
            <w:vAlign w:val="bottom"/>
            <w:tcBorders>
              <w:top w:val="single" w:sz="8" w:color="D7282F"/>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2023</w:t>
            </w:r>
          </w:p>
        </w:tc>
      </w:tr>
      <w:tr>
        <w:trPr>
          <w:trHeight w:val="193"/>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Prior service (credit) cost</w:t>
            </w:r>
          </w:p>
        </w:tc>
        <w:tc>
          <w:tcPr>
            <w:tcW w:w="1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w:t>
            </w:r>
          </w:p>
        </w:tc>
        <w:tc>
          <w:tcPr>
            <w:tcW w:w="240" w:type="dxa"/>
            <w:vAlign w:val="bottom"/>
            <w:tcBorders>
              <w:bottom w:val="single" w:sz="8" w:color="61656A"/>
            </w:tcBorders>
          </w:tcPr>
          <w:p>
            <w:pPr>
              <w:spacing w:after="0"/>
              <w:rPr>
                <w:sz w:val="16"/>
                <w:szCs w:val="16"/>
                <w:color w:val="auto"/>
              </w:rPr>
            </w:pPr>
          </w:p>
        </w:tc>
        <w:tc>
          <w:tcPr>
            <w:tcW w:w="16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34</w:t>
            </w:r>
          </w:p>
        </w:tc>
        <w:tc>
          <w:tcPr>
            <w:tcW w:w="30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18</w:t>
            </w:r>
          </w:p>
        </w:tc>
      </w:tr>
      <w:tr>
        <w:trPr>
          <w:trHeight w:val="196"/>
        </w:trPr>
        <w:tc>
          <w:tcPr>
            <w:tcW w:w="74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Net actuarial (gain) loss</w:t>
            </w:r>
          </w:p>
        </w:tc>
        <w:tc>
          <w:tcPr>
            <w:tcW w:w="16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729</w:t>
            </w:r>
          </w:p>
        </w:tc>
        <w:tc>
          <w:tcPr>
            <w:tcW w:w="30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1,191</w:t>
            </w:r>
          </w:p>
        </w:tc>
        <w:tc>
          <w:tcPr>
            <w:tcW w:w="240" w:type="dxa"/>
            <w:vAlign w:val="bottom"/>
            <w:tcBorders>
              <w:bottom w:val="single" w:sz="8" w:color="D7282F"/>
            </w:tcBorders>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315</w:t>
            </w:r>
          </w:p>
        </w:tc>
        <w:tc>
          <w:tcPr>
            <w:tcW w:w="300" w:type="dxa"/>
            <w:vAlign w:val="bottom"/>
            <w:tcBorders>
              <w:bottom w:val="single" w:sz="8" w:color="D7282F"/>
            </w:tcBorders>
          </w:tcPr>
          <w:p>
            <w:pPr>
              <w:spacing w:after="0"/>
              <w:rPr>
                <w:sz w:val="17"/>
                <w:szCs w:val="17"/>
                <w:color w:val="auto"/>
              </w:rPr>
            </w:pP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422</w:t>
            </w:r>
          </w:p>
        </w:tc>
      </w:tr>
      <w:tr>
        <w:trPr>
          <w:trHeight w:val="199"/>
        </w:trPr>
        <w:tc>
          <w:tcPr>
            <w:tcW w:w="748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Net amount recognized</w:t>
            </w: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729</w:t>
            </w:r>
          </w:p>
        </w:tc>
        <w:tc>
          <w:tcPr>
            <w:tcW w:w="3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1,184</w:t>
            </w:r>
          </w:p>
        </w:tc>
        <w:tc>
          <w:tcPr>
            <w:tcW w:w="240" w:type="dxa"/>
            <w:vAlign w:val="bottom"/>
            <w:tcBorders>
              <w:bottom w:val="single" w:sz="8" w:color="D7282F"/>
            </w:tcBorders>
          </w:tcPr>
          <w:p>
            <w:pPr>
              <w:spacing w:after="0"/>
              <w:rPr>
                <w:sz w:val="17"/>
                <w:szCs w:val="17"/>
                <w:color w:val="auto"/>
              </w:rPr>
            </w:pPr>
          </w:p>
        </w:tc>
        <w:tc>
          <w:tcPr>
            <w:tcW w:w="16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349</w:t>
            </w:r>
          </w:p>
        </w:tc>
        <w:tc>
          <w:tcPr>
            <w:tcW w:w="30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440</w:t>
            </w:r>
          </w:p>
        </w:tc>
      </w:tr>
      <w:tr>
        <w:trPr>
          <w:trHeight w:val="426"/>
        </w:trPr>
        <w:tc>
          <w:tcPr>
            <w:tcW w:w="7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2"/>
          </w:tcPr>
          <w:p>
            <w:pPr>
              <w:jc w:val="center"/>
              <w:ind w:left="328"/>
              <w:spacing w:after="0"/>
              <w:rPr>
                <w:sz w:val="20"/>
                <w:szCs w:val="20"/>
                <w:color w:val="auto"/>
              </w:rPr>
            </w:pPr>
            <w:r>
              <w:rPr>
                <w:rFonts w:ascii="Arial" w:cs="Arial" w:eastAsia="Arial" w:hAnsi="Arial"/>
                <w:sz w:val="14"/>
                <w:szCs w:val="14"/>
                <w:b w:val="1"/>
                <w:bCs w:val="1"/>
                <w:color w:val="auto"/>
              </w:rPr>
              <w:t>Other</w:t>
            </w:r>
          </w:p>
        </w:tc>
        <w:tc>
          <w:tcPr>
            <w:tcW w:w="580" w:type="dxa"/>
            <w:vAlign w:val="bottom"/>
          </w:tcPr>
          <w:p>
            <w:pPr>
              <w:spacing w:after="0"/>
              <w:rPr>
                <w:sz w:val="24"/>
                <w:szCs w:val="24"/>
                <w:color w:val="auto"/>
              </w:rPr>
            </w:pPr>
          </w:p>
        </w:tc>
      </w:tr>
      <w:tr>
        <w:trPr>
          <w:trHeight w:val="139"/>
        </w:trPr>
        <w:tc>
          <w:tcPr>
            <w:tcW w:w="7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gridSpan w:val="3"/>
          </w:tcPr>
          <w:p>
            <w:pPr>
              <w:jc w:val="center"/>
              <w:ind w:right="108"/>
              <w:spacing w:after="0" w:line="139" w:lineRule="exact"/>
              <w:rPr>
                <w:sz w:val="20"/>
                <w:szCs w:val="20"/>
                <w:color w:val="auto"/>
              </w:rPr>
            </w:pPr>
            <w:r>
              <w:rPr>
                <w:rFonts w:ascii="Arial" w:cs="Arial" w:eastAsia="Arial" w:hAnsi="Arial"/>
                <w:sz w:val="14"/>
                <w:szCs w:val="14"/>
                <w:b w:val="1"/>
                <w:bCs w:val="1"/>
                <w:color w:val="auto"/>
              </w:rPr>
              <w:t>Postretirement</w:t>
            </w:r>
          </w:p>
        </w:tc>
      </w:tr>
      <w:tr>
        <w:trPr>
          <w:trHeight w:val="197"/>
        </w:trPr>
        <w:tc>
          <w:tcPr>
            <w:tcW w:w="7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1020" w:type="dxa"/>
            <w:vAlign w:val="bottom"/>
            <w:tcBorders>
              <w:bottom w:val="single" w:sz="8" w:color="D7282F"/>
            </w:tcBorders>
            <w:gridSpan w:val="2"/>
          </w:tcPr>
          <w:p>
            <w:pPr>
              <w:jc w:val="center"/>
              <w:ind w:left="348"/>
              <w:spacing w:after="0"/>
              <w:rPr>
                <w:sz w:val="20"/>
                <w:szCs w:val="20"/>
                <w:color w:val="auto"/>
              </w:rPr>
            </w:pPr>
            <w:r>
              <w:rPr>
                <w:rFonts w:ascii="Arial" w:cs="Arial" w:eastAsia="Arial" w:hAnsi="Arial"/>
                <w:sz w:val="14"/>
                <w:szCs w:val="14"/>
                <w:b w:val="1"/>
                <w:bCs w:val="1"/>
                <w:color w:val="auto"/>
              </w:rPr>
              <w:t>Benefits</w:t>
            </w:r>
          </w:p>
        </w:tc>
        <w:tc>
          <w:tcPr>
            <w:tcW w:w="580" w:type="dxa"/>
            <w:vAlign w:val="bottom"/>
            <w:tcBorders>
              <w:bottom w:val="single" w:sz="8" w:color="D7282F"/>
            </w:tcBorders>
          </w:tcPr>
          <w:p>
            <w:pPr>
              <w:spacing w:after="0"/>
              <w:rPr>
                <w:sz w:val="17"/>
                <w:szCs w:val="17"/>
                <w:color w:val="auto"/>
              </w:rPr>
            </w:pPr>
          </w:p>
        </w:tc>
      </w:tr>
      <w:tr>
        <w:trPr>
          <w:trHeight w:val="236"/>
        </w:trPr>
        <w:tc>
          <w:tcPr>
            <w:tcW w:w="7480" w:type="dxa"/>
            <w:vAlign w:val="bottom"/>
            <w:tcBorders>
              <w:bottom w:val="single" w:sz="8" w:color="D7282F"/>
            </w:tcBorders>
          </w:tcPr>
          <w:p>
            <w:pPr>
              <w:spacing w:after="0"/>
              <w:rPr>
                <w:sz w:val="20"/>
                <w:szCs w:val="20"/>
                <w:color w:val="auto"/>
              </w:rPr>
            </w:pPr>
          </w:p>
        </w:tc>
        <w:tc>
          <w:tcPr>
            <w:tcW w:w="160" w:type="dxa"/>
            <w:vAlign w:val="bottom"/>
            <w:tcBorders>
              <w:bottom w:val="single" w:sz="8" w:color="D7282F"/>
            </w:tcBorders>
          </w:tcPr>
          <w:p>
            <w:pPr>
              <w:spacing w:after="0"/>
              <w:rPr>
                <w:sz w:val="20"/>
                <w:szCs w:val="20"/>
                <w:color w:val="auto"/>
              </w:rPr>
            </w:pPr>
          </w:p>
        </w:tc>
        <w:tc>
          <w:tcPr>
            <w:tcW w:w="700" w:type="dxa"/>
            <w:vAlign w:val="bottom"/>
            <w:tcBorders>
              <w:bottom w:val="single" w:sz="8" w:color="D7282F"/>
            </w:tcBorders>
          </w:tcPr>
          <w:p>
            <w:pPr>
              <w:spacing w:after="0"/>
              <w:rPr>
                <w:sz w:val="20"/>
                <w:szCs w:val="20"/>
                <w:color w:val="auto"/>
              </w:rPr>
            </w:pPr>
          </w:p>
        </w:tc>
        <w:tc>
          <w:tcPr>
            <w:tcW w:w="300" w:type="dxa"/>
            <w:vAlign w:val="bottom"/>
            <w:tcBorders>
              <w:bottom w:val="single" w:sz="8" w:color="D7282F"/>
            </w:tcBorders>
          </w:tcPr>
          <w:p>
            <w:pPr>
              <w:spacing w:after="0"/>
              <w:rPr>
                <w:sz w:val="20"/>
                <w:szCs w:val="20"/>
                <w:color w:val="auto"/>
              </w:rPr>
            </w:pPr>
          </w:p>
        </w:tc>
        <w:tc>
          <w:tcPr>
            <w:tcW w:w="600" w:type="dxa"/>
            <w:vAlign w:val="bottom"/>
            <w:tcBorders>
              <w:bottom w:val="single" w:sz="8" w:color="D7282F"/>
            </w:tcBorders>
          </w:tcPr>
          <w:p>
            <w:pPr>
              <w:spacing w:after="0"/>
              <w:rPr>
                <w:sz w:val="20"/>
                <w:szCs w:val="20"/>
                <w:color w:val="auto"/>
              </w:rPr>
            </w:pPr>
          </w:p>
        </w:tc>
        <w:tc>
          <w:tcPr>
            <w:tcW w:w="240" w:type="dxa"/>
            <w:vAlign w:val="bottom"/>
            <w:tcBorders>
              <w:bottom w:val="single" w:sz="8" w:color="D7282F"/>
            </w:tcBorders>
          </w:tcPr>
          <w:p>
            <w:pPr>
              <w:spacing w:after="0"/>
              <w:rPr>
                <w:sz w:val="20"/>
                <w:szCs w:val="20"/>
                <w:color w:val="auto"/>
              </w:rPr>
            </w:pPr>
          </w:p>
        </w:tc>
        <w:tc>
          <w:tcPr>
            <w:tcW w:w="160" w:type="dxa"/>
            <w:vAlign w:val="bottom"/>
            <w:tcBorders>
              <w:bottom w:val="single" w:sz="8" w:color="D7282F"/>
            </w:tcBorders>
          </w:tcPr>
          <w:p>
            <w:pPr>
              <w:spacing w:after="0"/>
              <w:rPr>
                <w:sz w:val="20"/>
                <w:szCs w:val="20"/>
                <w:color w:val="auto"/>
              </w:rPr>
            </w:pPr>
          </w:p>
        </w:tc>
        <w:tc>
          <w:tcPr>
            <w:tcW w:w="72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2024</w:t>
            </w:r>
          </w:p>
        </w:tc>
        <w:tc>
          <w:tcPr>
            <w:tcW w:w="300" w:type="dxa"/>
            <w:vAlign w:val="bottom"/>
            <w:tcBorders>
              <w:bottom w:val="single" w:sz="8" w:color="D7282F"/>
            </w:tcBorders>
          </w:tcPr>
          <w:p>
            <w:pPr>
              <w:spacing w:after="0"/>
              <w:rPr>
                <w:sz w:val="20"/>
                <w:szCs w:val="20"/>
                <w:color w:val="auto"/>
              </w:rPr>
            </w:pPr>
          </w:p>
        </w:tc>
        <w:tc>
          <w:tcPr>
            <w:tcW w:w="58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2023</w:t>
            </w:r>
          </w:p>
        </w:tc>
      </w:tr>
      <w:tr>
        <w:trPr>
          <w:trHeight w:val="193"/>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Prior service (credit) cost</w:t>
            </w:r>
          </w:p>
        </w:tc>
        <w:tc>
          <w:tcPr>
            <w:tcW w:w="160" w:type="dxa"/>
            <w:vAlign w:val="bottom"/>
            <w:tcBorders>
              <w:bottom w:val="single" w:sz="8" w:color="61656A"/>
            </w:tcBorders>
          </w:tcPr>
          <w:p>
            <w:pPr>
              <w:spacing w:after="0"/>
              <w:rPr>
                <w:sz w:val="16"/>
                <w:szCs w:val="16"/>
                <w:color w:val="auto"/>
              </w:rPr>
            </w:pPr>
          </w:p>
        </w:tc>
        <w:tc>
          <w:tcPr>
            <w:tcW w:w="700" w:type="dxa"/>
            <w:vAlign w:val="bottom"/>
            <w:tcBorders>
              <w:bottom w:val="single" w:sz="8" w:color="61656A"/>
            </w:tcBorders>
          </w:tcPr>
          <w:p>
            <w:pPr>
              <w:spacing w:after="0"/>
              <w:rPr>
                <w:sz w:val="16"/>
                <w:szCs w:val="16"/>
                <w:color w:val="auto"/>
              </w:rPr>
            </w:pPr>
          </w:p>
        </w:tc>
        <w:tc>
          <w:tcPr>
            <w:tcW w:w="300" w:type="dxa"/>
            <w:vAlign w:val="bottom"/>
            <w:tcBorders>
              <w:bottom w:val="single" w:sz="8" w:color="61656A"/>
            </w:tcBorders>
          </w:tcPr>
          <w:p>
            <w:pPr>
              <w:spacing w:after="0"/>
              <w:rPr>
                <w:sz w:val="16"/>
                <w:szCs w:val="16"/>
                <w:color w:val="auto"/>
              </w:rPr>
            </w:pPr>
          </w:p>
        </w:tc>
        <w:tc>
          <w:tcPr>
            <w:tcW w:w="600" w:type="dxa"/>
            <w:vAlign w:val="bottom"/>
            <w:tcBorders>
              <w:bottom w:val="single" w:sz="8" w:color="61656A"/>
            </w:tcBorders>
          </w:tcPr>
          <w:p>
            <w:pPr>
              <w:spacing w:after="0"/>
              <w:rPr>
                <w:sz w:val="16"/>
                <w:szCs w:val="16"/>
                <w:color w:val="auto"/>
              </w:rPr>
            </w:pPr>
          </w:p>
        </w:tc>
        <w:tc>
          <w:tcPr>
            <w:tcW w:w="240" w:type="dxa"/>
            <w:vAlign w:val="bottom"/>
            <w:tcBorders>
              <w:bottom w:val="single" w:sz="8" w:color="61656A"/>
            </w:tcBorders>
          </w:tcPr>
          <w:p>
            <w:pPr>
              <w:spacing w:after="0"/>
              <w:rPr>
                <w:sz w:val="16"/>
                <w:szCs w:val="16"/>
                <w:color w:val="auto"/>
              </w:rPr>
            </w:pPr>
          </w:p>
        </w:tc>
        <w:tc>
          <w:tcPr>
            <w:tcW w:w="16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(18)</w:t>
            </w:r>
          </w:p>
        </w:tc>
        <w:tc>
          <w:tcPr>
            <w:tcW w:w="30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(30)</w:t>
            </w:r>
          </w:p>
        </w:tc>
      </w:tr>
      <w:tr>
        <w:trPr>
          <w:trHeight w:val="196"/>
        </w:trPr>
        <w:tc>
          <w:tcPr>
            <w:tcW w:w="74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Net actuarial (gain) loss</w:t>
            </w:r>
          </w:p>
        </w:tc>
        <w:tc>
          <w:tcPr>
            <w:tcW w:w="16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spacing w:after="0"/>
              <w:rPr>
                <w:sz w:val="17"/>
                <w:szCs w:val="17"/>
                <w:color w:val="auto"/>
              </w:rPr>
            </w:pPr>
          </w:p>
        </w:tc>
        <w:tc>
          <w:tcPr>
            <w:tcW w:w="30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spacing w:after="0"/>
              <w:rPr>
                <w:sz w:val="17"/>
                <w:szCs w:val="17"/>
                <w:color w:val="auto"/>
              </w:rPr>
            </w:pPr>
          </w:p>
        </w:tc>
        <w:tc>
          <w:tcPr>
            <w:tcW w:w="240" w:type="dxa"/>
            <w:vAlign w:val="bottom"/>
            <w:tcBorders>
              <w:bottom w:val="single" w:sz="8" w:color="D7282F"/>
            </w:tcBorders>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(64)</w:t>
            </w:r>
          </w:p>
        </w:tc>
        <w:tc>
          <w:tcPr>
            <w:tcW w:w="300" w:type="dxa"/>
            <w:vAlign w:val="bottom"/>
            <w:tcBorders>
              <w:bottom w:val="single" w:sz="8" w:color="D7282F"/>
            </w:tcBorders>
          </w:tcPr>
          <w:p>
            <w:pPr>
              <w:spacing w:after="0"/>
              <w:rPr>
                <w:sz w:val="17"/>
                <w:szCs w:val="17"/>
                <w:color w:val="auto"/>
              </w:rPr>
            </w:pP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(68)</w:t>
            </w:r>
          </w:p>
        </w:tc>
      </w:tr>
      <w:tr>
        <w:trPr>
          <w:trHeight w:val="199"/>
        </w:trPr>
        <w:tc>
          <w:tcPr>
            <w:tcW w:w="748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Net amount recognized</w:t>
            </w:r>
          </w:p>
        </w:tc>
        <w:tc>
          <w:tcPr>
            <w:tcW w:w="16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spacing w:after="0"/>
              <w:rPr>
                <w:sz w:val="17"/>
                <w:szCs w:val="17"/>
                <w:color w:val="auto"/>
              </w:rPr>
            </w:pPr>
          </w:p>
        </w:tc>
        <w:tc>
          <w:tcPr>
            <w:tcW w:w="30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spacing w:after="0"/>
              <w:rPr>
                <w:sz w:val="17"/>
                <w:szCs w:val="17"/>
                <w:color w:val="auto"/>
              </w:rPr>
            </w:pPr>
          </w:p>
        </w:tc>
        <w:tc>
          <w:tcPr>
            <w:tcW w:w="240" w:type="dxa"/>
            <w:vAlign w:val="bottom"/>
            <w:tcBorders>
              <w:bottom w:val="single" w:sz="8" w:color="D7282F"/>
            </w:tcBorders>
          </w:tcPr>
          <w:p>
            <w:pPr>
              <w:spacing w:after="0"/>
              <w:rPr>
                <w:sz w:val="17"/>
                <w:szCs w:val="17"/>
                <w:color w:val="auto"/>
              </w:rPr>
            </w:pPr>
          </w:p>
        </w:tc>
        <w:tc>
          <w:tcPr>
            <w:tcW w:w="16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7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(82)</w:t>
            </w:r>
          </w:p>
        </w:tc>
        <w:tc>
          <w:tcPr>
            <w:tcW w:w="30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(98)</w:t>
            </w:r>
          </w:p>
        </w:tc>
      </w:tr>
    </w:tbl>
    <w:p>
      <w:pPr>
        <w:spacing w:after="0" w:line="200" w:lineRule="exact"/>
        <w:rPr>
          <w:sz w:val="20"/>
          <w:szCs w:val="20"/>
          <w:color w:val="auto"/>
        </w:rPr>
      </w:pPr>
    </w:p>
    <w:p>
      <w:pPr>
        <w:spacing w:after="0" w:line="314" w:lineRule="exact"/>
        <w:rPr>
          <w:sz w:val="20"/>
          <w:szCs w:val="20"/>
          <w:color w:val="auto"/>
        </w:rPr>
      </w:pPr>
    </w:p>
    <w:p>
      <w:pPr>
        <w:ind w:left="500" w:hanging="492"/>
        <w:spacing w:after="0"/>
        <w:tabs>
          <w:tab w:leader="none" w:pos="500" w:val="left"/>
        </w:tabs>
        <w:numPr>
          <w:ilvl w:val="0"/>
          <w:numId w:val="169"/>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04" w:name="page105"/>
    <w:bookmarkEnd w:id="104"/>
    <w:p>
      <w:pPr>
        <w:ind w:left="20"/>
        <w:spacing w:after="0"/>
        <w:tabs>
          <w:tab w:leader="none" w:pos="784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FINANCIAL STATEMENTS AND SUPPLEMENTARY DATA</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29"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Net periodic benefit (income) cost and other amounts recognized in Other comprehensive (income) loss for the Company's significant pension and other postretirement benefit plans include the following components: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480" w:type="dxa"/>
            <w:vAlign w:val="bottom"/>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spacing w:after="0"/>
              <w:rPr>
                <w:sz w:val="17"/>
                <w:szCs w:val="17"/>
                <w:color w:val="auto"/>
              </w:rPr>
            </w:pP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spacing w:after="0"/>
              <w:rPr>
                <w:sz w:val="17"/>
                <w:szCs w:val="17"/>
                <w:color w:val="auto"/>
              </w:rPr>
            </w:pPr>
          </w:p>
        </w:tc>
        <w:tc>
          <w:tcPr>
            <w:tcW w:w="280" w:type="dxa"/>
            <w:vAlign w:val="bottom"/>
            <w:tcBorders>
              <w:bottom w:val="single" w:sz="8" w:color="D7282F"/>
            </w:tcBorders>
          </w:tcPr>
          <w:p>
            <w:pPr>
              <w:spacing w:after="0"/>
              <w:rPr>
                <w:sz w:val="17"/>
                <w:szCs w:val="17"/>
                <w:color w:val="auto"/>
              </w:rPr>
            </w:pPr>
          </w:p>
        </w:tc>
        <w:tc>
          <w:tcPr>
            <w:tcW w:w="1640" w:type="dxa"/>
            <w:vAlign w:val="bottom"/>
            <w:tcBorders>
              <w:bottom w:val="single" w:sz="8" w:color="D7282F"/>
            </w:tcBorders>
            <w:gridSpan w:val="4"/>
          </w:tcPr>
          <w:p>
            <w:pPr>
              <w:jc w:val="right"/>
              <w:ind w:right="268"/>
              <w:spacing w:after="0"/>
              <w:rPr>
                <w:sz w:val="20"/>
                <w:szCs w:val="20"/>
                <w:color w:val="auto"/>
              </w:rPr>
            </w:pPr>
            <w:r>
              <w:rPr>
                <w:rFonts w:ascii="Arial" w:cs="Arial" w:eastAsia="Arial" w:hAnsi="Arial"/>
                <w:sz w:val="14"/>
                <w:szCs w:val="14"/>
                <w:b w:val="1"/>
                <w:bCs w:val="1"/>
                <w:color w:val="auto"/>
              </w:rPr>
              <w:t>Pension Benefits</w:t>
            </w:r>
          </w:p>
        </w:tc>
        <w:tc>
          <w:tcPr>
            <w:tcW w:w="36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spacing w:after="0"/>
              <w:rPr>
                <w:sz w:val="17"/>
                <w:szCs w:val="17"/>
                <w:color w:val="auto"/>
              </w:rPr>
            </w:pPr>
          </w:p>
        </w:tc>
        <w:tc>
          <w:tcPr>
            <w:tcW w:w="20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480" w:type="dxa"/>
            <w:vAlign w:val="bottom"/>
          </w:tcPr>
          <w:p>
            <w:pPr>
              <w:spacing w:after="0"/>
              <w:rPr>
                <w:sz w:val="20"/>
                <w:szCs w:val="20"/>
                <w:color w:val="auto"/>
              </w:rPr>
            </w:pPr>
          </w:p>
        </w:tc>
        <w:tc>
          <w:tcPr>
            <w:tcW w:w="160" w:type="dxa"/>
            <w:vAlign w:val="bottom"/>
            <w:tcBorders>
              <w:bottom w:val="single" w:sz="8" w:color="D7282F"/>
            </w:tcBorders>
          </w:tcPr>
          <w:p>
            <w:pPr>
              <w:spacing w:after="0"/>
              <w:rPr>
                <w:sz w:val="20"/>
                <w:szCs w:val="20"/>
                <w:color w:val="auto"/>
              </w:rPr>
            </w:pPr>
          </w:p>
        </w:tc>
        <w:tc>
          <w:tcPr>
            <w:tcW w:w="720" w:type="dxa"/>
            <w:vAlign w:val="bottom"/>
            <w:tcBorders>
              <w:bottom w:val="single" w:sz="8" w:color="D7282F"/>
            </w:tcBorders>
          </w:tcPr>
          <w:p>
            <w:pPr>
              <w:spacing w:after="0"/>
              <w:rPr>
                <w:sz w:val="20"/>
                <w:szCs w:val="20"/>
                <w:color w:val="auto"/>
              </w:rPr>
            </w:pPr>
          </w:p>
        </w:tc>
        <w:tc>
          <w:tcPr>
            <w:tcW w:w="1000" w:type="dxa"/>
            <w:vAlign w:val="bottom"/>
            <w:tcBorders>
              <w:bottom w:val="single" w:sz="8" w:color="D7282F"/>
            </w:tcBorders>
            <w:gridSpan w:val="2"/>
          </w:tcPr>
          <w:p>
            <w:pPr>
              <w:ind w:left="140"/>
              <w:spacing w:after="0"/>
              <w:rPr>
                <w:sz w:val="20"/>
                <w:szCs w:val="20"/>
                <w:color w:val="auto"/>
              </w:rPr>
            </w:pPr>
            <w:r>
              <w:rPr>
                <w:rFonts w:ascii="Arial" w:cs="Arial" w:eastAsia="Arial" w:hAnsi="Arial"/>
                <w:sz w:val="14"/>
                <w:szCs w:val="14"/>
                <w:b w:val="1"/>
                <w:bCs w:val="1"/>
                <w:color w:val="auto"/>
              </w:rPr>
              <w:t>U.S. Plans</w:t>
            </w:r>
          </w:p>
        </w:tc>
        <w:tc>
          <w:tcPr>
            <w:tcW w:w="280" w:type="dxa"/>
            <w:vAlign w:val="bottom"/>
            <w:tcBorders>
              <w:bottom w:val="single" w:sz="8" w:color="D7282F"/>
            </w:tcBorders>
          </w:tcPr>
          <w:p>
            <w:pPr>
              <w:spacing w:after="0"/>
              <w:rPr>
                <w:sz w:val="20"/>
                <w:szCs w:val="20"/>
                <w:color w:val="auto"/>
              </w:rPr>
            </w:pPr>
          </w:p>
        </w:tc>
        <w:tc>
          <w:tcPr>
            <w:tcW w:w="600" w:type="dxa"/>
            <w:vAlign w:val="bottom"/>
            <w:tcBorders>
              <w:bottom w:val="single" w:sz="8" w:color="D7282F"/>
            </w:tcBorders>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Borders>
              <w:bottom w:val="single" w:sz="8" w:color="D7282F"/>
            </w:tcBorders>
          </w:tcPr>
          <w:p>
            <w:pPr>
              <w:spacing w:after="0"/>
              <w:rPr>
                <w:sz w:val="20"/>
                <w:szCs w:val="20"/>
                <w:color w:val="auto"/>
              </w:rPr>
            </w:pPr>
          </w:p>
        </w:tc>
        <w:tc>
          <w:tcPr>
            <w:tcW w:w="640" w:type="dxa"/>
            <w:vAlign w:val="bottom"/>
            <w:tcBorders>
              <w:bottom w:val="single" w:sz="8" w:color="D7282F"/>
            </w:tcBorders>
          </w:tcPr>
          <w:p>
            <w:pPr>
              <w:spacing w:after="0"/>
              <w:rPr>
                <w:sz w:val="20"/>
                <w:szCs w:val="20"/>
                <w:color w:val="auto"/>
              </w:rPr>
            </w:pPr>
          </w:p>
        </w:tc>
        <w:tc>
          <w:tcPr>
            <w:tcW w:w="1160" w:type="dxa"/>
            <w:vAlign w:val="bottom"/>
            <w:tcBorders>
              <w:bottom w:val="single" w:sz="8" w:color="D7282F"/>
            </w:tcBorders>
            <w:gridSpan w:val="2"/>
          </w:tcPr>
          <w:p>
            <w:pPr>
              <w:jc w:val="center"/>
              <w:spacing w:after="0"/>
              <w:rPr>
                <w:sz w:val="20"/>
                <w:szCs w:val="20"/>
                <w:color w:val="auto"/>
              </w:rPr>
            </w:pPr>
            <w:r>
              <w:rPr>
                <w:rFonts w:ascii="Arial" w:cs="Arial" w:eastAsia="Arial" w:hAnsi="Arial"/>
                <w:sz w:val="14"/>
                <w:szCs w:val="14"/>
                <w:b w:val="1"/>
                <w:bCs w:val="1"/>
                <w:color w:val="auto"/>
              </w:rPr>
              <w:t>Non-U.S. Plans</w:t>
            </w:r>
          </w:p>
        </w:tc>
        <w:tc>
          <w:tcPr>
            <w:tcW w:w="200" w:type="dxa"/>
            <w:vAlign w:val="bottom"/>
            <w:tcBorders>
              <w:bottom w:val="single" w:sz="8" w:color="D7282F"/>
            </w:tcBorders>
          </w:tcPr>
          <w:p>
            <w:pPr>
              <w:spacing w:after="0"/>
              <w:rPr>
                <w:sz w:val="20"/>
                <w:szCs w:val="20"/>
                <w:color w:val="auto"/>
              </w:rPr>
            </w:pPr>
          </w:p>
        </w:tc>
        <w:tc>
          <w:tcPr>
            <w:tcW w:w="600" w:type="dxa"/>
            <w:vAlign w:val="bottom"/>
            <w:tcBorders>
              <w:bottom w:val="single" w:sz="8" w:color="D7282F"/>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480" w:type="dxa"/>
            <w:vAlign w:val="bottom"/>
            <w:tcBorders>
              <w:bottom w:val="single" w:sz="8" w:color="D7282F"/>
            </w:tcBorders>
          </w:tcPr>
          <w:p>
            <w:pPr>
              <w:spacing w:after="0"/>
              <w:rPr>
                <w:sz w:val="20"/>
                <w:szCs w:val="20"/>
                <w:color w:val="auto"/>
              </w:rPr>
            </w:pPr>
          </w:p>
        </w:tc>
        <w:tc>
          <w:tcPr>
            <w:tcW w:w="160" w:type="dxa"/>
            <w:vAlign w:val="bottom"/>
            <w:tcBorders>
              <w:bottom w:val="single" w:sz="8" w:color="D7282F"/>
            </w:tcBorders>
          </w:tcPr>
          <w:p>
            <w:pPr>
              <w:spacing w:after="0"/>
              <w:rPr>
                <w:sz w:val="20"/>
                <w:szCs w:val="20"/>
                <w:color w:val="auto"/>
              </w:rPr>
            </w:pPr>
          </w:p>
        </w:tc>
        <w:tc>
          <w:tcPr>
            <w:tcW w:w="72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2024</w:t>
            </w:r>
          </w:p>
        </w:tc>
        <w:tc>
          <w:tcPr>
            <w:tcW w:w="320" w:type="dxa"/>
            <w:vAlign w:val="bottom"/>
            <w:tcBorders>
              <w:bottom w:val="single" w:sz="8" w:color="D7282F"/>
            </w:tcBorders>
          </w:tcPr>
          <w:p>
            <w:pPr>
              <w:spacing w:after="0"/>
              <w:rPr>
                <w:sz w:val="20"/>
                <w:szCs w:val="20"/>
                <w:color w:val="auto"/>
              </w:rPr>
            </w:pPr>
          </w:p>
        </w:tc>
        <w:tc>
          <w:tcPr>
            <w:tcW w:w="68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2023</w:t>
            </w:r>
          </w:p>
        </w:tc>
        <w:tc>
          <w:tcPr>
            <w:tcW w:w="280" w:type="dxa"/>
            <w:vAlign w:val="bottom"/>
            <w:tcBorders>
              <w:bottom w:val="single" w:sz="8" w:color="D7282F"/>
            </w:tcBorders>
          </w:tcPr>
          <w:p>
            <w:pPr>
              <w:spacing w:after="0"/>
              <w:rPr>
                <w:sz w:val="20"/>
                <w:szCs w:val="20"/>
                <w:color w:val="auto"/>
              </w:rPr>
            </w:pPr>
          </w:p>
        </w:tc>
        <w:tc>
          <w:tcPr>
            <w:tcW w:w="60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bottom w:val="single" w:sz="8" w:color="D7282F"/>
            </w:tcBorders>
          </w:tcPr>
          <w:p>
            <w:pPr>
              <w:spacing w:after="0"/>
              <w:rPr>
                <w:sz w:val="20"/>
                <w:szCs w:val="20"/>
                <w:color w:val="auto"/>
              </w:rPr>
            </w:pPr>
          </w:p>
        </w:tc>
        <w:tc>
          <w:tcPr>
            <w:tcW w:w="160" w:type="dxa"/>
            <w:vAlign w:val="bottom"/>
            <w:tcBorders>
              <w:bottom w:val="single" w:sz="8" w:color="D7282F"/>
            </w:tcBorders>
          </w:tcPr>
          <w:p>
            <w:pPr>
              <w:spacing w:after="0"/>
              <w:rPr>
                <w:sz w:val="20"/>
                <w:szCs w:val="20"/>
                <w:color w:val="auto"/>
              </w:rPr>
            </w:pPr>
          </w:p>
        </w:tc>
        <w:tc>
          <w:tcPr>
            <w:tcW w:w="640" w:type="dxa"/>
            <w:vAlign w:val="bottom"/>
            <w:tcBorders>
              <w:bottom w:val="single" w:sz="8" w:color="D7282F"/>
            </w:tcBorders>
          </w:tcPr>
          <w:p>
            <w:pPr>
              <w:jc w:val="right"/>
              <w:ind w:right="188"/>
              <w:spacing w:after="0"/>
              <w:rPr>
                <w:sz w:val="20"/>
                <w:szCs w:val="20"/>
                <w:color w:val="auto"/>
              </w:rPr>
            </w:pPr>
            <w:r>
              <w:rPr>
                <w:rFonts w:ascii="Arial" w:cs="Arial" w:eastAsia="Arial" w:hAnsi="Arial"/>
                <w:sz w:val="14"/>
                <w:szCs w:val="14"/>
                <w:b w:val="1"/>
                <w:bCs w:val="1"/>
                <w:color w:val="auto"/>
              </w:rPr>
              <w:t>2024</w:t>
            </w:r>
          </w:p>
        </w:tc>
        <w:tc>
          <w:tcPr>
            <w:tcW w:w="360" w:type="dxa"/>
            <w:vAlign w:val="bottom"/>
            <w:tcBorders>
              <w:bottom w:val="single" w:sz="8" w:color="D7282F"/>
            </w:tcBorders>
          </w:tcPr>
          <w:p>
            <w:pPr>
              <w:spacing w:after="0"/>
              <w:rPr>
                <w:sz w:val="20"/>
                <w:szCs w:val="20"/>
                <w:color w:val="auto"/>
              </w:rPr>
            </w:pPr>
          </w:p>
        </w:tc>
        <w:tc>
          <w:tcPr>
            <w:tcW w:w="800" w:type="dxa"/>
            <w:vAlign w:val="bottom"/>
            <w:tcBorders>
              <w:bottom w:val="single" w:sz="8" w:color="D7282F"/>
            </w:tcBorders>
          </w:tcPr>
          <w:p>
            <w:pPr>
              <w:jc w:val="center"/>
              <w:ind w:right="288"/>
              <w:spacing w:after="0"/>
              <w:rPr>
                <w:sz w:val="20"/>
                <w:szCs w:val="20"/>
                <w:color w:val="auto"/>
              </w:rPr>
            </w:pPr>
            <w:r>
              <w:rPr>
                <w:rFonts w:ascii="Arial" w:cs="Arial" w:eastAsia="Arial" w:hAnsi="Arial"/>
                <w:sz w:val="14"/>
                <w:szCs w:val="14"/>
                <w:b w:val="1"/>
                <w:bCs w:val="1"/>
                <w:color w:val="auto"/>
              </w:rPr>
              <w:t>2023</w:t>
            </w:r>
          </w:p>
        </w:tc>
        <w:tc>
          <w:tcPr>
            <w:tcW w:w="200" w:type="dxa"/>
            <w:vAlign w:val="bottom"/>
            <w:tcBorders>
              <w:bottom w:val="single" w:sz="8" w:color="D7282F"/>
            </w:tcBorders>
          </w:tcPr>
          <w:p>
            <w:pPr>
              <w:spacing w:after="0"/>
              <w:rPr>
                <w:sz w:val="20"/>
                <w:szCs w:val="20"/>
                <w:color w:val="auto"/>
              </w:rPr>
            </w:pPr>
          </w:p>
        </w:tc>
        <w:tc>
          <w:tcPr>
            <w:tcW w:w="60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93"/>
        </w:trPr>
        <w:tc>
          <w:tcPr>
            <w:tcW w:w="5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Service cost</w:t>
            </w:r>
          </w:p>
        </w:tc>
        <w:tc>
          <w:tcPr>
            <w:tcW w:w="1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28</w:t>
            </w:r>
          </w:p>
        </w:tc>
        <w:tc>
          <w:tcPr>
            <w:tcW w:w="32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29</w:t>
            </w:r>
          </w:p>
        </w:tc>
        <w:tc>
          <w:tcPr>
            <w:tcW w:w="28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86</w:t>
            </w:r>
          </w:p>
        </w:tc>
        <w:tc>
          <w:tcPr>
            <w:tcW w:w="240" w:type="dxa"/>
            <w:vAlign w:val="bottom"/>
            <w:tcBorders>
              <w:bottom w:val="single" w:sz="8" w:color="888B8D"/>
            </w:tcBorders>
          </w:tcPr>
          <w:p>
            <w:pPr>
              <w:spacing w:after="0"/>
              <w:rPr>
                <w:sz w:val="16"/>
                <w:szCs w:val="16"/>
                <w:color w:val="auto"/>
              </w:rPr>
            </w:pPr>
          </w:p>
        </w:tc>
        <w:tc>
          <w:tcPr>
            <w:tcW w:w="1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888B8D"/>
            </w:tcBorders>
          </w:tcPr>
          <w:p>
            <w:pPr>
              <w:jc w:val="right"/>
              <w:ind w:right="28"/>
              <w:spacing w:after="0"/>
              <w:rPr>
                <w:sz w:val="20"/>
                <w:szCs w:val="20"/>
                <w:color w:val="auto"/>
              </w:rPr>
            </w:pPr>
            <w:r>
              <w:rPr>
                <w:rFonts w:ascii="Arial" w:cs="Arial" w:eastAsia="Arial" w:hAnsi="Arial"/>
                <w:sz w:val="14"/>
                <w:szCs w:val="14"/>
                <w:color w:val="auto"/>
              </w:rPr>
              <w:t>12</w:t>
            </w:r>
          </w:p>
        </w:tc>
        <w:tc>
          <w:tcPr>
            <w:tcW w:w="360" w:type="dxa"/>
            <w:vAlign w:val="bottom"/>
            <w:tcBorders>
              <w:bottom w:val="single" w:sz="8" w:color="888B8D"/>
            </w:tcBorders>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888B8D"/>
            </w:tcBorders>
          </w:tcPr>
          <w:p>
            <w:pPr>
              <w:jc w:val="right"/>
              <w:ind w:right="188"/>
              <w:spacing w:after="0"/>
              <w:rPr>
                <w:sz w:val="20"/>
                <w:szCs w:val="20"/>
                <w:color w:val="auto"/>
              </w:rPr>
            </w:pPr>
            <w:r>
              <w:rPr>
                <w:rFonts w:ascii="Arial" w:cs="Arial" w:eastAsia="Arial" w:hAnsi="Arial"/>
                <w:sz w:val="14"/>
                <w:szCs w:val="14"/>
                <w:color w:val="auto"/>
              </w:rPr>
              <w:t>11</w:t>
            </w:r>
          </w:p>
        </w:tc>
        <w:tc>
          <w:tcPr>
            <w:tcW w:w="200" w:type="dxa"/>
            <w:vAlign w:val="bottom"/>
            <w:tcBorders>
              <w:bottom w:val="single" w:sz="8" w:color="888B8D"/>
            </w:tcBorders>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96"/>
        </w:trPr>
        <w:tc>
          <w:tcPr>
            <w:tcW w:w="5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Interest cost</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599</w:t>
            </w:r>
          </w:p>
        </w:tc>
        <w:tc>
          <w:tcPr>
            <w:tcW w:w="320" w:type="dxa"/>
            <w:vAlign w:val="bottom"/>
            <w:tcBorders>
              <w:bottom w:val="single" w:sz="8" w:color="888B8D"/>
            </w:tcBorders>
          </w:tcPr>
          <w:p>
            <w:pPr>
              <w:spacing w:after="0"/>
              <w:rPr>
                <w:sz w:val="17"/>
                <w:szCs w:val="17"/>
                <w:color w:val="auto"/>
              </w:rPr>
            </w:pPr>
          </w:p>
        </w:tc>
        <w:tc>
          <w:tcPr>
            <w:tcW w:w="68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645</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380</w:t>
            </w:r>
          </w:p>
        </w:tc>
        <w:tc>
          <w:tcPr>
            <w:tcW w:w="240" w:type="dxa"/>
            <w:vAlign w:val="bottom"/>
            <w:tcBorders>
              <w:bottom w:val="single" w:sz="8" w:color="888B8D"/>
            </w:tcBorders>
          </w:tcPr>
          <w:p>
            <w:pPr>
              <w:spacing w:after="0"/>
              <w:rPr>
                <w:sz w:val="17"/>
                <w:szCs w:val="17"/>
                <w:color w:val="auto"/>
              </w:rPr>
            </w:pPr>
          </w:p>
        </w:tc>
        <w:tc>
          <w:tcPr>
            <w:tcW w:w="160" w:type="dxa"/>
            <w:vAlign w:val="bottom"/>
            <w:tcBorders>
              <w:bottom w:val="single" w:sz="8" w:color="888B8D"/>
            </w:tcBorders>
          </w:tcPr>
          <w:p>
            <w:pPr>
              <w:spacing w:after="0"/>
              <w:rPr>
                <w:sz w:val="17"/>
                <w:szCs w:val="17"/>
                <w:color w:val="auto"/>
              </w:rPr>
            </w:pPr>
          </w:p>
        </w:tc>
        <w:tc>
          <w:tcPr>
            <w:tcW w:w="640" w:type="dxa"/>
            <w:vAlign w:val="bottom"/>
            <w:tcBorders>
              <w:bottom w:val="single" w:sz="8" w:color="888B8D"/>
            </w:tcBorders>
          </w:tcPr>
          <w:p>
            <w:pPr>
              <w:jc w:val="right"/>
              <w:ind w:right="28"/>
              <w:spacing w:after="0"/>
              <w:rPr>
                <w:sz w:val="20"/>
                <w:szCs w:val="20"/>
                <w:color w:val="auto"/>
              </w:rPr>
            </w:pPr>
            <w:r>
              <w:rPr>
                <w:rFonts w:ascii="Arial" w:cs="Arial" w:eastAsia="Arial" w:hAnsi="Arial"/>
                <w:sz w:val="14"/>
                <w:szCs w:val="14"/>
                <w:color w:val="auto"/>
              </w:rPr>
              <w:t>191</w:t>
            </w:r>
          </w:p>
        </w:tc>
        <w:tc>
          <w:tcPr>
            <w:tcW w:w="360" w:type="dxa"/>
            <w:vAlign w:val="bottom"/>
            <w:tcBorders>
              <w:bottom w:val="single" w:sz="8" w:color="888B8D"/>
            </w:tcBorders>
          </w:tcPr>
          <w:p>
            <w:pPr>
              <w:spacing w:after="0"/>
              <w:rPr>
                <w:sz w:val="17"/>
                <w:szCs w:val="17"/>
                <w:color w:val="auto"/>
              </w:rPr>
            </w:pPr>
          </w:p>
        </w:tc>
        <w:tc>
          <w:tcPr>
            <w:tcW w:w="800" w:type="dxa"/>
            <w:vAlign w:val="bottom"/>
            <w:tcBorders>
              <w:bottom w:val="single" w:sz="8" w:color="888B8D"/>
            </w:tcBorders>
          </w:tcPr>
          <w:p>
            <w:pPr>
              <w:jc w:val="right"/>
              <w:ind w:right="188"/>
              <w:spacing w:after="0"/>
              <w:rPr>
                <w:sz w:val="20"/>
                <w:szCs w:val="20"/>
                <w:color w:val="auto"/>
              </w:rPr>
            </w:pPr>
            <w:r>
              <w:rPr>
                <w:rFonts w:ascii="Arial" w:cs="Arial" w:eastAsia="Arial" w:hAnsi="Arial"/>
                <w:sz w:val="14"/>
                <w:szCs w:val="14"/>
                <w:color w:val="auto"/>
              </w:rPr>
              <w:t>200</w:t>
            </w:r>
          </w:p>
        </w:tc>
        <w:tc>
          <w:tcPr>
            <w:tcW w:w="20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196"/>
        </w:trPr>
        <w:tc>
          <w:tcPr>
            <w:tcW w:w="5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Expected return on plan assets</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(1,125)</w:t>
            </w:r>
          </w:p>
        </w:tc>
        <w:tc>
          <w:tcPr>
            <w:tcW w:w="320" w:type="dxa"/>
            <w:vAlign w:val="bottom"/>
            <w:tcBorders>
              <w:bottom w:val="single" w:sz="8" w:color="888B8D"/>
            </w:tcBorders>
          </w:tcPr>
          <w:p>
            <w:pPr>
              <w:spacing w:after="0"/>
              <w:rPr>
                <w:sz w:val="17"/>
                <w:szCs w:val="17"/>
                <w:color w:val="auto"/>
              </w:rPr>
            </w:pPr>
          </w:p>
        </w:tc>
        <w:tc>
          <w:tcPr>
            <w:tcW w:w="68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(1,111)</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(1,281)</w:t>
            </w:r>
          </w:p>
        </w:tc>
        <w:tc>
          <w:tcPr>
            <w:tcW w:w="240" w:type="dxa"/>
            <w:vAlign w:val="bottom"/>
            <w:tcBorders>
              <w:bottom w:val="single" w:sz="8" w:color="888B8D"/>
            </w:tcBorders>
          </w:tcPr>
          <w:p>
            <w:pPr>
              <w:spacing w:after="0"/>
              <w:rPr>
                <w:sz w:val="17"/>
                <w:szCs w:val="17"/>
                <w:color w:val="auto"/>
              </w:rPr>
            </w:pPr>
          </w:p>
        </w:tc>
        <w:tc>
          <w:tcPr>
            <w:tcW w:w="160" w:type="dxa"/>
            <w:vAlign w:val="bottom"/>
            <w:tcBorders>
              <w:bottom w:val="single" w:sz="8" w:color="888B8D"/>
            </w:tcBorders>
          </w:tcPr>
          <w:p>
            <w:pPr>
              <w:spacing w:after="0"/>
              <w:rPr>
                <w:sz w:val="17"/>
                <w:szCs w:val="17"/>
                <w:color w:val="auto"/>
              </w:rPr>
            </w:pPr>
          </w:p>
        </w:tc>
        <w:tc>
          <w:tcPr>
            <w:tcW w:w="6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(301)</w:t>
            </w:r>
          </w:p>
        </w:tc>
        <w:tc>
          <w:tcPr>
            <w:tcW w:w="360" w:type="dxa"/>
            <w:vAlign w:val="bottom"/>
            <w:tcBorders>
              <w:bottom w:val="single" w:sz="8" w:color="888B8D"/>
            </w:tcBorders>
          </w:tcPr>
          <w:p>
            <w:pPr>
              <w:spacing w:after="0"/>
              <w:rPr>
                <w:sz w:val="17"/>
                <w:szCs w:val="17"/>
                <w:color w:val="auto"/>
              </w:rPr>
            </w:pPr>
          </w:p>
        </w:tc>
        <w:tc>
          <w:tcPr>
            <w:tcW w:w="800" w:type="dxa"/>
            <w:vAlign w:val="bottom"/>
            <w:tcBorders>
              <w:bottom w:val="single" w:sz="8" w:color="888B8D"/>
            </w:tcBorders>
          </w:tcPr>
          <w:p>
            <w:pPr>
              <w:jc w:val="right"/>
              <w:ind w:right="148"/>
              <w:spacing w:after="0"/>
              <w:rPr>
                <w:sz w:val="20"/>
                <w:szCs w:val="20"/>
                <w:color w:val="auto"/>
              </w:rPr>
            </w:pPr>
            <w:r>
              <w:rPr>
                <w:rFonts w:ascii="Arial" w:cs="Arial" w:eastAsia="Arial" w:hAnsi="Arial"/>
                <w:sz w:val="14"/>
                <w:szCs w:val="14"/>
                <w:color w:val="auto"/>
              </w:rPr>
              <w:t>(274)</w:t>
            </w:r>
          </w:p>
        </w:tc>
        <w:tc>
          <w:tcPr>
            <w:tcW w:w="20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(278)</w:t>
            </w:r>
          </w:p>
        </w:tc>
        <w:tc>
          <w:tcPr>
            <w:tcW w:w="0" w:type="dxa"/>
            <w:vAlign w:val="bottom"/>
          </w:tcPr>
          <w:p>
            <w:pPr>
              <w:spacing w:after="0"/>
              <w:rPr>
                <w:sz w:val="1"/>
                <w:szCs w:val="1"/>
                <w:color w:val="auto"/>
              </w:rPr>
            </w:pPr>
          </w:p>
        </w:tc>
      </w:tr>
      <w:tr>
        <w:trPr>
          <w:trHeight w:val="196"/>
        </w:trPr>
        <w:tc>
          <w:tcPr>
            <w:tcW w:w="5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Amortization of prior service (credit) cost</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(7)</w:t>
            </w:r>
          </w:p>
        </w:tc>
        <w:tc>
          <w:tcPr>
            <w:tcW w:w="320" w:type="dxa"/>
            <w:vAlign w:val="bottom"/>
            <w:tcBorders>
              <w:bottom w:val="single" w:sz="8" w:color="888B8D"/>
            </w:tcBorders>
          </w:tcPr>
          <w:p>
            <w:pPr>
              <w:spacing w:after="0"/>
              <w:rPr>
                <w:sz w:val="17"/>
                <w:szCs w:val="17"/>
                <w:color w:val="auto"/>
              </w:rPr>
            </w:pPr>
          </w:p>
        </w:tc>
        <w:tc>
          <w:tcPr>
            <w:tcW w:w="68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(42)</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(42)</w:t>
            </w:r>
          </w:p>
        </w:tc>
        <w:tc>
          <w:tcPr>
            <w:tcW w:w="240" w:type="dxa"/>
            <w:vAlign w:val="bottom"/>
            <w:tcBorders>
              <w:bottom w:val="single" w:sz="8" w:color="888B8D"/>
            </w:tcBorders>
          </w:tcPr>
          <w:p>
            <w:pPr>
              <w:spacing w:after="0"/>
              <w:rPr>
                <w:sz w:val="17"/>
                <w:szCs w:val="17"/>
                <w:color w:val="auto"/>
              </w:rPr>
            </w:pPr>
          </w:p>
        </w:tc>
        <w:tc>
          <w:tcPr>
            <w:tcW w:w="160" w:type="dxa"/>
            <w:vAlign w:val="bottom"/>
            <w:tcBorders>
              <w:bottom w:val="single" w:sz="8" w:color="888B8D"/>
            </w:tcBorders>
          </w:tcPr>
          <w:p>
            <w:pPr>
              <w:spacing w:after="0"/>
              <w:rPr>
                <w:sz w:val="17"/>
                <w:szCs w:val="17"/>
                <w:color w:val="auto"/>
              </w:rPr>
            </w:pPr>
          </w:p>
        </w:tc>
        <w:tc>
          <w:tcPr>
            <w:tcW w:w="640" w:type="dxa"/>
            <w:vAlign w:val="bottom"/>
            <w:tcBorders>
              <w:bottom w:val="single" w:sz="8" w:color="888B8D"/>
            </w:tcBorders>
          </w:tcPr>
          <w:p>
            <w:pPr>
              <w:jc w:val="right"/>
              <w:ind w:right="28"/>
              <w:spacing w:after="0"/>
              <w:rPr>
                <w:sz w:val="20"/>
                <w:szCs w:val="20"/>
                <w:color w:val="auto"/>
              </w:rPr>
            </w:pPr>
            <w:r>
              <w:rPr>
                <w:rFonts w:ascii="Arial" w:cs="Arial" w:eastAsia="Arial" w:hAnsi="Arial"/>
                <w:sz w:val="14"/>
                <w:szCs w:val="14"/>
                <w:color w:val="auto"/>
              </w:rPr>
              <w:t>1</w:t>
            </w:r>
          </w:p>
        </w:tc>
        <w:tc>
          <w:tcPr>
            <w:tcW w:w="360" w:type="dxa"/>
            <w:vAlign w:val="bottom"/>
            <w:tcBorders>
              <w:bottom w:val="single" w:sz="8" w:color="888B8D"/>
            </w:tcBorders>
          </w:tcPr>
          <w:p>
            <w:pPr>
              <w:spacing w:after="0"/>
              <w:rPr>
                <w:sz w:val="17"/>
                <w:szCs w:val="17"/>
                <w:color w:val="auto"/>
              </w:rPr>
            </w:pPr>
          </w:p>
        </w:tc>
        <w:tc>
          <w:tcPr>
            <w:tcW w:w="800" w:type="dxa"/>
            <w:vAlign w:val="bottom"/>
            <w:tcBorders>
              <w:bottom w:val="single" w:sz="8" w:color="888B8D"/>
            </w:tcBorders>
          </w:tcPr>
          <w:p>
            <w:pPr>
              <w:jc w:val="right"/>
              <w:ind w:right="18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5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Recognition of actuarial (gains) losses</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888B8D"/>
            </w:tcBorders>
          </w:tcPr>
          <w:p>
            <w:pPr>
              <w:spacing w:after="0"/>
              <w:rPr>
                <w:sz w:val="17"/>
                <w:szCs w:val="17"/>
                <w:color w:val="auto"/>
              </w:rPr>
            </w:pPr>
          </w:p>
        </w:tc>
        <w:tc>
          <w:tcPr>
            <w:tcW w:w="68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(14)</w:t>
            </w:r>
          </w:p>
        </w:tc>
        <w:tc>
          <w:tcPr>
            <w:tcW w:w="240" w:type="dxa"/>
            <w:vAlign w:val="bottom"/>
            <w:tcBorders>
              <w:bottom w:val="single" w:sz="8" w:color="888B8D"/>
            </w:tcBorders>
          </w:tcPr>
          <w:p>
            <w:pPr>
              <w:spacing w:after="0"/>
              <w:rPr>
                <w:sz w:val="17"/>
                <w:szCs w:val="17"/>
                <w:color w:val="auto"/>
              </w:rPr>
            </w:pPr>
          </w:p>
        </w:tc>
        <w:tc>
          <w:tcPr>
            <w:tcW w:w="160" w:type="dxa"/>
            <w:vAlign w:val="bottom"/>
            <w:tcBorders>
              <w:bottom w:val="single" w:sz="8" w:color="888B8D"/>
            </w:tcBorders>
          </w:tcPr>
          <w:p>
            <w:pPr>
              <w:spacing w:after="0"/>
              <w:rPr>
                <w:sz w:val="17"/>
                <w:szCs w:val="17"/>
                <w:color w:val="auto"/>
              </w:rPr>
            </w:pPr>
          </w:p>
        </w:tc>
        <w:tc>
          <w:tcPr>
            <w:tcW w:w="640" w:type="dxa"/>
            <w:vAlign w:val="bottom"/>
            <w:tcBorders>
              <w:bottom w:val="single" w:sz="8" w:color="888B8D"/>
            </w:tcBorders>
          </w:tcPr>
          <w:p>
            <w:pPr>
              <w:jc w:val="right"/>
              <w:ind w:right="28"/>
              <w:spacing w:after="0"/>
              <w:rPr>
                <w:sz w:val="20"/>
                <w:szCs w:val="20"/>
                <w:color w:val="auto"/>
              </w:rPr>
            </w:pPr>
            <w:r>
              <w:rPr>
                <w:rFonts w:ascii="Arial" w:cs="Arial" w:eastAsia="Arial" w:hAnsi="Arial"/>
                <w:sz w:val="14"/>
                <w:szCs w:val="14"/>
                <w:color w:val="auto"/>
              </w:rPr>
              <w:t>126</w:t>
            </w:r>
          </w:p>
        </w:tc>
        <w:tc>
          <w:tcPr>
            <w:tcW w:w="360" w:type="dxa"/>
            <w:vAlign w:val="bottom"/>
            <w:tcBorders>
              <w:bottom w:val="single" w:sz="8" w:color="888B8D"/>
            </w:tcBorders>
          </w:tcPr>
          <w:p>
            <w:pPr>
              <w:spacing w:after="0"/>
              <w:rPr>
                <w:sz w:val="17"/>
                <w:szCs w:val="17"/>
                <w:color w:val="auto"/>
              </w:rPr>
            </w:pPr>
          </w:p>
        </w:tc>
        <w:tc>
          <w:tcPr>
            <w:tcW w:w="800" w:type="dxa"/>
            <w:vAlign w:val="bottom"/>
            <w:tcBorders>
              <w:bottom w:val="single" w:sz="8" w:color="888B8D"/>
            </w:tcBorders>
          </w:tcPr>
          <w:p>
            <w:pPr>
              <w:jc w:val="right"/>
              <w:ind w:right="188"/>
              <w:spacing w:after="0"/>
              <w:rPr>
                <w:sz w:val="20"/>
                <w:szCs w:val="20"/>
                <w:color w:val="auto"/>
              </w:rPr>
            </w:pPr>
            <w:r>
              <w:rPr>
                <w:rFonts w:ascii="Arial" w:cs="Arial" w:eastAsia="Arial" w:hAnsi="Arial"/>
                <w:sz w:val="14"/>
                <w:szCs w:val="14"/>
                <w:color w:val="auto"/>
              </w:rPr>
              <w:t>153</w:t>
            </w:r>
          </w:p>
        </w:tc>
        <w:tc>
          <w:tcPr>
            <w:tcW w:w="20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537</w:t>
            </w:r>
          </w:p>
        </w:tc>
        <w:tc>
          <w:tcPr>
            <w:tcW w:w="0" w:type="dxa"/>
            <w:vAlign w:val="bottom"/>
          </w:tcPr>
          <w:p>
            <w:pPr>
              <w:spacing w:after="0"/>
              <w:rPr>
                <w:sz w:val="1"/>
                <w:szCs w:val="1"/>
                <w:color w:val="auto"/>
              </w:rPr>
            </w:pPr>
          </w:p>
        </w:tc>
      </w:tr>
      <w:tr>
        <w:trPr>
          <w:trHeight w:val="196"/>
        </w:trPr>
        <w:tc>
          <w:tcPr>
            <w:tcW w:w="54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Settlements and curtailments</w:t>
            </w:r>
          </w:p>
        </w:tc>
        <w:tc>
          <w:tcPr>
            <w:tcW w:w="1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w:t>
            </w:r>
          </w:p>
        </w:tc>
        <w:tc>
          <w:tcPr>
            <w:tcW w:w="240" w:type="dxa"/>
            <w:vAlign w:val="bottom"/>
            <w:tcBorders>
              <w:bottom w:val="single" w:sz="8" w:color="D7282F"/>
            </w:tcBorders>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6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(17)</w:t>
            </w:r>
          </w:p>
        </w:tc>
        <w:tc>
          <w:tcPr>
            <w:tcW w:w="36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8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9"/>
        </w:trPr>
        <w:tc>
          <w:tcPr>
            <w:tcW w:w="548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Net periodic benefit (income) cost</w:t>
            </w: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(505)</w:t>
            </w:r>
          </w:p>
        </w:tc>
        <w:tc>
          <w:tcPr>
            <w:tcW w:w="32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(479)</w:t>
            </w:r>
          </w:p>
        </w:tc>
        <w:tc>
          <w:tcPr>
            <w:tcW w:w="2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(873)</w:t>
            </w:r>
          </w:p>
        </w:tc>
        <w:tc>
          <w:tcPr>
            <w:tcW w:w="240" w:type="dxa"/>
            <w:vAlign w:val="bottom"/>
            <w:tcBorders>
              <w:bottom w:val="single" w:sz="8" w:color="D7282F"/>
            </w:tcBorders>
          </w:tcPr>
          <w:p>
            <w:pPr>
              <w:spacing w:after="0"/>
              <w:rPr>
                <w:sz w:val="17"/>
                <w:szCs w:val="17"/>
                <w:color w:val="auto"/>
              </w:rPr>
            </w:pP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12</w:t>
            </w:r>
          </w:p>
        </w:tc>
        <w:tc>
          <w:tcPr>
            <w:tcW w:w="36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D7282F"/>
            </w:tcBorders>
          </w:tcPr>
          <w:p>
            <w:pPr>
              <w:jc w:val="right"/>
              <w:ind w:right="188"/>
              <w:spacing w:after="0"/>
              <w:rPr>
                <w:sz w:val="20"/>
                <w:szCs w:val="20"/>
                <w:color w:val="auto"/>
              </w:rPr>
            </w:pPr>
            <w:r>
              <w:rPr>
                <w:rFonts w:ascii="Arial" w:cs="Arial" w:eastAsia="Arial" w:hAnsi="Arial"/>
                <w:sz w:val="14"/>
                <w:szCs w:val="14"/>
                <w:b w:val="1"/>
                <w:bCs w:val="1"/>
                <w:color w:val="auto"/>
              </w:rPr>
              <w:t>90</w:t>
            </w:r>
          </w:p>
        </w:tc>
        <w:tc>
          <w:tcPr>
            <w:tcW w:w="2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381</w:t>
            </w:r>
          </w:p>
        </w:tc>
        <w:tc>
          <w:tcPr>
            <w:tcW w:w="0" w:type="dxa"/>
            <w:vAlign w:val="bottom"/>
          </w:tcPr>
          <w:p>
            <w:pPr>
              <w:spacing w:after="0"/>
              <w:rPr>
                <w:sz w:val="1"/>
                <w:szCs w:val="1"/>
                <w:color w:val="auto"/>
              </w:rPr>
            </w:pPr>
          </w:p>
        </w:tc>
      </w:tr>
      <w:tr>
        <w:trPr>
          <w:trHeight w:val="466"/>
        </w:trPr>
        <w:tc>
          <w:tcPr>
            <w:tcW w:w="5480" w:type="dxa"/>
            <w:vAlign w:val="bottom"/>
          </w:tcPr>
          <w:p>
            <w:pPr>
              <w:spacing w:after="0"/>
              <w:rPr>
                <w:sz w:val="24"/>
                <w:szCs w:val="24"/>
                <w:color w:val="auto"/>
              </w:rPr>
            </w:pPr>
          </w:p>
        </w:tc>
        <w:tc>
          <w:tcPr>
            <w:tcW w:w="160" w:type="dxa"/>
            <w:vAlign w:val="bottom"/>
            <w:tcBorders>
              <w:bottom w:val="single" w:sz="8" w:color="D7282F"/>
            </w:tcBorders>
          </w:tcPr>
          <w:p>
            <w:pPr>
              <w:spacing w:after="0"/>
              <w:rPr>
                <w:sz w:val="24"/>
                <w:szCs w:val="24"/>
                <w:color w:val="auto"/>
              </w:rPr>
            </w:pPr>
          </w:p>
        </w:tc>
        <w:tc>
          <w:tcPr>
            <w:tcW w:w="720" w:type="dxa"/>
            <w:vAlign w:val="bottom"/>
            <w:tcBorders>
              <w:bottom w:val="single" w:sz="8" w:color="D7282F"/>
            </w:tcBorders>
          </w:tcPr>
          <w:p>
            <w:pPr>
              <w:spacing w:after="0"/>
              <w:rPr>
                <w:sz w:val="24"/>
                <w:szCs w:val="24"/>
                <w:color w:val="auto"/>
              </w:rPr>
            </w:pPr>
          </w:p>
        </w:tc>
        <w:tc>
          <w:tcPr>
            <w:tcW w:w="1000" w:type="dxa"/>
            <w:vAlign w:val="bottom"/>
            <w:tcBorders>
              <w:bottom w:val="single" w:sz="8" w:color="D7282F"/>
            </w:tcBorders>
            <w:gridSpan w:val="2"/>
          </w:tcPr>
          <w:p>
            <w:pPr>
              <w:ind w:left="140"/>
              <w:spacing w:after="0"/>
              <w:rPr>
                <w:sz w:val="20"/>
                <w:szCs w:val="20"/>
                <w:color w:val="auto"/>
              </w:rPr>
            </w:pPr>
            <w:r>
              <w:rPr>
                <w:rFonts w:ascii="Arial" w:cs="Arial" w:eastAsia="Arial" w:hAnsi="Arial"/>
                <w:sz w:val="14"/>
                <w:szCs w:val="14"/>
                <w:b w:val="1"/>
                <w:bCs w:val="1"/>
                <w:color w:val="auto"/>
              </w:rPr>
              <w:t>U.S. Plans</w:t>
            </w:r>
          </w:p>
        </w:tc>
        <w:tc>
          <w:tcPr>
            <w:tcW w:w="280" w:type="dxa"/>
            <w:vAlign w:val="bottom"/>
            <w:tcBorders>
              <w:bottom w:val="single" w:sz="8" w:color="D7282F"/>
            </w:tcBorders>
          </w:tcPr>
          <w:p>
            <w:pPr>
              <w:spacing w:after="0"/>
              <w:rPr>
                <w:sz w:val="24"/>
                <w:szCs w:val="24"/>
                <w:color w:val="auto"/>
              </w:rPr>
            </w:pPr>
          </w:p>
        </w:tc>
        <w:tc>
          <w:tcPr>
            <w:tcW w:w="600" w:type="dxa"/>
            <w:vAlign w:val="bottom"/>
            <w:tcBorders>
              <w:bottom w:val="single" w:sz="8" w:color="D7282F"/>
            </w:tcBorders>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Borders>
              <w:bottom w:val="single" w:sz="8" w:color="D7282F"/>
            </w:tcBorders>
          </w:tcPr>
          <w:p>
            <w:pPr>
              <w:spacing w:after="0"/>
              <w:rPr>
                <w:sz w:val="24"/>
                <w:szCs w:val="24"/>
                <w:color w:val="auto"/>
              </w:rPr>
            </w:pPr>
          </w:p>
        </w:tc>
        <w:tc>
          <w:tcPr>
            <w:tcW w:w="640" w:type="dxa"/>
            <w:vAlign w:val="bottom"/>
            <w:tcBorders>
              <w:bottom w:val="single" w:sz="8" w:color="D7282F"/>
            </w:tcBorders>
          </w:tcPr>
          <w:p>
            <w:pPr>
              <w:spacing w:after="0"/>
              <w:rPr>
                <w:sz w:val="24"/>
                <w:szCs w:val="24"/>
                <w:color w:val="auto"/>
              </w:rPr>
            </w:pPr>
          </w:p>
        </w:tc>
        <w:tc>
          <w:tcPr>
            <w:tcW w:w="1160" w:type="dxa"/>
            <w:vAlign w:val="bottom"/>
            <w:tcBorders>
              <w:bottom w:val="single" w:sz="8" w:color="D7282F"/>
            </w:tcBorders>
            <w:gridSpan w:val="2"/>
          </w:tcPr>
          <w:p>
            <w:pPr>
              <w:jc w:val="center"/>
              <w:spacing w:after="0"/>
              <w:rPr>
                <w:sz w:val="20"/>
                <w:szCs w:val="20"/>
                <w:color w:val="auto"/>
              </w:rPr>
            </w:pPr>
            <w:r>
              <w:rPr>
                <w:rFonts w:ascii="Arial" w:cs="Arial" w:eastAsia="Arial" w:hAnsi="Arial"/>
                <w:sz w:val="14"/>
                <w:szCs w:val="14"/>
                <w:b w:val="1"/>
                <w:bCs w:val="1"/>
                <w:color w:val="auto"/>
              </w:rPr>
              <w:t>Non-U.S. Plans</w:t>
            </w:r>
          </w:p>
        </w:tc>
        <w:tc>
          <w:tcPr>
            <w:tcW w:w="200" w:type="dxa"/>
            <w:vAlign w:val="bottom"/>
            <w:tcBorders>
              <w:bottom w:val="single" w:sz="8" w:color="D7282F"/>
            </w:tcBorders>
          </w:tcPr>
          <w:p>
            <w:pPr>
              <w:spacing w:after="0"/>
              <w:rPr>
                <w:sz w:val="24"/>
                <w:szCs w:val="24"/>
                <w:color w:val="auto"/>
              </w:rPr>
            </w:pPr>
          </w:p>
        </w:tc>
        <w:tc>
          <w:tcPr>
            <w:tcW w:w="600" w:type="dxa"/>
            <w:vAlign w:val="bottom"/>
            <w:tcBorders>
              <w:bottom w:val="single" w:sz="8" w:color="D7282F"/>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480" w:type="dxa"/>
            <w:vAlign w:val="bottom"/>
            <w:tcBorders>
              <w:bottom w:val="single" w:sz="8" w:color="D7282F"/>
            </w:tcBorders>
          </w:tcPr>
          <w:p>
            <w:pPr>
              <w:spacing w:after="0"/>
              <w:rPr>
                <w:sz w:val="20"/>
                <w:szCs w:val="20"/>
                <w:color w:val="auto"/>
              </w:rPr>
            </w:pPr>
          </w:p>
        </w:tc>
        <w:tc>
          <w:tcPr>
            <w:tcW w:w="160" w:type="dxa"/>
            <w:vAlign w:val="bottom"/>
            <w:tcBorders>
              <w:bottom w:val="single" w:sz="8" w:color="D7282F"/>
            </w:tcBorders>
          </w:tcPr>
          <w:p>
            <w:pPr>
              <w:spacing w:after="0"/>
              <w:rPr>
                <w:sz w:val="20"/>
                <w:szCs w:val="20"/>
                <w:color w:val="auto"/>
              </w:rPr>
            </w:pPr>
          </w:p>
        </w:tc>
        <w:tc>
          <w:tcPr>
            <w:tcW w:w="72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2024</w:t>
            </w:r>
          </w:p>
        </w:tc>
        <w:tc>
          <w:tcPr>
            <w:tcW w:w="320" w:type="dxa"/>
            <w:vAlign w:val="bottom"/>
            <w:tcBorders>
              <w:bottom w:val="single" w:sz="8" w:color="D7282F"/>
            </w:tcBorders>
          </w:tcPr>
          <w:p>
            <w:pPr>
              <w:spacing w:after="0"/>
              <w:rPr>
                <w:sz w:val="20"/>
                <w:szCs w:val="20"/>
                <w:color w:val="auto"/>
              </w:rPr>
            </w:pPr>
          </w:p>
        </w:tc>
        <w:tc>
          <w:tcPr>
            <w:tcW w:w="68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2023</w:t>
            </w:r>
          </w:p>
        </w:tc>
        <w:tc>
          <w:tcPr>
            <w:tcW w:w="280" w:type="dxa"/>
            <w:vAlign w:val="bottom"/>
            <w:tcBorders>
              <w:bottom w:val="single" w:sz="8" w:color="D7282F"/>
            </w:tcBorders>
          </w:tcPr>
          <w:p>
            <w:pPr>
              <w:spacing w:after="0"/>
              <w:rPr>
                <w:sz w:val="20"/>
                <w:szCs w:val="20"/>
                <w:color w:val="auto"/>
              </w:rPr>
            </w:pPr>
          </w:p>
        </w:tc>
        <w:tc>
          <w:tcPr>
            <w:tcW w:w="60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bottom w:val="single" w:sz="8" w:color="D7282F"/>
            </w:tcBorders>
          </w:tcPr>
          <w:p>
            <w:pPr>
              <w:spacing w:after="0"/>
              <w:rPr>
                <w:sz w:val="20"/>
                <w:szCs w:val="20"/>
                <w:color w:val="auto"/>
              </w:rPr>
            </w:pPr>
          </w:p>
        </w:tc>
        <w:tc>
          <w:tcPr>
            <w:tcW w:w="160" w:type="dxa"/>
            <w:vAlign w:val="bottom"/>
            <w:tcBorders>
              <w:bottom w:val="single" w:sz="8" w:color="D7282F"/>
            </w:tcBorders>
          </w:tcPr>
          <w:p>
            <w:pPr>
              <w:spacing w:after="0"/>
              <w:rPr>
                <w:sz w:val="20"/>
                <w:szCs w:val="20"/>
                <w:color w:val="auto"/>
              </w:rPr>
            </w:pPr>
          </w:p>
        </w:tc>
        <w:tc>
          <w:tcPr>
            <w:tcW w:w="640" w:type="dxa"/>
            <w:vAlign w:val="bottom"/>
            <w:tcBorders>
              <w:bottom w:val="single" w:sz="8" w:color="D7282F"/>
            </w:tcBorders>
          </w:tcPr>
          <w:p>
            <w:pPr>
              <w:jc w:val="right"/>
              <w:ind w:right="188"/>
              <w:spacing w:after="0"/>
              <w:rPr>
                <w:sz w:val="20"/>
                <w:szCs w:val="20"/>
                <w:color w:val="auto"/>
              </w:rPr>
            </w:pPr>
            <w:r>
              <w:rPr>
                <w:rFonts w:ascii="Arial" w:cs="Arial" w:eastAsia="Arial" w:hAnsi="Arial"/>
                <w:sz w:val="14"/>
                <w:szCs w:val="14"/>
                <w:b w:val="1"/>
                <w:bCs w:val="1"/>
                <w:color w:val="auto"/>
              </w:rPr>
              <w:t>2024</w:t>
            </w:r>
          </w:p>
        </w:tc>
        <w:tc>
          <w:tcPr>
            <w:tcW w:w="360" w:type="dxa"/>
            <w:vAlign w:val="bottom"/>
            <w:tcBorders>
              <w:bottom w:val="single" w:sz="8" w:color="D7282F"/>
            </w:tcBorders>
          </w:tcPr>
          <w:p>
            <w:pPr>
              <w:spacing w:after="0"/>
              <w:rPr>
                <w:sz w:val="20"/>
                <w:szCs w:val="20"/>
                <w:color w:val="auto"/>
              </w:rPr>
            </w:pPr>
          </w:p>
        </w:tc>
        <w:tc>
          <w:tcPr>
            <w:tcW w:w="800" w:type="dxa"/>
            <w:vAlign w:val="bottom"/>
            <w:tcBorders>
              <w:bottom w:val="single" w:sz="8" w:color="D7282F"/>
            </w:tcBorders>
          </w:tcPr>
          <w:p>
            <w:pPr>
              <w:jc w:val="center"/>
              <w:ind w:right="288"/>
              <w:spacing w:after="0"/>
              <w:rPr>
                <w:sz w:val="20"/>
                <w:szCs w:val="20"/>
                <w:color w:val="auto"/>
              </w:rPr>
            </w:pPr>
            <w:r>
              <w:rPr>
                <w:rFonts w:ascii="Arial" w:cs="Arial" w:eastAsia="Arial" w:hAnsi="Arial"/>
                <w:sz w:val="14"/>
                <w:szCs w:val="14"/>
                <w:b w:val="1"/>
                <w:bCs w:val="1"/>
                <w:color w:val="auto"/>
              </w:rPr>
              <w:t>2023</w:t>
            </w:r>
          </w:p>
        </w:tc>
        <w:tc>
          <w:tcPr>
            <w:tcW w:w="200" w:type="dxa"/>
            <w:vAlign w:val="bottom"/>
            <w:tcBorders>
              <w:bottom w:val="single" w:sz="8" w:color="D7282F"/>
            </w:tcBorders>
          </w:tcPr>
          <w:p>
            <w:pPr>
              <w:spacing w:after="0"/>
              <w:rPr>
                <w:sz w:val="20"/>
                <w:szCs w:val="20"/>
                <w:color w:val="auto"/>
              </w:rPr>
            </w:pPr>
          </w:p>
        </w:tc>
        <w:tc>
          <w:tcPr>
            <w:tcW w:w="60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93"/>
        </w:trPr>
        <w:tc>
          <w:tcPr>
            <w:tcW w:w="5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Actuarial (gains) losses</w:t>
            </w:r>
          </w:p>
        </w:tc>
        <w:tc>
          <w:tcPr>
            <w:tcW w:w="1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(462)</w:t>
            </w:r>
          </w:p>
        </w:tc>
        <w:tc>
          <w:tcPr>
            <w:tcW w:w="32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378</w:t>
            </w:r>
          </w:p>
        </w:tc>
        <w:tc>
          <w:tcPr>
            <w:tcW w:w="28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307</w:t>
            </w:r>
          </w:p>
        </w:tc>
        <w:tc>
          <w:tcPr>
            <w:tcW w:w="240" w:type="dxa"/>
            <w:vAlign w:val="bottom"/>
            <w:tcBorders>
              <w:bottom w:val="single" w:sz="8" w:color="888B8D"/>
            </w:tcBorders>
          </w:tcPr>
          <w:p>
            <w:pPr>
              <w:spacing w:after="0"/>
              <w:rPr>
                <w:sz w:val="16"/>
                <w:szCs w:val="16"/>
                <w:color w:val="auto"/>
              </w:rPr>
            </w:pPr>
          </w:p>
        </w:tc>
        <w:tc>
          <w:tcPr>
            <w:tcW w:w="1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888B8D"/>
            </w:tcBorders>
          </w:tcPr>
          <w:p>
            <w:pPr>
              <w:jc w:val="right"/>
              <w:ind w:right="28"/>
              <w:spacing w:after="0"/>
              <w:rPr>
                <w:sz w:val="20"/>
                <w:szCs w:val="20"/>
                <w:color w:val="auto"/>
              </w:rPr>
            </w:pPr>
            <w:r>
              <w:rPr>
                <w:rFonts w:ascii="Arial" w:cs="Arial" w:eastAsia="Arial" w:hAnsi="Arial"/>
                <w:sz w:val="14"/>
                <w:szCs w:val="14"/>
                <w:color w:val="auto"/>
              </w:rPr>
              <w:t>19</w:t>
            </w:r>
          </w:p>
        </w:tc>
        <w:tc>
          <w:tcPr>
            <w:tcW w:w="360" w:type="dxa"/>
            <w:vAlign w:val="bottom"/>
            <w:tcBorders>
              <w:bottom w:val="single" w:sz="8" w:color="888B8D"/>
            </w:tcBorders>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888B8D"/>
            </w:tcBorders>
          </w:tcPr>
          <w:p>
            <w:pPr>
              <w:jc w:val="right"/>
              <w:ind w:right="188"/>
              <w:spacing w:after="0"/>
              <w:rPr>
                <w:sz w:val="20"/>
                <w:szCs w:val="20"/>
                <w:color w:val="auto"/>
              </w:rPr>
            </w:pPr>
            <w:r>
              <w:rPr>
                <w:rFonts w:ascii="Arial" w:cs="Arial" w:eastAsia="Arial" w:hAnsi="Arial"/>
                <w:sz w:val="14"/>
                <w:szCs w:val="14"/>
                <w:color w:val="auto"/>
              </w:rPr>
              <w:t>198</w:t>
            </w:r>
          </w:p>
        </w:tc>
        <w:tc>
          <w:tcPr>
            <w:tcW w:w="200" w:type="dxa"/>
            <w:vAlign w:val="bottom"/>
            <w:tcBorders>
              <w:bottom w:val="single" w:sz="8" w:color="888B8D"/>
            </w:tcBorders>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294</w:t>
            </w:r>
          </w:p>
        </w:tc>
        <w:tc>
          <w:tcPr>
            <w:tcW w:w="0" w:type="dxa"/>
            <w:vAlign w:val="bottom"/>
          </w:tcPr>
          <w:p>
            <w:pPr>
              <w:spacing w:after="0"/>
              <w:rPr>
                <w:sz w:val="1"/>
                <w:szCs w:val="1"/>
                <w:color w:val="auto"/>
              </w:rPr>
            </w:pPr>
          </w:p>
        </w:tc>
      </w:tr>
      <w:tr>
        <w:trPr>
          <w:trHeight w:val="196"/>
        </w:trPr>
        <w:tc>
          <w:tcPr>
            <w:tcW w:w="5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Prior service (credit) cost</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888B8D"/>
            </w:tcBorders>
          </w:tcPr>
          <w:p>
            <w:pPr>
              <w:spacing w:after="0"/>
              <w:rPr>
                <w:sz w:val="17"/>
                <w:szCs w:val="17"/>
                <w:color w:val="auto"/>
              </w:rPr>
            </w:pPr>
          </w:p>
        </w:tc>
        <w:tc>
          <w:tcPr>
            <w:tcW w:w="68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888B8D"/>
            </w:tcBorders>
          </w:tcPr>
          <w:p>
            <w:pPr>
              <w:spacing w:after="0"/>
              <w:rPr>
                <w:sz w:val="17"/>
                <w:szCs w:val="17"/>
                <w:color w:val="auto"/>
              </w:rPr>
            </w:pPr>
          </w:p>
        </w:tc>
        <w:tc>
          <w:tcPr>
            <w:tcW w:w="840" w:type="dxa"/>
            <w:vAlign w:val="bottom"/>
            <w:tcBorders>
              <w:bottom w:val="single" w:sz="8" w:color="888B8D"/>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888B8D"/>
            </w:tcBorders>
          </w:tcPr>
          <w:p>
            <w:pPr>
              <w:spacing w:after="0"/>
              <w:rPr>
                <w:sz w:val="17"/>
                <w:szCs w:val="17"/>
                <w:color w:val="auto"/>
              </w:rPr>
            </w:pPr>
          </w:p>
        </w:tc>
        <w:tc>
          <w:tcPr>
            <w:tcW w:w="640" w:type="dxa"/>
            <w:vAlign w:val="bottom"/>
            <w:tcBorders>
              <w:bottom w:val="single" w:sz="8" w:color="888B8D"/>
            </w:tcBorders>
          </w:tcPr>
          <w:p>
            <w:pPr>
              <w:jc w:val="right"/>
              <w:ind w:right="28"/>
              <w:spacing w:after="0"/>
              <w:rPr>
                <w:sz w:val="20"/>
                <w:szCs w:val="20"/>
                <w:color w:val="auto"/>
              </w:rPr>
            </w:pPr>
            <w:r>
              <w:rPr>
                <w:rFonts w:ascii="Arial" w:cs="Arial" w:eastAsia="Arial" w:hAnsi="Arial"/>
                <w:sz w:val="14"/>
                <w:szCs w:val="14"/>
                <w:color w:val="auto"/>
              </w:rPr>
              <w:t>14</w:t>
            </w:r>
          </w:p>
        </w:tc>
        <w:tc>
          <w:tcPr>
            <w:tcW w:w="360" w:type="dxa"/>
            <w:vAlign w:val="bottom"/>
            <w:tcBorders>
              <w:bottom w:val="single" w:sz="8" w:color="888B8D"/>
            </w:tcBorders>
          </w:tcPr>
          <w:p>
            <w:pPr>
              <w:spacing w:after="0"/>
              <w:rPr>
                <w:sz w:val="17"/>
                <w:szCs w:val="17"/>
                <w:color w:val="auto"/>
              </w:rPr>
            </w:pPr>
          </w:p>
        </w:tc>
        <w:tc>
          <w:tcPr>
            <w:tcW w:w="800" w:type="dxa"/>
            <w:vAlign w:val="bottom"/>
            <w:tcBorders>
              <w:bottom w:val="single" w:sz="8" w:color="888B8D"/>
            </w:tcBorders>
          </w:tcPr>
          <w:p>
            <w:pPr>
              <w:jc w:val="right"/>
              <w:ind w:right="18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5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Prior service credit recognized during year</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7</w:t>
            </w:r>
          </w:p>
        </w:tc>
        <w:tc>
          <w:tcPr>
            <w:tcW w:w="320" w:type="dxa"/>
            <w:vAlign w:val="bottom"/>
            <w:tcBorders>
              <w:bottom w:val="single" w:sz="8" w:color="888B8D"/>
            </w:tcBorders>
          </w:tcPr>
          <w:p>
            <w:pPr>
              <w:spacing w:after="0"/>
              <w:rPr>
                <w:sz w:val="17"/>
                <w:szCs w:val="17"/>
                <w:color w:val="auto"/>
              </w:rPr>
            </w:pPr>
          </w:p>
        </w:tc>
        <w:tc>
          <w:tcPr>
            <w:tcW w:w="68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42</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43</w:t>
            </w:r>
          </w:p>
        </w:tc>
        <w:tc>
          <w:tcPr>
            <w:tcW w:w="240" w:type="dxa"/>
            <w:vAlign w:val="bottom"/>
            <w:tcBorders>
              <w:bottom w:val="single" w:sz="8" w:color="888B8D"/>
            </w:tcBorders>
          </w:tcPr>
          <w:p>
            <w:pPr>
              <w:spacing w:after="0"/>
              <w:rPr>
                <w:sz w:val="17"/>
                <w:szCs w:val="17"/>
                <w:color w:val="auto"/>
              </w:rPr>
            </w:pPr>
          </w:p>
        </w:tc>
        <w:tc>
          <w:tcPr>
            <w:tcW w:w="160" w:type="dxa"/>
            <w:vAlign w:val="bottom"/>
            <w:tcBorders>
              <w:bottom w:val="single" w:sz="8" w:color="888B8D"/>
            </w:tcBorders>
          </w:tcPr>
          <w:p>
            <w:pPr>
              <w:spacing w:after="0"/>
              <w:rPr>
                <w:sz w:val="17"/>
                <w:szCs w:val="17"/>
                <w:color w:val="auto"/>
              </w:rPr>
            </w:pPr>
          </w:p>
        </w:tc>
        <w:tc>
          <w:tcPr>
            <w:tcW w:w="640" w:type="dxa"/>
            <w:vAlign w:val="bottom"/>
            <w:tcBorders>
              <w:bottom w:val="single" w:sz="8" w:color="888B8D"/>
            </w:tcBorders>
          </w:tcPr>
          <w:p>
            <w:pPr>
              <w:jc w:val="right"/>
              <w:ind w:right="28"/>
              <w:spacing w:after="0"/>
              <w:rPr>
                <w:sz w:val="20"/>
                <w:szCs w:val="20"/>
                <w:color w:val="auto"/>
              </w:rPr>
            </w:pPr>
            <w:r>
              <w:rPr>
                <w:rFonts w:ascii="Arial" w:cs="Arial" w:eastAsia="Arial" w:hAnsi="Arial"/>
                <w:sz w:val="14"/>
                <w:szCs w:val="14"/>
                <w:color w:val="auto"/>
              </w:rPr>
              <w:t>2</w:t>
            </w:r>
          </w:p>
        </w:tc>
        <w:tc>
          <w:tcPr>
            <w:tcW w:w="360" w:type="dxa"/>
            <w:vAlign w:val="bottom"/>
            <w:tcBorders>
              <w:bottom w:val="single" w:sz="8" w:color="888B8D"/>
            </w:tcBorders>
          </w:tcPr>
          <w:p>
            <w:pPr>
              <w:spacing w:after="0"/>
              <w:rPr>
                <w:sz w:val="17"/>
                <w:szCs w:val="17"/>
                <w:color w:val="auto"/>
              </w:rPr>
            </w:pPr>
          </w:p>
        </w:tc>
        <w:tc>
          <w:tcPr>
            <w:tcW w:w="800" w:type="dxa"/>
            <w:vAlign w:val="bottom"/>
            <w:tcBorders>
              <w:bottom w:val="single" w:sz="8" w:color="888B8D"/>
            </w:tcBorders>
          </w:tcPr>
          <w:p>
            <w:pPr>
              <w:jc w:val="right"/>
              <w:ind w:right="18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6"/>
        </w:trPr>
        <w:tc>
          <w:tcPr>
            <w:tcW w:w="5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Actuarial (gains) losses recognized during year</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888B8D"/>
            </w:tcBorders>
          </w:tcPr>
          <w:p>
            <w:pPr>
              <w:spacing w:after="0"/>
              <w:rPr>
                <w:sz w:val="17"/>
                <w:szCs w:val="17"/>
                <w:color w:val="auto"/>
              </w:rPr>
            </w:pPr>
          </w:p>
        </w:tc>
        <w:tc>
          <w:tcPr>
            <w:tcW w:w="68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15</w:t>
            </w:r>
          </w:p>
        </w:tc>
        <w:tc>
          <w:tcPr>
            <w:tcW w:w="240" w:type="dxa"/>
            <w:vAlign w:val="bottom"/>
            <w:tcBorders>
              <w:bottom w:val="single" w:sz="8" w:color="888B8D"/>
            </w:tcBorders>
          </w:tcPr>
          <w:p>
            <w:pPr>
              <w:spacing w:after="0"/>
              <w:rPr>
                <w:sz w:val="17"/>
                <w:szCs w:val="17"/>
                <w:color w:val="auto"/>
              </w:rPr>
            </w:pPr>
          </w:p>
        </w:tc>
        <w:tc>
          <w:tcPr>
            <w:tcW w:w="160" w:type="dxa"/>
            <w:vAlign w:val="bottom"/>
            <w:tcBorders>
              <w:bottom w:val="single" w:sz="8" w:color="888B8D"/>
            </w:tcBorders>
          </w:tcPr>
          <w:p>
            <w:pPr>
              <w:spacing w:after="0"/>
              <w:rPr>
                <w:sz w:val="17"/>
                <w:szCs w:val="17"/>
                <w:color w:val="auto"/>
              </w:rPr>
            </w:pPr>
          </w:p>
        </w:tc>
        <w:tc>
          <w:tcPr>
            <w:tcW w:w="6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(126)</w:t>
            </w:r>
          </w:p>
        </w:tc>
        <w:tc>
          <w:tcPr>
            <w:tcW w:w="360" w:type="dxa"/>
            <w:vAlign w:val="bottom"/>
            <w:tcBorders>
              <w:bottom w:val="single" w:sz="8" w:color="888B8D"/>
            </w:tcBorders>
          </w:tcPr>
          <w:p>
            <w:pPr>
              <w:spacing w:after="0"/>
              <w:rPr>
                <w:sz w:val="17"/>
                <w:szCs w:val="17"/>
                <w:color w:val="auto"/>
              </w:rPr>
            </w:pPr>
          </w:p>
        </w:tc>
        <w:tc>
          <w:tcPr>
            <w:tcW w:w="800" w:type="dxa"/>
            <w:vAlign w:val="bottom"/>
            <w:tcBorders>
              <w:bottom w:val="single" w:sz="8" w:color="888B8D"/>
            </w:tcBorders>
          </w:tcPr>
          <w:p>
            <w:pPr>
              <w:jc w:val="right"/>
              <w:ind w:right="148"/>
              <w:spacing w:after="0"/>
              <w:rPr>
                <w:sz w:val="20"/>
                <w:szCs w:val="20"/>
                <w:color w:val="auto"/>
              </w:rPr>
            </w:pPr>
            <w:r>
              <w:rPr>
                <w:rFonts w:ascii="Arial" w:cs="Arial" w:eastAsia="Arial" w:hAnsi="Arial"/>
                <w:sz w:val="14"/>
                <w:szCs w:val="14"/>
                <w:color w:val="auto"/>
              </w:rPr>
              <w:t>(153)</w:t>
            </w:r>
          </w:p>
        </w:tc>
        <w:tc>
          <w:tcPr>
            <w:tcW w:w="20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(537)</w:t>
            </w:r>
          </w:p>
        </w:tc>
        <w:tc>
          <w:tcPr>
            <w:tcW w:w="0" w:type="dxa"/>
            <w:vAlign w:val="bottom"/>
          </w:tcPr>
          <w:p>
            <w:pPr>
              <w:spacing w:after="0"/>
              <w:rPr>
                <w:sz w:val="1"/>
                <w:szCs w:val="1"/>
                <w:color w:val="auto"/>
              </w:rPr>
            </w:pPr>
          </w:p>
        </w:tc>
      </w:tr>
      <w:tr>
        <w:trPr>
          <w:trHeight w:val="196"/>
        </w:trPr>
        <w:tc>
          <w:tcPr>
            <w:tcW w:w="54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Foreign currency translation</w:t>
            </w:r>
          </w:p>
        </w:tc>
        <w:tc>
          <w:tcPr>
            <w:tcW w:w="1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D7282F"/>
            </w:tcBorders>
          </w:tcPr>
          <w:p>
            <w:pPr>
              <w:spacing w:after="0"/>
              <w:rPr>
                <w:sz w:val="17"/>
                <w:szCs w:val="17"/>
                <w:color w:val="auto"/>
              </w:rPr>
            </w:pPr>
          </w:p>
        </w:tc>
        <w:tc>
          <w:tcPr>
            <w:tcW w:w="840" w:type="dxa"/>
            <w:vAlign w:val="bottom"/>
            <w:tcBorders>
              <w:bottom w:val="single" w:sz="8" w:color="D7282F"/>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D7282F"/>
            </w:tcBorders>
          </w:tcPr>
          <w:p>
            <w:pPr>
              <w:spacing w:after="0"/>
              <w:rPr>
                <w:sz w:val="17"/>
                <w:szCs w:val="17"/>
                <w:color w:val="auto"/>
              </w:rPr>
            </w:pPr>
          </w:p>
        </w:tc>
        <w:tc>
          <w:tcPr>
            <w:tcW w:w="6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w:t>
            </w:r>
          </w:p>
        </w:tc>
        <w:tc>
          <w:tcPr>
            <w:tcW w:w="36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88"/>
              <w:spacing w:after="0"/>
              <w:rPr>
                <w:sz w:val="20"/>
                <w:szCs w:val="20"/>
                <w:color w:val="auto"/>
              </w:rPr>
            </w:pPr>
            <w:r>
              <w:rPr>
                <w:rFonts w:ascii="Arial" w:cs="Arial" w:eastAsia="Arial" w:hAnsi="Arial"/>
                <w:sz w:val="14"/>
                <w:szCs w:val="14"/>
                <w:color w:val="auto"/>
              </w:rPr>
              <w:t>17</w:t>
            </w:r>
          </w:p>
        </w:tc>
        <w:tc>
          <w:tcPr>
            <w:tcW w:w="20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204</w:t>
            </w:r>
          </w:p>
        </w:tc>
        <w:tc>
          <w:tcPr>
            <w:tcW w:w="0" w:type="dxa"/>
            <w:vAlign w:val="bottom"/>
          </w:tcPr>
          <w:p>
            <w:pPr>
              <w:spacing w:after="0"/>
              <w:rPr>
                <w:sz w:val="1"/>
                <w:szCs w:val="1"/>
                <w:color w:val="auto"/>
              </w:rPr>
            </w:pPr>
          </w:p>
        </w:tc>
      </w:tr>
      <w:tr>
        <w:trPr>
          <w:trHeight w:val="199"/>
        </w:trPr>
        <w:tc>
          <w:tcPr>
            <w:tcW w:w="548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recognized in Other comprehensive (income) loss</w:t>
            </w: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(455)</w:t>
            </w:r>
          </w:p>
        </w:tc>
        <w:tc>
          <w:tcPr>
            <w:tcW w:w="32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420</w:t>
            </w:r>
          </w:p>
        </w:tc>
        <w:tc>
          <w:tcPr>
            <w:tcW w:w="2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365</w:t>
            </w:r>
          </w:p>
        </w:tc>
        <w:tc>
          <w:tcPr>
            <w:tcW w:w="240" w:type="dxa"/>
            <w:vAlign w:val="bottom"/>
            <w:tcBorders>
              <w:bottom w:val="single" w:sz="8" w:color="D7282F"/>
            </w:tcBorders>
          </w:tcPr>
          <w:p>
            <w:pPr>
              <w:spacing w:after="0"/>
              <w:rPr>
                <w:sz w:val="17"/>
                <w:szCs w:val="17"/>
                <w:color w:val="auto"/>
              </w:rPr>
            </w:pP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(92)</w:t>
            </w:r>
          </w:p>
        </w:tc>
        <w:tc>
          <w:tcPr>
            <w:tcW w:w="36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D7282F"/>
            </w:tcBorders>
          </w:tcPr>
          <w:p>
            <w:pPr>
              <w:jc w:val="right"/>
              <w:ind w:right="188"/>
              <w:spacing w:after="0"/>
              <w:rPr>
                <w:sz w:val="20"/>
                <w:szCs w:val="20"/>
                <w:color w:val="auto"/>
              </w:rPr>
            </w:pPr>
            <w:r>
              <w:rPr>
                <w:rFonts w:ascii="Arial" w:cs="Arial" w:eastAsia="Arial" w:hAnsi="Arial"/>
                <w:sz w:val="14"/>
                <w:szCs w:val="14"/>
                <w:b w:val="1"/>
                <w:bCs w:val="1"/>
                <w:color w:val="auto"/>
              </w:rPr>
              <w:t>62</w:t>
            </w:r>
          </w:p>
        </w:tc>
        <w:tc>
          <w:tcPr>
            <w:tcW w:w="2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(40)</w:t>
            </w:r>
          </w:p>
        </w:tc>
        <w:tc>
          <w:tcPr>
            <w:tcW w:w="0" w:type="dxa"/>
            <w:vAlign w:val="bottom"/>
          </w:tcPr>
          <w:p>
            <w:pPr>
              <w:spacing w:after="0"/>
              <w:rPr>
                <w:sz w:val="1"/>
                <w:szCs w:val="1"/>
                <w:color w:val="auto"/>
              </w:rPr>
            </w:pPr>
          </w:p>
        </w:tc>
      </w:tr>
      <w:tr>
        <w:trPr>
          <w:trHeight w:val="147"/>
        </w:trPr>
        <w:tc>
          <w:tcPr>
            <w:tcW w:w="5480" w:type="dxa"/>
            <w:vAlign w:val="bottom"/>
          </w:tcPr>
          <w:p>
            <w:pPr>
              <w:ind w:left="240"/>
              <w:spacing w:after="0" w:line="147" w:lineRule="exact"/>
              <w:rPr>
                <w:sz w:val="20"/>
                <w:szCs w:val="20"/>
                <w:color w:val="auto"/>
              </w:rPr>
            </w:pPr>
            <w:r>
              <w:rPr>
                <w:rFonts w:ascii="Arial" w:cs="Arial" w:eastAsia="Arial" w:hAnsi="Arial"/>
                <w:sz w:val="14"/>
                <w:szCs w:val="14"/>
                <w:b w:val="1"/>
                <w:bCs w:val="1"/>
                <w:color w:val="auto"/>
              </w:rPr>
              <w:t>Total recognized in net periodic benefit (income) cost and Other</w:t>
            </w:r>
          </w:p>
        </w:tc>
        <w:tc>
          <w:tcPr>
            <w:tcW w:w="1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(960)</w:t>
            </w:r>
          </w:p>
        </w:tc>
        <w:tc>
          <w:tcPr>
            <w:tcW w:w="32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w:t>
            </w:r>
          </w:p>
        </w:tc>
        <w:tc>
          <w:tcPr>
            <w:tcW w:w="68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(59)</w:t>
            </w:r>
          </w:p>
        </w:tc>
        <w:tc>
          <w:tcPr>
            <w:tcW w:w="2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(508)</w:t>
            </w:r>
          </w:p>
        </w:tc>
        <w:tc>
          <w:tcPr>
            <w:tcW w:w="24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(80)</w:t>
            </w:r>
          </w:p>
        </w:tc>
        <w:tc>
          <w:tcPr>
            <w:tcW w:w="36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w:t>
            </w:r>
          </w:p>
        </w:tc>
        <w:tc>
          <w:tcPr>
            <w:tcW w:w="80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152</w:t>
            </w:r>
          </w:p>
        </w:tc>
        <w:tc>
          <w:tcPr>
            <w:tcW w:w="20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341</w:t>
            </w:r>
          </w:p>
        </w:tc>
        <w:tc>
          <w:tcPr>
            <w:tcW w:w="0" w:type="dxa"/>
            <w:vAlign w:val="bottom"/>
          </w:tcPr>
          <w:p>
            <w:pPr>
              <w:spacing w:after="0"/>
              <w:rPr>
                <w:sz w:val="1"/>
                <w:szCs w:val="1"/>
                <w:color w:val="auto"/>
              </w:rPr>
            </w:pPr>
          </w:p>
        </w:tc>
      </w:tr>
      <w:tr>
        <w:trPr>
          <w:trHeight w:val="185"/>
        </w:trPr>
        <w:tc>
          <w:tcPr>
            <w:tcW w:w="548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comprehensive (income) loss</w:t>
            </w:r>
          </w:p>
        </w:tc>
        <w:tc>
          <w:tcPr>
            <w:tcW w:w="160" w:type="dxa"/>
            <w:vAlign w:val="bottom"/>
            <w:tcBorders>
              <w:bottom w:val="single" w:sz="8" w:color="D7282F"/>
            </w:tcBorders>
            <w:vMerge w:val="continue"/>
          </w:tcPr>
          <w:p>
            <w:pPr>
              <w:spacing w:after="0"/>
              <w:rPr>
                <w:sz w:val="16"/>
                <w:szCs w:val="16"/>
                <w:color w:val="auto"/>
              </w:rPr>
            </w:pPr>
          </w:p>
        </w:tc>
        <w:tc>
          <w:tcPr>
            <w:tcW w:w="720" w:type="dxa"/>
            <w:vAlign w:val="bottom"/>
            <w:tcBorders>
              <w:bottom w:val="single" w:sz="8" w:color="D7282F"/>
            </w:tcBorders>
            <w:vMerge w:val="continue"/>
          </w:tcPr>
          <w:p>
            <w:pPr>
              <w:spacing w:after="0"/>
              <w:rPr>
                <w:sz w:val="16"/>
                <w:szCs w:val="16"/>
                <w:color w:val="auto"/>
              </w:rPr>
            </w:pPr>
          </w:p>
        </w:tc>
        <w:tc>
          <w:tcPr>
            <w:tcW w:w="320" w:type="dxa"/>
            <w:vAlign w:val="bottom"/>
            <w:tcBorders>
              <w:bottom w:val="single" w:sz="8" w:color="D7282F"/>
            </w:tcBorders>
            <w:vMerge w:val="continue"/>
          </w:tcPr>
          <w:p>
            <w:pPr>
              <w:spacing w:after="0"/>
              <w:rPr>
                <w:sz w:val="16"/>
                <w:szCs w:val="16"/>
                <w:color w:val="auto"/>
              </w:rPr>
            </w:pPr>
          </w:p>
        </w:tc>
        <w:tc>
          <w:tcPr>
            <w:tcW w:w="680" w:type="dxa"/>
            <w:vAlign w:val="bottom"/>
            <w:tcBorders>
              <w:bottom w:val="single" w:sz="8" w:color="D7282F"/>
            </w:tcBorders>
            <w:vMerge w:val="continue"/>
          </w:tcPr>
          <w:p>
            <w:pPr>
              <w:spacing w:after="0"/>
              <w:rPr>
                <w:sz w:val="16"/>
                <w:szCs w:val="16"/>
                <w:color w:val="auto"/>
              </w:rPr>
            </w:pPr>
          </w:p>
        </w:tc>
        <w:tc>
          <w:tcPr>
            <w:tcW w:w="280" w:type="dxa"/>
            <w:vAlign w:val="bottom"/>
            <w:tcBorders>
              <w:bottom w:val="single" w:sz="8" w:color="D7282F"/>
            </w:tcBorders>
            <w:vMerge w:val="continue"/>
          </w:tcPr>
          <w:p>
            <w:pPr>
              <w:spacing w:after="0"/>
              <w:rPr>
                <w:sz w:val="16"/>
                <w:szCs w:val="16"/>
                <w:color w:val="auto"/>
              </w:rPr>
            </w:pPr>
          </w:p>
        </w:tc>
        <w:tc>
          <w:tcPr>
            <w:tcW w:w="600" w:type="dxa"/>
            <w:vAlign w:val="bottom"/>
            <w:tcBorders>
              <w:bottom w:val="single" w:sz="8" w:color="D7282F"/>
            </w:tcBorders>
            <w:vMerge w:val="continue"/>
          </w:tcPr>
          <w:p>
            <w:pPr>
              <w:spacing w:after="0"/>
              <w:rPr>
                <w:sz w:val="16"/>
                <w:szCs w:val="16"/>
                <w:color w:val="auto"/>
              </w:rPr>
            </w:pPr>
          </w:p>
        </w:tc>
        <w:tc>
          <w:tcPr>
            <w:tcW w:w="240" w:type="dxa"/>
            <w:vAlign w:val="bottom"/>
            <w:tcBorders>
              <w:bottom w:val="single" w:sz="8" w:color="D7282F"/>
            </w:tcBorders>
          </w:tcPr>
          <w:p>
            <w:pPr>
              <w:spacing w:after="0"/>
              <w:rPr>
                <w:sz w:val="16"/>
                <w:szCs w:val="16"/>
                <w:color w:val="auto"/>
              </w:rPr>
            </w:pPr>
          </w:p>
        </w:tc>
        <w:tc>
          <w:tcPr>
            <w:tcW w:w="160" w:type="dxa"/>
            <w:vAlign w:val="bottom"/>
            <w:tcBorders>
              <w:bottom w:val="single" w:sz="8" w:color="D7282F"/>
            </w:tcBorders>
            <w:vMerge w:val="continue"/>
          </w:tcPr>
          <w:p>
            <w:pPr>
              <w:spacing w:after="0"/>
              <w:rPr>
                <w:sz w:val="16"/>
                <w:szCs w:val="16"/>
                <w:color w:val="auto"/>
              </w:rPr>
            </w:pPr>
          </w:p>
        </w:tc>
        <w:tc>
          <w:tcPr>
            <w:tcW w:w="640" w:type="dxa"/>
            <w:vAlign w:val="bottom"/>
            <w:tcBorders>
              <w:bottom w:val="single" w:sz="8" w:color="D7282F"/>
            </w:tcBorders>
            <w:vMerge w:val="continue"/>
          </w:tcPr>
          <w:p>
            <w:pPr>
              <w:spacing w:after="0"/>
              <w:rPr>
                <w:sz w:val="16"/>
                <w:szCs w:val="16"/>
                <w:color w:val="auto"/>
              </w:rPr>
            </w:pPr>
          </w:p>
        </w:tc>
        <w:tc>
          <w:tcPr>
            <w:tcW w:w="360" w:type="dxa"/>
            <w:vAlign w:val="bottom"/>
            <w:tcBorders>
              <w:bottom w:val="single" w:sz="8" w:color="D7282F"/>
            </w:tcBorders>
            <w:vMerge w:val="continue"/>
          </w:tcPr>
          <w:p>
            <w:pPr>
              <w:spacing w:after="0"/>
              <w:rPr>
                <w:sz w:val="16"/>
                <w:szCs w:val="16"/>
                <w:color w:val="auto"/>
              </w:rPr>
            </w:pPr>
          </w:p>
        </w:tc>
        <w:tc>
          <w:tcPr>
            <w:tcW w:w="800" w:type="dxa"/>
            <w:vAlign w:val="bottom"/>
            <w:tcBorders>
              <w:bottom w:val="single" w:sz="8" w:color="D7282F"/>
            </w:tcBorders>
            <w:vMerge w:val="continue"/>
          </w:tcPr>
          <w:p>
            <w:pPr>
              <w:spacing w:after="0"/>
              <w:rPr>
                <w:sz w:val="16"/>
                <w:szCs w:val="16"/>
                <w:color w:val="auto"/>
              </w:rPr>
            </w:pPr>
          </w:p>
        </w:tc>
        <w:tc>
          <w:tcPr>
            <w:tcW w:w="200" w:type="dxa"/>
            <w:vAlign w:val="bottom"/>
            <w:tcBorders>
              <w:bottom w:val="single" w:sz="8" w:color="D7282F"/>
            </w:tcBorders>
            <w:vMerge w:val="continue"/>
          </w:tcPr>
          <w:p>
            <w:pPr>
              <w:spacing w:after="0"/>
              <w:rPr>
                <w:sz w:val="16"/>
                <w:szCs w:val="16"/>
                <w:color w:val="auto"/>
              </w:rPr>
            </w:pPr>
          </w:p>
        </w:tc>
        <w:tc>
          <w:tcPr>
            <w:tcW w:w="600" w:type="dxa"/>
            <w:vAlign w:val="bottom"/>
            <w:tcBorders>
              <w:bottom w:val="single" w:sz="8" w:color="D7282F"/>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79"/>
        </w:trPr>
        <w:tc>
          <w:tcPr>
            <w:tcW w:w="5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Borders>
              <w:bottom w:val="single" w:sz="8" w:color="D7282F"/>
            </w:tcBorders>
          </w:tcPr>
          <w:p>
            <w:pPr>
              <w:spacing w:after="0"/>
              <w:rPr>
                <w:sz w:val="24"/>
                <w:szCs w:val="24"/>
                <w:color w:val="auto"/>
              </w:rPr>
            </w:pPr>
          </w:p>
        </w:tc>
        <w:tc>
          <w:tcPr>
            <w:tcW w:w="2600" w:type="dxa"/>
            <w:vAlign w:val="bottom"/>
            <w:tcBorders>
              <w:bottom w:val="single" w:sz="8" w:color="D7282F"/>
            </w:tcBorders>
            <w:gridSpan w:val="5"/>
          </w:tcPr>
          <w:p>
            <w:pPr>
              <w:jc w:val="center"/>
              <w:ind w:right="88"/>
              <w:spacing w:after="0"/>
              <w:rPr>
                <w:sz w:val="20"/>
                <w:szCs w:val="20"/>
                <w:color w:val="auto"/>
              </w:rPr>
            </w:pPr>
            <w:r>
              <w:rPr>
                <w:rFonts w:ascii="Arial" w:cs="Arial" w:eastAsia="Arial" w:hAnsi="Arial"/>
                <w:sz w:val="14"/>
                <w:szCs w:val="14"/>
                <w:b w:val="1"/>
                <w:bCs w:val="1"/>
                <w:color w:val="auto"/>
              </w:rPr>
              <w:t>Other Postretirement Benefits</w:t>
            </w:r>
          </w:p>
        </w:tc>
        <w:tc>
          <w:tcPr>
            <w:tcW w:w="0" w:type="dxa"/>
            <w:vAlign w:val="bottom"/>
          </w:tcPr>
          <w:p>
            <w:pPr>
              <w:spacing w:after="0"/>
              <w:rPr>
                <w:sz w:val="1"/>
                <w:szCs w:val="1"/>
                <w:color w:val="auto"/>
              </w:rPr>
            </w:pPr>
          </w:p>
        </w:tc>
      </w:tr>
      <w:tr>
        <w:trPr>
          <w:trHeight w:val="236"/>
        </w:trPr>
        <w:tc>
          <w:tcPr>
            <w:tcW w:w="5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Borders>
              <w:bottom w:val="single" w:sz="8" w:color="D7282F"/>
            </w:tcBorders>
          </w:tcPr>
          <w:p>
            <w:pPr>
              <w:spacing w:after="0"/>
              <w:rPr>
                <w:sz w:val="20"/>
                <w:szCs w:val="20"/>
                <w:color w:val="auto"/>
              </w:rPr>
            </w:pPr>
          </w:p>
        </w:tc>
        <w:tc>
          <w:tcPr>
            <w:tcW w:w="2600" w:type="dxa"/>
            <w:vAlign w:val="bottom"/>
            <w:tcBorders>
              <w:bottom w:val="single" w:sz="8" w:color="D7282F"/>
            </w:tcBorders>
            <w:gridSpan w:val="5"/>
          </w:tcPr>
          <w:p>
            <w:pPr>
              <w:jc w:val="center"/>
              <w:ind w:right="88"/>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236"/>
        </w:trPr>
        <w:tc>
          <w:tcPr>
            <w:tcW w:w="5480" w:type="dxa"/>
            <w:vAlign w:val="bottom"/>
            <w:tcBorders>
              <w:bottom w:val="single" w:sz="8" w:color="D7282F"/>
            </w:tcBorders>
          </w:tcPr>
          <w:p>
            <w:pPr>
              <w:spacing w:after="0"/>
              <w:rPr>
                <w:sz w:val="20"/>
                <w:szCs w:val="20"/>
                <w:color w:val="auto"/>
              </w:rPr>
            </w:pPr>
          </w:p>
        </w:tc>
        <w:tc>
          <w:tcPr>
            <w:tcW w:w="160" w:type="dxa"/>
            <w:vAlign w:val="bottom"/>
            <w:tcBorders>
              <w:bottom w:val="single" w:sz="8" w:color="D7282F"/>
            </w:tcBorders>
          </w:tcPr>
          <w:p>
            <w:pPr>
              <w:spacing w:after="0"/>
              <w:rPr>
                <w:sz w:val="20"/>
                <w:szCs w:val="20"/>
                <w:color w:val="auto"/>
              </w:rPr>
            </w:pPr>
          </w:p>
        </w:tc>
        <w:tc>
          <w:tcPr>
            <w:tcW w:w="720" w:type="dxa"/>
            <w:vAlign w:val="bottom"/>
            <w:tcBorders>
              <w:bottom w:val="single" w:sz="8" w:color="D7282F"/>
            </w:tcBorders>
          </w:tcPr>
          <w:p>
            <w:pPr>
              <w:spacing w:after="0"/>
              <w:rPr>
                <w:sz w:val="20"/>
                <w:szCs w:val="20"/>
                <w:color w:val="auto"/>
              </w:rPr>
            </w:pPr>
          </w:p>
        </w:tc>
        <w:tc>
          <w:tcPr>
            <w:tcW w:w="320" w:type="dxa"/>
            <w:vAlign w:val="bottom"/>
            <w:tcBorders>
              <w:bottom w:val="single" w:sz="8" w:color="D7282F"/>
            </w:tcBorders>
          </w:tcPr>
          <w:p>
            <w:pPr>
              <w:spacing w:after="0"/>
              <w:rPr>
                <w:sz w:val="20"/>
                <w:szCs w:val="20"/>
                <w:color w:val="auto"/>
              </w:rPr>
            </w:pPr>
          </w:p>
        </w:tc>
        <w:tc>
          <w:tcPr>
            <w:tcW w:w="680" w:type="dxa"/>
            <w:vAlign w:val="bottom"/>
            <w:tcBorders>
              <w:bottom w:val="single" w:sz="8" w:color="D7282F"/>
            </w:tcBorders>
          </w:tcPr>
          <w:p>
            <w:pPr>
              <w:spacing w:after="0"/>
              <w:rPr>
                <w:sz w:val="20"/>
                <w:szCs w:val="20"/>
                <w:color w:val="auto"/>
              </w:rPr>
            </w:pPr>
          </w:p>
        </w:tc>
        <w:tc>
          <w:tcPr>
            <w:tcW w:w="280" w:type="dxa"/>
            <w:vAlign w:val="bottom"/>
            <w:tcBorders>
              <w:bottom w:val="single" w:sz="8" w:color="D7282F"/>
            </w:tcBorders>
          </w:tcPr>
          <w:p>
            <w:pPr>
              <w:spacing w:after="0"/>
              <w:rPr>
                <w:sz w:val="20"/>
                <w:szCs w:val="20"/>
                <w:color w:val="auto"/>
              </w:rPr>
            </w:pPr>
          </w:p>
        </w:tc>
        <w:tc>
          <w:tcPr>
            <w:tcW w:w="600" w:type="dxa"/>
            <w:vAlign w:val="bottom"/>
            <w:tcBorders>
              <w:bottom w:val="single" w:sz="8" w:color="D7282F"/>
            </w:tcBorders>
          </w:tcPr>
          <w:p>
            <w:pPr>
              <w:spacing w:after="0"/>
              <w:rPr>
                <w:sz w:val="20"/>
                <w:szCs w:val="20"/>
                <w:color w:val="auto"/>
              </w:rPr>
            </w:pPr>
          </w:p>
        </w:tc>
        <w:tc>
          <w:tcPr>
            <w:tcW w:w="240" w:type="dxa"/>
            <w:vAlign w:val="bottom"/>
            <w:tcBorders>
              <w:bottom w:val="single" w:sz="8" w:color="D7282F"/>
            </w:tcBorders>
          </w:tcPr>
          <w:p>
            <w:pPr>
              <w:spacing w:after="0"/>
              <w:rPr>
                <w:sz w:val="20"/>
                <w:szCs w:val="20"/>
                <w:color w:val="auto"/>
              </w:rPr>
            </w:pPr>
          </w:p>
        </w:tc>
        <w:tc>
          <w:tcPr>
            <w:tcW w:w="160" w:type="dxa"/>
            <w:vAlign w:val="bottom"/>
            <w:tcBorders>
              <w:bottom w:val="single" w:sz="8" w:color="D7282F"/>
            </w:tcBorders>
          </w:tcPr>
          <w:p>
            <w:pPr>
              <w:spacing w:after="0"/>
              <w:rPr>
                <w:sz w:val="20"/>
                <w:szCs w:val="20"/>
                <w:color w:val="auto"/>
              </w:rPr>
            </w:pPr>
          </w:p>
        </w:tc>
        <w:tc>
          <w:tcPr>
            <w:tcW w:w="640" w:type="dxa"/>
            <w:vAlign w:val="bottom"/>
            <w:tcBorders>
              <w:bottom w:val="single" w:sz="8" w:color="D7282F"/>
            </w:tcBorders>
          </w:tcPr>
          <w:p>
            <w:pPr>
              <w:jc w:val="right"/>
              <w:ind w:right="188"/>
              <w:spacing w:after="0"/>
              <w:rPr>
                <w:sz w:val="20"/>
                <w:szCs w:val="20"/>
                <w:color w:val="auto"/>
              </w:rPr>
            </w:pPr>
            <w:r>
              <w:rPr>
                <w:rFonts w:ascii="Arial" w:cs="Arial" w:eastAsia="Arial" w:hAnsi="Arial"/>
                <w:sz w:val="14"/>
                <w:szCs w:val="14"/>
                <w:b w:val="1"/>
                <w:bCs w:val="1"/>
                <w:color w:val="auto"/>
              </w:rPr>
              <w:t>2024</w:t>
            </w:r>
          </w:p>
        </w:tc>
        <w:tc>
          <w:tcPr>
            <w:tcW w:w="360" w:type="dxa"/>
            <w:vAlign w:val="bottom"/>
            <w:tcBorders>
              <w:bottom w:val="single" w:sz="8" w:color="D7282F"/>
            </w:tcBorders>
          </w:tcPr>
          <w:p>
            <w:pPr>
              <w:spacing w:after="0"/>
              <w:rPr>
                <w:sz w:val="20"/>
                <w:szCs w:val="20"/>
                <w:color w:val="auto"/>
              </w:rPr>
            </w:pPr>
          </w:p>
        </w:tc>
        <w:tc>
          <w:tcPr>
            <w:tcW w:w="800" w:type="dxa"/>
            <w:vAlign w:val="bottom"/>
            <w:tcBorders>
              <w:bottom w:val="single" w:sz="8" w:color="D7282F"/>
            </w:tcBorders>
          </w:tcPr>
          <w:p>
            <w:pPr>
              <w:jc w:val="center"/>
              <w:ind w:right="288"/>
              <w:spacing w:after="0"/>
              <w:rPr>
                <w:sz w:val="20"/>
                <w:szCs w:val="20"/>
                <w:color w:val="auto"/>
              </w:rPr>
            </w:pPr>
            <w:r>
              <w:rPr>
                <w:rFonts w:ascii="Arial" w:cs="Arial" w:eastAsia="Arial" w:hAnsi="Arial"/>
                <w:sz w:val="14"/>
                <w:szCs w:val="14"/>
                <w:b w:val="1"/>
                <w:bCs w:val="1"/>
                <w:color w:val="auto"/>
              </w:rPr>
              <w:t>2023</w:t>
            </w:r>
          </w:p>
        </w:tc>
        <w:tc>
          <w:tcPr>
            <w:tcW w:w="200" w:type="dxa"/>
            <w:vAlign w:val="bottom"/>
            <w:tcBorders>
              <w:bottom w:val="single" w:sz="8" w:color="D7282F"/>
            </w:tcBorders>
          </w:tcPr>
          <w:p>
            <w:pPr>
              <w:spacing w:after="0"/>
              <w:rPr>
                <w:sz w:val="20"/>
                <w:szCs w:val="20"/>
                <w:color w:val="auto"/>
              </w:rPr>
            </w:pPr>
          </w:p>
        </w:tc>
        <w:tc>
          <w:tcPr>
            <w:tcW w:w="60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93"/>
        </w:trPr>
        <w:tc>
          <w:tcPr>
            <w:tcW w:w="5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Interest cost</w:t>
            </w:r>
          </w:p>
        </w:tc>
        <w:tc>
          <w:tcPr>
            <w:tcW w:w="160" w:type="dxa"/>
            <w:vAlign w:val="bottom"/>
            <w:tcBorders>
              <w:bottom w:val="single" w:sz="8" w:color="61656A"/>
            </w:tcBorders>
          </w:tcPr>
          <w:p>
            <w:pPr>
              <w:spacing w:after="0"/>
              <w:rPr>
                <w:sz w:val="16"/>
                <w:szCs w:val="16"/>
                <w:color w:val="auto"/>
              </w:rPr>
            </w:pPr>
          </w:p>
        </w:tc>
        <w:tc>
          <w:tcPr>
            <w:tcW w:w="72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680" w:type="dxa"/>
            <w:vAlign w:val="bottom"/>
            <w:tcBorders>
              <w:bottom w:val="single" w:sz="8" w:color="61656A"/>
            </w:tcBorders>
          </w:tcPr>
          <w:p>
            <w:pPr>
              <w:spacing w:after="0"/>
              <w:rPr>
                <w:sz w:val="16"/>
                <w:szCs w:val="16"/>
                <w:color w:val="auto"/>
              </w:rPr>
            </w:pPr>
          </w:p>
        </w:tc>
        <w:tc>
          <w:tcPr>
            <w:tcW w:w="280" w:type="dxa"/>
            <w:vAlign w:val="bottom"/>
            <w:tcBorders>
              <w:bottom w:val="single" w:sz="8" w:color="61656A"/>
            </w:tcBorders>
          </w:tcPr>
          <w:p>
            <w:pPr>
              <w:spacing w:after="0"/>
              <w:rPr>
                <w:sz w:val="16"/>
                <w:szCs w:val="16"/>
                <w:color w:val="auto"/>
              </w:rPr>
            </w:pPr>
          </w:p>
        </w:tc>
        <w:tc>
          <w:tcPr>
            <w:tcW w:w="600" w:type="dxa"/>
            <w:vAlign w:val="bottom"/>
            <w:tcBorders>
              <w:bottom w:val="single" w:sz="8" w:color="61656A"/>
            </w:tcBorders>
          </w:tcPr>
          <w:p>
            <w:pPr>
              <w:spacing w:after="0"/>
              <w:rPr>
                <w:sz w:val="16"/>
                <w:szCs w:val="16"/>
                <w:color w:val="auto"/>
              </w:rPr>
            </w:pPr>
          </w:p>
        </w:tc>
        <w:tc>
          <w:tcPr>
            <w:tcW w:w="240" w:type="dxa"/>
            <w:vAlign w:val="bottom"/>
            <w:tcBorders>
              <w:bottom w:val="single" w:sz="8" w:color="61656A"/>
            </w:tcBorders>
          </w:tcPr>
          <w:p>
            <w:pPr>
              <w:spacing w:after="0"/>
              <w:rPr>
                <w:sz w:val="16"/>
                <w:szCs w:val="16"/>
                <w:color w:val="auto"/>
              </w:rPr>
            </w:pPr>
          </w:p>
        </w:tc>
        <w:tc>
          <w:tcPr>
            <w:tcW w:w="1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5</w:t>
            </w:r>
          </w:p>
        </w:tc>
        <w:tc>
          <w:tcPr>
            <w:tcW w:w="36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61656A"/>
            </w:tcBorders>
          </w:tcPr>
          <w:p>
            <w:pPr>
              <w:jc w:val="right"/>
              <w:ind w:right="188"/>
              <w:spacing w:after="0"/>
              <w:rPr>
                <w:sz w:val="20"/>
                <w:szCs w:val="20"/>
                <w:color w:val="auto"/>
              </w:rPr>
            </w:pPr>
            <w:r>
              <w:rPr>
                <w:rFonts w:ascii="Arial" w:cs="Arial" w:eastAsia="Arial" w:hAnsi="Arial"/>
                <w:sz w:val="14"/>
                <w:szCs w:val="14"/>
                <w:color w:val="auto"/>
              </w:rPr>
              <w:t>6</w:t>
            </w:r>
          </w:p>
        </w:tc>
        <w:tc>
          <w:tcPr>
            <w:tcW w:w="2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96"/>
        </w:trPr>
        <w:tc>
          <w:tcPr>
            <w:tcW w:w="5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Amortization of prior service (credit) cost</w:t>
            </w:r>
          </w:p>
        </w:tc>
        <w:tc>
          <w:tcPr>
            <w:tcW w:w="16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spacing w:after="0"/>
              <w:rPr>
                <w:sz w:val="17"/>
                <w:szCs w:val="17"/>
                <w:color w:val="auto"/>
              </w:rPr>
            </w:pPr>
          </w:p>
        </w:tc>
        <w:tc>
          <w:tcPr>
            <w:tcW w:w="3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spacing w:after="0"/>
              <w:rPr>
                <w:sz w:val="17"/>
                <w:szCs w:val="17"/>
                <w:color w:val="auto"/>
              </w:rPr>
            </w:pPr>
          </w:p>
        </w:tc>
        <w:tc>
          <w:tcPr>
            <w:tcW w:w="28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160" w:type="dxa"/>
            <w:vAlign w:val="bottom"/>
            <w:tcBorders>
              <w:bottom w:val="single" w:sz="8" w:color="61656A"/>
            </w:tcBorders>
          </w:tcPr>
          <w:p>
            <w:pPr>
              <w:spacing w:after="0"/>
              <w:rPr>
                <w:sz w:val="17"/>
                <w:szCs w:val="17"/>
                <w:color w:val="auto"/>
              </w:rPr>
            </w:pPr>
          </w:p>
        </w:tc>
        <w:tc>
          <w:tcPr>
            <w:tcW w:w="6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(12)</w:t>
            </w:r>
          </w:p>
        </w:tc>
        <w:tc>
          <w:tcPr>
            <w:tcW w:w="36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48"/>
              <w:spacing w:after="0"/>
              <w:rPr>
                <w:sz w:val="20"/>
                <w:szCs w:val="20"/>
                <w:color w:val="auto"/>
              </w:rPr>
            </w:pPr>
            <w:r>
              <w:rPr>
                <w:rFonts w:ascii="Arial" w:cs="Arial" w:eastAsia="Arial" w:hAnsi="Arial"/>
                <w:sz w:val="14"/>
                <w:szCs w:val="14"/>
                <w:color w:val="auto"/>
              </w:rPr>
              <w:t>(20)</w:t>
            </w:r>
          </w:p>
        </w:tc>
        <w:tc>
          <w:tcPr>
            <w:tcW w:w="20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96"/>
        </w:trPr>
        <w:tc>
          <w:tcPr>
            <w:tcW w:w="54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Recognition of actuarial (gains) losses</w:t>
            </w:r>
          </w:p>
        </w:tc>
        <w:tc>
          <w:tcPr>
            <w:tcW w:w="1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spacing w:after="0"/>
              <w:rPr>
                <w:sz w:val="17"/>
                <w:szCs w:val="17"/>
                <w:color w:val="auto"/>
              </w:rPr>
            </w:pP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spacing w:after="0"/>
              <w:rPr>
                <w:sz w:val="17"/>
                <w:szCs w:val="17"/>
                <w:color w:val="auto"/>
              </w:rPr>
            </w:pPr>
          </w:p>
        </w:tc>
        <w:tc>
          <w:tcPr>
            <w:tcW w:w="28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spacing w:after="0"/>
              <w:rPr>
                <w:sz w:val="17"/>
                <w:szCs w:val="17"/>
                <w:color w:val="auto"/>
              </w:rPr>
            </w:pPr>
          </w:p>
        </w:tc>
        <w:tc>
          <w:tcPr>
            <w:tcW w:w="240" w:type="dxa"/>
            <w:vAlign w:val="bottom"/>
            <w:tcBorders>
              <w:bottom w:val="single" w:sz="8" w:color="D7282F"/>
            </w:tcBorders>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6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(11)</w:t>
            </w:r>
          </w:p>
        </w:tc>
        <w:tc>
          <w:tcPr>
            <w:tcW w:w="36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color w:val="auto"/>
              </w:rPr>
              <w:t>(13)</w:t>
            </w:r>
          </w:p>
        </w:tc>
        <w:tc>
          <w:tcPr>
            <w:tcW w:w="20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99"/>
        </w:trPr>
        <w:tc>
          <w:tcPr>
            <w:tcW w:w="548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Net periodic benefit (income) cost</w:t>
            </w:r>
          </w:p>
        </w:tc>
        <w:tc>
          <w:tcPr>
            <w:tcW w:w="1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spacing w:after="0"/>
              <w:rPr>
                <w:sz w:val="17"/>
                <w:szCs w:val="17"/>
                <w:color w:val="auto"/>
              </w:rPr>
            </w:pP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spacing w:after="0"/>
              <w:rPr>
                <w:sz w:val="17"/>
                <w:szCs w:val="17"/>
                <w:color w:val="auto"/>
              </w:rPr>
            </w:pPr>
          </w:p>
        </w:tc>
        <w:tc>
          <w:tcPr>
            <w:tcW w:w="28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spacing w:after="0"/>
              <w:rPr>
                <w:sz w:val="17"/>
                <w:szCs w:val="17"/>
                <w:color w:val="auto"/>
              </w:rPr>
            </w:pPr>
          </w:p>
        </w:tc>
        <w:tc>
          <w:tcPr>
            <w:tcW w:w="240" w:type="dxa"/>
            <w:vAlign w:val="bottom"/>
            <w:tcBorders>
              <w:bottom w:val="single" w:sz="8" w:color="D7282F"/>
            </w:tcBorders>
          </w:tcPr>
          <w:p>
            <w:pPr>
              <w:spacing w:after="0"/>
              <w:rPr>
                <w:sz w:val="17"/>
                <w:szCs w:val="17"/>
                <w:color w:val="auto"/>
              </w:rPr>
            </w:pP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(18)</w:t>
            </w:r>
          </w:p>
        </w:tc>
        <w:tc>
          <w:tcPr>
            <w:tcW w:w="36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(27)</w:t>
            </w:r>
          </w:p>
        </w:tc>
        <w:tc>
          <w:tcPr>
            <w:tcW w:w="2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(41)</w:t>
            </w:r>
          </w:p>
        </w:tc>
        <w:tc>
          <w:tcPr>
            <w:tcW w:w="0" w:type="dxa"/>
            <w:vAlign w:val="bottom"/>
          </w:tcPr>
          <w:p>
            <w:pPr>
              <w:spacing w:after="0"/>
              <w:rPr>
                <w:sz w:val="1"/>
                <w:szCs w:val="1"/>
                <w:color w:val="auto"/>
              </w:rPr>
            </w:pPr>
          </w:p>
        </w:tc>
      </w:tr>
      <w:tr>
        <w:trPr>
          <w:trHeight w:val="479"/>
        </w:trPr>
        <w:tc>
          <w:tcPr>
            <w:tcW w:w="5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Borders>
              <w:bottom w:val="single" w:sz="8" w:color="D7282F"/>
            </w:tcBorders>
          </w:tcPr>
          <w:p>
            <w:pPr>
              <w:spacing w:after="0"/>
              <w:rPr>
                <w:sz w:val="24"/>
                <w:szCs w:val="24"/>
                <w:color w:val="auto"/>
              </w:rPr>
            </w:pPr>
          </w:p>
        </w:tc>
        <w:tc>
          <w:tcPr>
            <w:tcW w:w="2600" w:type="dxa"/>
            <w:vAlign w:val="bottom"/>
            <w:tcBorders>
              <w:bottom w:val="single" w:sz="8" w:color="D7282F"/>
            </w:tcBorders>
            <w:gridSpan w:val="5"/>
          </w:tcPr>
          <w:p>
            <w:pPr>
              <w:jc w:val="center"/>
              <w:ind w:right="88"/>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237"/>
        </w:trPr>
        <w:tc>
          <w:tcPr>
            <w:tcW w:w="5480" w:type="dxa"/>
            <w:vAlign w:val="bottom"/>
            <w:tcBorders>
              <w:bottom w:val="single" w:sz="8" w:color="D7282F"/>
            </w:tcBorders>
          </w:tcPr>
          <w:p>
            <w:pPr>
              <w:spacing w:after="0"/>
              <w:rPr>
                <w:sz w:val="20"/>
                <w:szCs w:val="20"/>
                <w:color w:val="auto"/>
              </w:rPr>
            </w:pPr>
          </w:p>
        </w:tc>
        <w:tc>
          <w:tcPr>
            <w:tcW w:w="160" w:type="dxa"/>
            <w:vAlign w:val="bottom"/>
            <w:tcBorders>
              <w:bottom w:val="single" w:sz="8" w:color="D7282F"/>
            </w:tcBorders>
          </w:tcPr>
          <w:p>
            <w:pPr>
              <w:spacing w:after="0"/>
              <w:rPr>
                <w:sz w:val="20"/>
                <w:szCs w:val="20"/>
                <w:color w:val="auto"/>
              </w:rPr>
            </w:pPr>
          </w:p>
        </w:tc>
        <w:tc>
          <w:tcPr>
            <w:tcW w:w="720" w:type="dxa"/>
            <w:vAlign w:val="bottom"/>
            <w:tcBorders>
              <w:bottom w:val="single" w:sz="8" w:color="D7282F"/>
            </w:tcBorders>
          </w:tcPr>
          <w:p>
            <w:pPr>
              <w:spacing w:after="0"/>
              <w:rPr>
                <w:sz w:val="20"/>
                <w:szCs w:val="20"/>
                <w:color w:val="auto"/>
              </w:rPr>
            </w:pPr>
          </w:p>
        </w:tc>
        <w:tc>
          <w:tcPr>
            <w:tcW w:w="320" w:type="dxa"/>
            <w:vAlign w:val="bottom"/>
            <w:tcBorders>
              <w:bottom w:val="single" w:sz="8" w:color="D7282F"/>
            </w:tcBorders>
          </w:tcPr>
          <w:p>
            <w:pPr>
              <w:spacing w:after="0"/>
              <w:rPr>
                <w:sz w:val="20"/>
                <w:szCs w:val="20"/>
                <w:color w:val="auto"/>
              </w:rPr>
            </w:pPr>
          </w:p>
        </w:tc>
        <w:tc>
          <w:tcPr>
            <w:tcW w:w="680" w:type="dxa"/>
            <w:vAlign w:val="bottom"/>
            <w:tcBorders>
              <w:bottom w:val="single" w:sz="8" w:color="D7282F"/>
            </w:tcBorders>
          </w:tcPr>
          <w:p>
            <w:pPr>
              <w:spacing w:after="0"/>
              <w:rPr>
                <w:sz w:val="20"/>
                <w:szCs w:val="20"/>
                <w:color w:val="auto"/>
              </w:rPr>
            </w:pPr>
          </w:p>
        </w:tc>
        <w:tc>
          <w:tcPr>
            <w:tcW w:w="280" w:type="dxa"/>
            <w:vAlign w:val="bottom"/>
            <w:tcBorders>
              <w:bottom w:val="single" w:sz="8" w:color="D7282F"/>
            </w:tcBorders>
          </w:tcPr>
          <w:p>
            <w:pPr>
              <w:spacing w:after="0"/>
              <w:rPr>
                <w:sz w:val="20"/>
                <w:szCs w:val="20"/>
                <w:color w:val="auto"/>
              </w:rPr>
            </w:pPr>
          </w:p>
        </w:tc>
        <w:tc>
          <w:tcPr>
            <w:tcW w:w="600" w:type="dxa"/>
            <w:vAlign w:val="bottom"/>
            <w:tcBorders>
              <w:bottom w:val="single" w:sz="8" w:color="D7282F"/>
            </w:tcBorders>
          </w:tcPr>
          <w:p>
            <w:pPr>
              <w:spacing w:after="0"/>
              <w:rPr>
                <w:sz w:val="20"/>
                <w:szCs w:val="20"/>
                <w:color w:val="auto"/>
              </w:rPr>
            </w:pPr>
          </w:p>
        </w:tc>
        <w:tc>
          <w:tcPr>
            <w:tcW w:w="240" w:type="dxa"/>
            <w:vAlign w:val="bottom"/>
            <w:tcBorders>
              <w:bottom w:val="single" w:sz="8" w:color="D7282F"/>
            </w:tcBorders>
          </w:tcPr>
          <w:p>
            <w:pPr>
              <w:spacing w:after="0"/>
              <w:rPr>
                <w:sz w:val="20"/>
                <w:szCs w:val="20"/>
                <w:color w:val="auto"/>
              </w:rPr>
            </w:pPr>
          </w:p>
        </w:tc>
        <w:tc>
          <w:tcPr>
            <w:tcW w:w="160" w:type="dxa"/>
            <w:vAlign w:val="bottom"/>
            <w:tcBorders>
              <w:bottom w:val="single" w:sz="8" w:color="D7282F"/>
            </w:tcBorders>
          </w:tcPr>
          <w:p>
            <w:pPr>
              <w:spacing w:after="0"/>
              <w:rPr>
                <w:sz w:val="20"/>
                <w:szCs w:val="20"/>
                <w:color w:val="auto"/>
              </w:rPr>
            </w:pPr>
          </w:p>
        </w:tc>
        <w:tc>
          <w:tcPr>
            <w:tcW w:w="640" w:type="dxa"/>
            <w:vAlign w:val="bottom"/>
            <w:tcBorders>
              <w:bottom w:val="single" w:sz="8" w:color="D7282F"/>
            </w:tcBorders>
          </w:tcPr>
          <w:p>
            <w:pPr>
              <w:jc w:val="right"/>
              <w:ind w:right="188"/>
              <w:spacing w:after="0"/>
              <w:rPr>
                <w:sz w:val="20"/>
                <w:szCs w:val="20"/>
                <w:color w:val="auto"/>
              </w:rPr>
            </w:pPr>
            <w:r>
              <w:rPr>
                <w:rFonts w:ascii="Arial" w:cs="Arial" w:eastAsia="Arial" w:hAnsi="Arial"/>
                <w:sz w:val="14"/>
                <w:szCs w:val="14"/>
                <w:b w:val="1"/>
                <w:bCs w:val="1"/>
                <w:color w:val="auto"/>
              </w:rPr>
              <w:t>2024</w:t>
            </w:r>
          </w:p>
        </w:tc>
        <w:tc>
          <w:tcPr>
            <w:tcW w:w="360" w:type="dxa"/>
            <w:vAlign w:val="bottom"/>
            <w:tcBorders>
              <w:bottom w:val="single" w:sz="8" w:color="D7282F"/>
            </w:tcBorders>
          </w:tcPr>
          <w:p>
            <w:pPr>
              <w:spacing w:after="0"/>
              <w:rPr>
                <w:sz w:val="20"/>
                <w:szCs w:val="20"/>
                <w:color w:val="auto"/>
              </w:rPr>
            </w:pPr>
          </w:p>
        </w:tc>
        <w:tc>
          <w:tcPr>
            <w:tcW w:w="800" w:type="dxa"/>
            <w:vAlign w:val="bottom"/>
            <w:tcBorders>
              <w:bottom w:val="single" w:sz="8" w:color="D7282F"/>
            </w:tcBorders>
          </w:tcPr>
          <w:p>
            <w:pPr>
              <w:jc w:val="center"/>
              <w:ind w:right="288"/>
              <w:spacing w:after="0"/>
              <w:rPr>
                <w:sz w:val="20"/>
                <w:szCs w:val="20"/>
                <w:color w:val="auto"/>
              </w:rPr>
            </w:pPr>
            <w:r>
              <w:rPr>
                <w:rFonts w:ascii="Arial" w:cs="Arial" w:eastAsia="Arial" w:hAnsi="Arial"/>
                <w:sz w:val="14"/>
                <w:szCs w:val="14"/>
                <w:b w:val="1"/>
                <w:bCs w:val="1"/>
                <w:color w:val="auto"/>
              </w:rPr>
              <w:t>2023</w:t>
            </w:r>
          </w:p>
        </w:tc>
        <w:tc>
          <w:tcPr>
            <w:tcW w:w="200" w:type="dxa"/>
            <w:vAlign w:val="bottom"/>
            <w:tcBorders>
              <w:bottom w:val="single" w:sz="8" w:color="D7282F"/>
            </w:tcBorders>
          </w:tcPr>
          <w:p>
            <w:pPr>
              <w:spacing w:after="0"/>
              <w:rPr>
                <w:sz w:val="20"/>
                <w:szCs w:val="20"/>
                <w:color w:val="auto"/>
              </w:rPr>
            </w:pPr>
          </w:p>
        </w:tc>
        <w:tc>
          <w:tcPr>
            <w:tcW w:w="60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93"/>
        </w:trPr>
        <w:tc>
          <w:tcPr>
            <w:tcW w:w="5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Actuarial (gains) losses</w:t>
            </w:r>
          </w:p>
        </w:tc>
        <w:tc>
          <w:tcPr>
            <w:tcW w:w="160" w:type="dxa"/>
            <w:vAlign w:val="bottom"/>
            <w:tcBorders>
              <w:bottom w:val="single" w:sz="8" w:color="61656A"/>
            </w:tcBorders>
          </w:tcPr>
          <w:p>
            <w:pPr>
              <w:spacing w:after="0"/>
              <w:rPr>
                <w:sz w:val="16"/>
                <w:szCs w:val="16"/>
                <w:color w:val="auto"/>
              </w:rPr>
            </w:pPr>
          </w:p>
        </w:tc>
        <w:tc>
          <w:tcPr>
            <w:tcW w:w="72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680" w:type="dxa"/>
            <w:vAlign w:val="bottom"/>
            <w:tcBorders>
              <w:bottom w:val="single" w:sz="8" w:color="61656A"/>
            </w:tcBorders>
          </w:tcPr>
          <w:p>
            <w:pPr>
              <w:spacing w:after="0"/>
              <w:rPr>
                <w:sz w:val="16"/>
                <w:szCs w:val="16"/>
                <w:color w:val="auto"/>
              </w:rPr>
            </w:pPr>
          </w:p>
        </w:tc>
        <w:tc>
          <w:tcPr>
            <w:tcW w:w="280" w:type="dxa"/>
            <w:vAlign w:val="bottom"/>
            <w:tcBorders>
              <w:bottom w:val="single" w:sz="8" w:color="61656A"/>
            </w:tcBorders>
          </w:tcPr>
          <w:p>
            <w:pPr>
              <w:spacing w:after="0"/>
              <w:rPr>
                <w:sz w:val="16"/>
                <w:szCs w:val="16"/>
                <w:color w:val="auto"/>
              </w:rPr>
            </w:pPr>
          </w:p>
        </w:tc>
        <w:tc>
          <w:tcPr>
            <w:tcW w:w="600" w:type="dxa"/>
            <w:vAlign w:val="bottom"/>
            <w:tcBorders>
              <w:bottom w:val="single" w:sz="8" w:color="61656A"/>
            </w:tcBorders>
          </w:tcPr>
          <w:p>
            <w:pPr>
              <w:spacing w:after="0"/>
              <w:rPr>
                <w:sz w:val="16"/>
                <w:szCs w:val="16"/>
                <w:color w:val="auto"/>
              </w:rPr>
            </w:pPr>
          </w:p>
        </w:tc>
        <w:tc>
          <w:tcPr>
            <w:tcW w:w="240" w:type="dxa"/>
            <w:vAlign w:val="bottom"/>
            <w:tcBorders>
              <w:bottom w:val="single" w:sz="8" w:color="61656A"/>
            </w:tcBorders>
          </w:tcPr>
          <w:p>
            <w:pPr>
              <w:spacing w:after="0"/>
              <w:rPr>
                <w:sz w:val="16"/>
                <w:szCs w:val="16"/>
                <w:color w:val="auto"/>
              </w:rPr>
            </w:pPr>
          </w:p>
        </w:tc>
        <w:tc>
          <w:tcPr>
            <w:tcW w:w="1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w:t>
            </w:r>
          </w:p>
        </w:tc>
        <w:tc>
          <w:tcPr>
            <w:tcW w:w="36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61656A"/>
            </w:tcBorders>
          </w:tcPr>
          <w:p>
            <w:pPr>
              <w:jc w:val="right"/>
              <w:ind w:right="188"/>
              <w:spacing w:after="0"/>
              <w:rPr>
                <w:sz w:val="20"/>
                <w:szCs w:val="20"/>
                <w:color w:val="auto"/>
              </w:rPr>
            </w:pPr>
            <w:r>
              <w:rPr>
                <w:rFonts w:ascii="Arial" w:cs="Arial" w:eastAsia="Arial" w:hAnsi="Arial"/>
                <w:sz w:val="14"/>
                <w:szCs w:val="14"/>
                <w:color w:val="auto"/>
              </w:rPr>
              <w:t>3</w:t>
            </w:r>
          </w:p>
        </w:tc>
        <w:tc>
          <w:tcPr>
            <w:tcW w:w="2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96"/>
        </w:trPr>
        <w:tc>
          <w:tcPr>
            <w:tcW w:w="5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Prior service credit recognized during year</w:t>
            </w:r>
          </w:p>
        </w:tc>
        <w:tc>
          <w:tcPr>
            <w:tcW w:w="16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spacing w:after="0"/>
              <w:rPr>
                <w:sz w:val="17"/>
                <w:szCs w:val="17"/>
                <w:color w:val="auto"/>
              </w:rPr>
            </w:pPr>
          </w:p>
        </w:tc>
        <w:tc>
          <w:tcPr>
            <w:tcW w:w="3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spacing w:after="0"/>
              <w:rPr>
                <w:sz w:val="17"/>
                <w:szCs w:val="17"/>
                <w:color w:val="auto"/>
              </w:rPr>
            </w:pPr>
          </w:p>
        </w:tc>
        <w:tc>
          <w:tcPr>
            <w:tcW w:w="28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160" w:type="dxa"/>
            <w:vAlign w:val="bottom"/>
            <w:tcBorders>
              <w:bottom w:val="single" w:sz="8" w:color="61656A"/>
            </w:tcBorders>
          </w:tcPr>
          <w:p>
            <w:pPr>
              <w:spacing w:after="0"/>
              <w:rPr>
                <w:sz w:val="17"/>
                <w:szCs w:val="17"/>
                <w:color w:val="auto"/>
              </w:rPr>
            </w:pPr>
          </w:p>
        </w:tc>
        <w:tc>
          <w:tcPr>
            <w:tcW w:w="64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12</w:t>
            </w:r>
          </w:p>
        </w:tc>
        <w:tc>
          <w:tcPr>
            <w:tcW w:w="36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88"/>
              <w:spacing w:after="0"/>
              <w:rPr>
                <w:sz w:val="20"/>
                <w:szCs w:val="20"/>
                <w:color w:val="auto"/>
              </w:rPr>
            </w:pPr>
            <w:r>
              <w:rPr>
                <w:rFonts w:ascii="Arial" w:cs="Arial" w:eastAsia="Arial" w:hAnsi="Arial"/>
                <w:sz w:val="14"/>
                <w:szCs w:val="14"/>
                <w:color w:val="auto"/>
              </w:rPr>
              <w:t>20</w:t>
            </w:r>
          </w:p>
        </w:tc>
        <w:tc>
          <w:tcPr>
            <w:tcW w:w="20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96"/>
        </w:trPr>
        <w:tc>
          <w:tcPr>
            <w:tcW w:w="54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Actuarial (gains) losses recognized during year</w:t>
            </w:r>
          </w:p>
        </w:tc>
        <w:tc>
          <w:tcPr>
            <w:tcW w:w="1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spacing w:after="0"/>
              <w:rPr>
                <w:sz w:val="17"/>
                <w:szCs w:val="17"/>
                <w:color w:val="auto"/>
              </w:rPr>
            </w:pP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spacing w:after="0"/>
              <w:rPr>
                <w:sz w:val="17"/>
                <w:szCs w:val="17"/>
                <w:color w:val="auto"/>
              </w:rPr>
            </w:pPr>
          </w:p>
        </w:tc>
        <w:tc>
          <w:tcPr>
            <w:tcW w:w="28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spacing w:after="0"/>
              <w:rPr>
                <w:sz w:val="17"/>
                <w:szCs w:val="17"/>
                <w:color w:val="auto"/>
              </w:rPr>
            </w:pPr>
          </w:p>
        </w:tc>
        <w:tc>
          <w:tcPr>
            <w:tcW w:w="240" w:type="dxa"/>
            <w:vAlign w:val="bottom"/>
            <w:tcBorders>
              <w:bottom w:val="single" w:sz="8" w:color="D7282F"/>
            </w:tcBorders>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64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color w:val="auto"/>
              </w:rPr>
              <w:t>11</w:t>
            </w:r>
          </w:p>
        </w:tc>
        <w:tc>
          <w:tcPr>
            <w:tcW w:w="36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88"/>
              <w:spacing w:after="0"/>
              <w:rPr>
                <w:sz w:val="20"/>
                <w:szCs w:val="20"/>
                <w:color w:val="auto"/>
              </w:rPr>
            </w:pPr>
            <w:r>
              <w:rPr>
                <w:rFonts w:ascii="Arial" w:cs="Arial" w:eastAsia="Arial" w:hAnsi="Arial"/>
                <w:sz w:val="14"/>
                <w:szCs w:val="14"/>
                <w:color w:val="auto"/>
              </w:rPr>
              <w:t>13</w:t>
            </w:r>
          </w:p>
        </w:tc>
        <w:tc>
          <w:tcPr>
            <w:tcW w:w="20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99"/>
        </w:trPr>
        <w:tc>
          <w:tcPr>
            <w:tcW w:w="548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recognized in other comprehensive (income) loss</w:t>
            </w:r>
          </w:p>
        </w:tc>
        <w:tc>
          <w:tcPr>
            <w:tcW w:w="1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spacing w:after="0"/>
              <w:rPr>
                <w:sz w:val="17"/>
                <w:szCs w:val="17"/>
                <w:color w:val="auto"/>
              </w:rPr>
            </w:pP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spacing w:after="0"/>
              <w:rPr>
                <w:sz w:val="17"/>
                <w:szCs w:val="17"/>
                <w:color w:val="auto"/>
              </w:rPr>
            </w:pPr>
          </w:p>
        </w:tc>
        <w:tc>
          <w:tcPr>
            <w:tcW w:w="28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spacing w:after="0"/>
              <w:rPr>
                <w:sz w:val="17"/>
                <w:szCs w:val="17"/>
                <w:color w:val="auto"/>
              </w:rPr>
            </w:pPr>
          </w:p>
        </w:tc>
        <w:tc>
          <w:tcPr>
            <w:tcW w:w="240" w:type="dxa"/>
            <w:vAlign w:val="bottom"/>
            <w:tcBorders>
              <w:bottom w:val="single" w:sz="8" w:color="D7282F"/>
            </w:tcBorders>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64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16</w:t>
            </w:r>
          </w:p>
        </w:tc>
        <w:tc>
          <w:tcPr>
            <w:tcW w:w="36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88"/>
              <w:spacing w:after="0"/>
              <w:rPr>
                <w:sz w:val="20"/>
                <w:szCs w:val="20"/>
                <w:color w:val="auto"/>
              </w:rPr>
            </w:pPr>
            <w:r>
              <w:rPr>
                <w:rFonts w:ascii="Arial" w:cs="Arial" w:eastAsia="Arial" w:hAnsi="Arial"/>
                <w:sz w:val="14"/>
                <w:szCs w:val="14"/>
                <w:b w:val="1"/>
                <w:bCs w:val="1"/>
                <w:color w:val="auto"/>
              </w:rPr>
              <w:t>36</w:t>
            </w:r>
          </w:p>
        </w:tc>
        <w:tc>
          <w:tcPr>
            <w:tcW w:w="20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(8)</w:t>
            </w:r>
          </w:p>
        </w:tc>
        <w:tc>
          <w:tcPr>
            <w:tcW w:w="0" w:type="dxa"/>
            <w:vAlign w:val="bottom"/>
          </w:tcPr>
          <w:p>
            <w:pPr>
              <w:spacing w:after="0"/>
              <w:rPr>
                <w:sz w:val="1"/>
                <w:szCs w:val="1"/>
                <w:color w:val="auto"/>
              </w:rPr>
            </w:pPr>
          </w:p>
        </w:tc>
      </w:tr>
      <w:tr>
        <w:trPr>
          <w:trHeight w:val="196"/>
        </w:trPr>
        <w:tc>
          <w:tcPr>
            <w:tcW w:w="6680" w:type="dxa"/>
            <w:vAlign w:val="bottom"/>
            <w:tcBorders>
              <w:bottom w:val="single" w:sz="8" w:color="D7282F"/>
            </w:tcBorders>
            <w:gridSpan w:val="4"/>
          </w:tcPr>
          <w:p>
            <w:pPr>
              <w:ind w:left="240"/>
              <w:spacing w:after="0"/>
              <w:rPr>
                <w:sz w:val="20"/>
                <w:szCs w:val="20"/>
                <w:color w:val="auto"/>
              </w:rPr>
            </w:pPr>
            <w:r>
              <w:rPr>
                <w:rFonts w:ascii="Arial" w:cs="Arial" w:eastAsia="Arial" w:hAnsi="Arial"/>
                <w:sz w:val="14"/>
                <w:szCs w:val="14"/>
                <w:b w:val="1"/>
                <w:bCs w:val="1"/>
                <w:color w:val="auto"/>
              </w:rPr>
              <w:t>Total recognized in net periodic benefit (income) cost and Other comprehensive (income) loss</w:t>
            </w:r>
          </w:p>
        </w:tc>
        <w:tc>
          <w:tcPr>
            <w:tcW w:w="680" w:type="dxa"/>
            <w:vAlign w:val="bottom"/>
            <w:tcBorders>
              <w:bottom w:val="single" w:sz="8" w:color="D7282F"/>
            </w:tcBorders>
          </w:tcPr>
          <w:p>
            <w:pPr>
              <w:spacing w:after="0"/>
              <w:rPr>
                <w:sz w:val="17"/>
                <w:szCs w:val="17"/>
                <w:color w:val="auto"/>
              </w:rPr>
            </w:pPr>
          </w:p>
        </w:tc>
        <w:tc>
          <w:tcPr>
            <w:tcW w:w="28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spacing w:after="0"/>
              <w:rPr>
                <w:sz w:val="17"/>
                <w:szCs w:val="17"/>
                <w:color w:val="auto"/>
              </w:rPr>
            </w:pPr>
          </w:p>
        </w:tc>
        <w:tc>
          <w:tcPr>
            <w:tcW w:w="240" w:type="dxa"/>
            <w:vAlign w:val="bottom"/>
            <w:tcBorders>
              <w:bottom w:val="single" w:sz="8" w:color="D7282F"/>
            </w:tcBorders>
          </w:tcPr>
          <w:p>
            <w:pPr>
              <w:spacing w:after="0"/>
              <w:rPr>
                <w:sz w:val="17"/>
                <w:szCs w:val="17"/>
                <w:color w:val="auto"/>
              </w:rPr>
            </w:pP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w:t>
            </w:r>
          </w:p>
        </w:tc>
        <w:tc>
          <w:tcPr>
            <w:tcW w:w="36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D7282F"/>
            </w:tcBorders>
          </w:tcPr>
          <w:p>
            <w:pPr>
              <w:jc w:val="right"/>
              <w:ind w:right="188"/>
              <w:spacing w:after="0"/>
              <w:rPr>
                <w:sz w:val="20"/>
                <w:szCs w:val="20"/>
                <w:color w:val="auto"/>
              </w:rPr>
            </w:pPr>
            <w:r>
              <w:rPr>
                <w:rFonts w:ascii="Arial" w:cs="Arial" w:eastAsia="Arial" w:hAnsi="Arial"/>
                <w:sz w:val="14"/>
                <w:szCs w:val="14"/>
                <w:b w:val="1"/>
                <w:bCs w:val="1"/>
                <w:color w:val="auto"/>
              </w:rPr>
              <w:t>9</w:t>
            </w:r>
          </w:p>
        </w:tc>
        <w:tc>
          <w:tcPr>
            <w:tcW w:w="2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4"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D7282F"/>
        </w:rPr>
        <w:t>103</w:t>
      </w:r>
      <w:r>
        <w:rPr>
          <w:sz w:val="20"/>
          <w:szCs w:val="20"/>
          <w:color w:val="auto"/>
        </w:rPr>
        <w:tab/>
      </w: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05" w:name="page106"/>
    <w:bookmarkEnd w:id="105"/>
    <w:p>
      <w:pPr>
        <w:ind w:left="20"/>
        <w:spacing w:after="0"/>
        <w:tabs>
          <w:tab w:leader="none" w:pos="784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FINANCIAL STATEMENTS AND SUPPLEMENTARY DATA</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29"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Major actuarial assumptions used in determining the benefit obligations and net periodic benefit (income) cost for the Company's significant benefit plans are presented in the following table as weighted averages: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040" w:type="dxa"/>
            <w:vAlign w:val="bottom"/>
          </w:tcPr>
          <w:p>
            <w:pPr>
              <w:spacing w:after="0"/>
              <w:rPr>
                <w:sz w:val="17"/>
                <w:szCs w:val="17"/>
                <w:color w:val="auto"/>
              </w:rPr>
            </w:pPr>
          </w:p>
        </w:tc>
        <w:tc>
          <w:tcPr>
            <w:tcW w:w="980" w:type="dxa"/>
            <w:vAlign w:val="bottom"/>
            <w:tcBorders>
              <w:bottom w:val="single" w:sz="8" w:color="D7282F"/>
            </w:tcBorders>
          </w:tcPr>
          <w:p>
            <w:pPr>
              <w:spacing w:after="0"/>
              <w:rPr>
                <w:sz w:val="17"/>
                <w:szCs w:val="17"/>
                <w:color w:val="auto"/>
              </w:rPr>
            </w:pPr>
          </w:p>
        </w:tc>
        <w:tc>
          <w:tcPr>
            <w:tcW w:w="1180" w:type="dxa"/>
            <w:vAlign w:val="bottom"/>
            <w:tcBorders>
              <w:bottom w:val="single" w:sz="8" w:color="D7282F"/>
            </w:tcBorders>
          </w:tcPr>
          <w:p>
            <w:pPr>
              <w:spacing w:after="0"/>
              <w:rPr>
                <w:sz w:val="17"/>
                <w:szCs w:val="17"/>
                <w:color w:val="auto"/>
              </w:rPr>
            </w:pPr>
          </w:p>
        </w:tc>
        <w:tc>
          <w:tcPr>
            <w:tcW w:w="1960" w:type="dxa"/>
            <w:vAlign w:val="bottom"/>
            <w:tcBorders>
              <w:bottom w:val="single" w:sz="8" w:color="D7282F"/>
            </w:tcBorders>
            <w:gridSpan w:val="3"/>
          </w:tcPr>
          <w:p>
            <w:pPr>
              <w:ind w:left="360"/>
              <w:spacing w:after="0"/>
              <w:rPr>
                <w:sz w:val="20"/>
                <w:szCs w:val="20"/>
                <w:color w:val="auto"/>
              </w:rPr>
            </w:pPr>
            <w:r>
              <w:rPr>
                <w:rFonts w:ascii="Arial" w:cs="Arial" w:eastAsia="Arial" w:hAnsi="Arial"/>
                <w:sz w:val="14"/>
                <w:szCs w:val="14"/>
                <w:b w:val="1"/>
                <w:bCs w:val="1"/>
                <w:color w:val="auto"/>
              </w:rPr>
              <w:t>Pension Benefits</w:t>
            </w:r>
          </w:p>
        </w:tc>
        <w:tc>
          <w:tcPr>
            <w:tcW w:w="130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spacing w:after="0"/>
              <w:rPr>
                <w:sz w:val="17"/>
                <w:szCs w:val="17"/>
                <w:color w:val="auto"/>
              </w:rPr>
            </w:pPr>
          </w:p>
        </w:tc>
      </w:tr>
      <w:tr>
        <w:trPr>
          <w:trHeight w:val="237"/>
        </w:trPr>
        <w:tc>
          <w:tcPr>
            <w:tcW w:w="5040" w:type="dxa"/>
            <w:vAlign w:val="bottom"/>
          </w:tcPr>
          <w:p>
            <w:pPr>
              <w:spacing w:after="0"/>
              <w:rPr>
                <w:sz w:val="20"/>
                <w:szCs w:val="20"/>
                <w:color w:val="auto"/>
              </w:rPr>
            </w:pPr>
          </w:p>
        </w:tc>
        <w:tc>
          <w:tcPr>
            <w:tcW w:w="980" w:type="dxa"/>
            <w:vAlign w:val="bottom"/>
            <w:tcBorders>
              <w:bottom w:val="single" w:sz="8" w:color="D7282F"/>
            </w:tcBorders>
          </w:tcPr>
          <w:p>
            <w:pPr>
              <w:spacing w:after="0"/>
              <w:rPr>
                <w:sz w:val="20"/>
                <w:szCs w:val="20"/>
                <w:color w:val="auto"/>
              </w:rPr>
            </w:pPr>
          </w:p>
        </w:tc>
        <w:tc>
          <w:tcPr>
            <w:tcW w:w="1180" w:type="dxa"/>
            <w:vAlign w:val="bottom"/>
            <w:tcBorders>
              <w:bottom w:val="single" w:sz="8" w:color="D7282F"/>
            </w:tcBorders>
          </w:tcPr>
          <w:p>
            <w:pPr>
              <w:jc w:val="right"/>
              <w:ind w:right="248"/>
              <w:spacing w:after="0"/>
              <w:rPr>
                <w:sz w:val="20"/>
                <w:szCs w:val="20"/>
                <w:color w:val="auto"/>
              </w:rPr>
            </w:pPr>
            <w:r>
              <w:rPr>
                <w:rFonts w:ascii="Arial" w:cs="Arial" w:eastAsia="Arial" w:hAnsi="Arial"/>
                <w:sz w:val="14"/>
                <w:szCs w:val="14"/>
                <w:b w:val="1"/>
                <w:bCs w:val="1"/>
                <w:color w:val="auto"/>
              </w:rPr>
              <w:t>U.S. Plans</w:t>
            </w:r>
          </w:p>
        </w:tc>
        <w:tc>
          <w:tcPr>
            <w:tcW w:w="820" w:type="dxa"/>
            <w:vAlign w:val="bottom"/>
            <w:tcBorders>
              <w:bottom w:val="single" w:sz="8" w:color="D7282F"/>
            </w:tcBorders>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Borders>
              <w:bottom w:val="single" w:sz="8" w:color="D7282F"/>
            </w:tcBorders>
          </w:tcPr>
          <w:p>
            <w:pPr>
              <w:spacing w:after="0"/>
              <w:rPr>
                <w:sz w:val="20"/>
                <w:szCs w:val="20"/>
                <w:color w:val="auto"/>
              </w:rPr>
            </w:pPr>
          </w:p>
        </w:tc>
        <w:tc>
          <w:tcPr>
            <w:tcW w:w="1300" w:type="dxa"/>
            <w:vAlign w:val="bottom"/>
            <w:tcBorders>
              <w:bottom w:val="single" w:sz="8" w:color="D7282F"/>
            </w:tcBorders>
          </w:tcPr>
          <w:p>
            <w:pPr>
              <w:jc w:val="right"/>
              <w:ind w:right="128"/>
              <w:spacing w:after="0"/>
              <w:rPr>
                <w:sz w:val="20"/>
                <w:szCs w:val="20"/>
                <w:color w:val="auto"/>
              </w:rPr>
            </w:pPr>
            <w:r>
              <w:rPr>
                <w:rFonts w:ascii="Arial" w:cs="Arial" w:eastAsia="Arial" w:hAnsi="Arial"/>
                <w:sz w:val="14"/>
                <w:szCs w:val="14"/>
                <w:b w:val="1"/>
                <w:bCs w:val="1"/>
                <w:color w:val="auto"/>
              </w:rPr>
              <w:t>Non-U.S. Plans</w:t>
            </w:r>
          </w:p>
        </w:tc>
        <w:tc>
          <w:tcPr>
            <w:tcW w:w="780" w:type="dxa"/>
            <w:vAlign w:val="bottom"/>
            <w:tcBorders>
              <w:bottom w:val="single" w:sz="8" w:color="D7282F"/>
            </w:tcBorders>
          </w:tcPr>
          <w:p>
            <w:pPr>
              <w:spacing w:after="0"/>
              <w:rPr>
                <w:sz w:val="20"/>
                <w:szCs w:val="20"/>
                <w:color w:val="auto"/>
              </w:rPr>
            </w:pPr>
          </w:p>
        </w:tc>
      </w:tr>
      <w:tr>
        <w:trPr>
          <w:trHeight w:val="236"/>
        </w:trPr>
        <w:tc>
          <w:tcPr>
            <w:tcW w:w="5040" w:type="dxa"/>
            <w:vAlign w:val="bottom"/>
            <w:tcBorders>
              <w:bottom w:val="single" w:sz="8" w:color="D7282F"/>
            </w:tcBorders>
          </w:tcPr>
          <w:p>
            <w:pPr>
              <w:spacing w:after="0"/>
              <w:rPr>
                <w:sz w:val="20"/>
                <w:szCs w:val="20"/>
                <w:color w:val="auto"/>
              </w:rPr>
            </w:pPr>
          </w:p>
        </w:tc>
        <w:tc>
          <w:tcPr>
            <w:tcW w:w="980" w:type="dxa"/>
            <w:vAlign w:val="bottom"/>
            <w:tcBorders>
              <w:bottom w:val="single" w:sz="8" w:color="D7282F"/>
            </w:tcBorders>
          </w:tcPr>
          <w:p>
            <w:pPr>
              <w:jc w:val="right"/>
              <w:ind w:right="328"/>
              <w:spacing w:after="0"/>
              <w:rPr>
                <w:sz w:val="20"/>
                <w:szCs w:val="20"/>
                <w:color w:val="auto"/>
              </w:rPr>
            </w:pPr>
            <w:r>
              <w:rPr>
                <w:rFonts w:ascii="Arial" w:cs="Arial" w:eastAsia="Arial" w:hAnsi="Arial"/>
                <w:sz w:val="14"/>
                <w:szCs w:val="14"/>
                <w:b w:val="1"/>
                <w:bCs w:val="1"/>
                <w:color w:val="auto"/>
              </w:rPr>
              <w:t>2024</w:t>
            </w:r>
          </w:p>
        </w:tc>
        <w:tc>
          <w:tcPr>
            <w:tcW w:w="1180" w:type="dxa"/>
            <w:vAlign w:val="bottom"/>
            <w:tcBorders>
              <w:bottom w:val="single" w:sz="8" w:color="D7282F"/>
            </w:tcBorders>
          </w:tcPr>
          <w:p>
            <w:pPr>
              <w:jc w:val="right"/>
              <w:ind w:right="428"/>
              <w:spacing w:after="0"/>
              <w:rPr>
                <w:sz w:val="20"/>
                <w:szCs w:val="20"/>
                <w:color w:val="auto"/>
              </w:rPr>
            </w:pPr>
            <w:r>
              <w:rPr>
                <w:rFonts w:ascii="Arial" w:cs="Arial" w:eastAsia="Arial" w:hAnsi="Arial"/>
                <w:sz w:val="14"/>
                <w:szCs w:val="14"/>
                <w:b w:val="1"/>
                <w:bCs w:val="1"/>
                <w:color w:val="auto"/>
              </w:rPr>
              <w:t>2023</w:t>
            </w:r>
          </w:p>
        </w:tc>
        <w:tc>
          <w:tcPr>
            <w:tcW w:w="82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D7282F"/>
            </w:tcBorders>
          </w:tcPr>
          <w:p>
            <w:pPr>
              <w:spacing w:after="0"/>
              <w:rPr>
                <w:sz w:val="20"/>
                <w:szCs w:val="20"/>
                <w:color w:val="auto"/>
              </w:rPr>
            </w:pPr>
          </w:p>
        </w:tc>
        <w:tc>
          <w:tcPr>
            <w:tcW w:w="92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2024</w:t>
            </w:r>
          </w:p>
        </w:tc>
        <w:tc>
          <w:tcPr>
            <w:tcW w:w="1300" w:type="dxa"/>
            <w:vAlign w:val="bottom"/>
            <w:tcBorders>
              <w:bottom w:val="single" w:sz="8" w:color="D7282F"/>
            </w:tcBorders>
          </w:tcPr>
          <w:p>
            <w:pPr>
              <w:jc w:val="right"/>
              <w:ind w:right="488"/>
              <w:spacing w:after="0"/>
              <w:rPr>
                <w:sz w:val="20"/>
                <w:szCs w:val="20"/>
                <w:color w:val="auto"/>
              </w:rPr>
            </w:pPr>
            <w:r>
              <w:rPr>
                <w:rFonts w:ascii="Arial" w:cs="Arial" w:eastAsia="Arial" w:hAnsi="Arial"/>
                <w:sz w:val="14"/>
                <w:szCs w:val="14"/>
                <w:b w:val="1"/>
                <w:bCs w:val="1"/>
                <w:color w:val="auto"/>
              </w:rPr>
              <w:t>2023</w:t>
            </w:r>
          </w:p>
        </w:tc>
        <w:tc>
          <w:tcPr>
            <w:tcW w:w="78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2022</w:t>
            </w:r>
          </w:p>
        </w:tc>
      </w:tr>
      <w:tr>
        <w:trPr>
          <w:trHeight w:val="149"/>
        </w:trPr>
        <w:tc>
          <w:tcPr>
            <w:tcW w:w="5040" w:type="dxa"/>
            <w:vAlign w:val="bottom"/>
          </w:tcPr>
          <w:p>
            <w:pPr>
              <w:ind w:left="20"/>
              <w:spacing w:after="0" w:line="149" w:lineRule="exact"/>
              <w:rPr>
                <w:sz w:val="20"/>
                <w:szCs w:val="20"/>
                <w:color w:val="auto"/>
              </w:rPr>
            </w:pPr>
            <w:r>
              <w:rPr>
                <w:rFonts w:ascii="Arial" w:cs="Arial" w:eastAsia="Arial" w:hAnsi="Arial"/>
                <w:sz w:val="14"/>
                <w:szCs w:val="14"/>
                <w:color w:val="auto"/>
              </w:rPr>
              <w:t>Actuarial assumptions used to determine benefit obligations as of December</w:t>
            </w:r>
          </w:p>
        </w:tc>
        <w:tc>
          <w:tcPr>
            <w:tcW w:w="9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89"/>
        </w:trPr>
        <w:tc>
          <w:tcPr>
            <w:tcW w:w="504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31</w:t>
            </w:r>
          </w:p>
        </w:tc>
        <w:tc>
          <w:tcPr>
            <w:tcW w:w="980" w:type="dxa"/>
            <w:vAlign w:val="bottom"/>
            <w:tcBorders>
              <w:bottom w:val="single" w:sz="8" w:color="888B8D"/>
            </w:tcBorders>
          </w:tcPr>
          <w:p>
            <w:pPr>
              <w:spacing w:after="0"/>
              <w:rPr>
                <w:sz w:val="16"/>
                <w:szCs w:val="16"/>
                <w:color w:val="auto"/>
              </w:rPr>
            </w:pPr>
          </w:p>
        </w:tc>
        <w:tc>
          <w:tcPr>
            <w:tcW w:w="1180" w:type="dxa"/>
            <w:vAlign w:val="bottom"/>
            <w:tcBorders>
              <w:bottom w:val="single" w:sz="8" w:color="888B8D"/>
            </w:tcBorders>
          </w:tcPr>
          <w:p>
            <w:pPr>
              <w:spacing w:after="0"/>
              <w:rPr>
                <w:sz w:val="16"/>
                <w:szCs w:val="16"/>
                <w:color w:val="auto"/>
              </w:rPr>
            </w:pPr>
          </w:p>
        </w:tc>
        <w:tc>
          <w:tcPr>
            <w:tcW w:w="820" w:type="dxa"/>
            <w:vAlign w:val="bottom"/>
            <w:tcBorders>
              <w:bottom w:val="single" w:sz="8" w:color="888B8D"/>
            </w:tcBorders>
          </w:tcPr>
          <w:p>
            <w:pPr>
              <w:spacing w:after="0"/>
              <w:rPr>
                <w:sz w:val="16"/>
                <w:szCs w:val="16"/>
                <w:color w:val="auto"/>
              </w:rPr>
            </w:pPr>
          </w:p>
        </w:tc>
        <w:tc>
          <w:tcPr>
            <w:tcW w:w="220" w:type="dxa"/>
            <w:vAlign w:val="bottom"/>
            <w:tcBorders>
              <w:bottom w:val="single" w:sz="8" w:color="888B8D"/>
            </w:tcBorders>
          </w:tcPr>
          <w:p>
            <w:pPr>
              <w:spacing w:after="0"/>
              <w:rPr>
                <w:sz w:val="16"/>
                <w:szCs w:val="16"/>
                <w:color w:val="auto"/>
              </w:rPr>
            </w:pPr>
          </w:p>
        </w:tc>
        <w:tc>
          <w:tcPr>
            <w:tcW w:w="920" w:type="dxa"/>
            <w:vAlign w:val="bottom"/>
            <w:tcBorders>
              <w:bottom w:val="single" w:sz="8" w:color="888B8D"/>
            </w:tcBorders>
          </w:tcPr>
          <w:p>
            <w:pPr>
              <w:spacing w:after="0"/>
              <w:rPr>
                <w:sz w:val="16"/>
                <w:szCs w:val="16"/>
                <w:color w:val="auto"/>
              </w:rPr>
            </w:pPr>
          </w:p>
        </w:tc>
        <w:tc>
          <w:tcPr>
            <w:tcW w:w="1300" w:type="dxa"/>
            <w:vAlign w:val="bottom"/>
            <w:tcBorders>
              <w:bottom w:val="single" w:sz="8" w:color="888B8D"/>
            </w:tcBorders>
          </w:tcPr>
          <w:p>
            <w:pPr>
              <w:spacing w:after="0"/>
              <w:rPr>
                <w:sz w:val="16"/>
                <w:szCs w:val="16"/>
                <w:color w:val="auto"/>
              </w:rPr>
            </w:pPr>
          </w:p>
        </w:tc>
        <w:tc>
          <w:tcPr>
            <w:tcW w:w="780" w:type="dxa"/>
            <w:vAlign w:val="bottom"/>
            <w:tcBorders>
              <w:bottom w:val="single" w:sz="8" w:color="888B8D"/>
            </w:tcBorders>
          </w:tcPr>
          <w:p>
            <w:pPr>
              <w:spacing w:after="0"/>
              <w:rPr>
                <w:sz w:val="16"/>
                <w:szCs w:val="16"/>
                <w:color w:val="auto"/>
              </w:rPr>
            </w:pPr>
          </w:p>
        </w:tc>
      </w:tr>
      <w:tr>
        <w:trPr>
          <w:trHeight w:val="192"/>
        </w:trPr>
        <w:tc>
          <w:tcPr>
            <w:tcW w:w="504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Discount rate</w:t>
            </w:r>
          </w:p>
        </w:tc>
        <w:tc>
          <w:tcPr>
            <w:tcW w:w="98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5.57 %</w:t>
            </w:r>
          </w:p>
        </w:tc>
        <w:tc>
          <w:tcPr>
            <w:tcW w:w="1180" w:type="dxa"/>
            <w:vAlign w:val="bottom"/>
            <w:tcBorders>
              <w:bottom w:val="single" w:sz="8" w:color="888B8D"/>
            </w:tcBorders>
          </w:tcPr>
          <w:p>
            <w:pPr>
              <w:jc w:val="right"/>
              <w:ind w:right="188"/>
              <w:spacing w:after="0"/>
              <w:rPr>
                <w:sz w:val="20"/>
                <w:szCs w:val="20"/>
                <w:color w:val="auto"/>
              </w:rPr>
            </w:pPr>
            <w:r>
              <w:rPr>
                <w:rFonts w:ascii="Arial" w:cs="Arial" w:eastAsia="Arial" w:hAnsi="Arial"/>
                <w:sz w:val="14"/>
                <w:szCs w:val="14"/>
                <w:color w:val="auto"/>
              </w:rPr>
              <w:t>4.97 %</w:t>
            </w:r>
          </w:p>
        </w:tc>
        <w:tc>
          <w:tcPr>
            <w:tcW w:w="820" w:type="dxa"/>
            <w:vAlign w:val="bottom"/>
            <w:tcBorders>
              <w:bottom w:val="single" w:sz="8" w:color="888B8D"/>
            </w:tcBorders>
          </w:tcPr>
          <w:p>
            <w:pPr>
              <w:ind w:left="360"/>
              <w:spacing w:after="0"/>
              <w:rPr>
                <w:sz w:val="20"/>
                <w:szCs w:val="20"/>
                <w:color w:val="auto"/>
              </w:rPr>
            </w:pPr>
            <w:r>
              <w:rPr>
                <w:rFonts w:ascii="Arial" w:cs="Arial" w:eastAsia="Arial" w:hAnsi="Arial"/>
                <w:sz w:val="14"/>
                <w:szCs w:val="14"/>
                <w:color w:val="auto"/>
              </w:rPr>
              <w:t>5.17 %</w:t>
            </w:r>
          </w:p>
        </w:tc>
        <w:tc>
          <w:tcPr>
            <w:tcW w:w="220" w:type="dxa"/>
            <w:vAlign w:val="bottom"/>
            <w:tcBorders>
              <w:bottom w:val="single" w:sz="8" w:color="888B8D"/>
            </w:tcBorders>
          </w:tcPr>
          <w:p>
            <w:pPr>
              <w:spacing w:after="0"/>
              <w:rPr>
                <w:sz w:val="16"/>
                <w:szCs w:val="16"/>
                <w:color w:val="auto"/>
              </w:rPr>
            </w:pPr>
          </w:p>
        </w:tc>
        <w:tc>
          <w:tcPr>
            <w:tcW w:w="920" w:type="dxa"/>
            <w:vAlign w:val="bottom"/>
            <w:tcBorders>
              <w:bottom w:val="single" w:sz="8" w:color="888B8D"/>
            </w:tcBorders>
          </w:tcPr>
          <w:p>
            <w:pPr>
              <w:jc w:val="right"/>
              <w:ind w:right="8"/>
              <w:spacing w:after="0"/>
              <w:rPr>
                <w:sz w:val="20"/>
                <w:szCs w:val="20"/>
                <w:color w:val="auto"/>
              </w:rPr>
            </w:pPr>
            <w:r>
              <w:rPr>
                <w:rFonts w:ascii="Arial" w:cs="Arial" w:eastAsia="Arial" w:hAnsi="Arial"/>
                <w:sz w:val="14"/>
                <w:szCs w:val="14"/>
                <w:color w:val="auto"/>
              </w:rPr>
              <w:t>4.80 %</w:t>
            </w:r>
          </w:p>
        </w:tc>
        <w:tc>
          <w:tcPr>
            <w:tcW w:w="1300" w:type="dxa"/>
            <w:vAlign w:val="bottom"/>
            <w:tcBorders>
              <w:bottom w:val="single" w:sz="8" w:color="888B8D"/>
            </w:tcBorders>
          </w:tcPr>
          <w:p>
            <w:pPr>
              <w:jc w:val="right"/>
              <w:ind w:right="248"/>
              <w:spacing w:after="0"/>
              <w:rPr>
                <w:sz w:val="20"/>
                <w:szCs w:val="20"/>
                <w:color w:val="auto"/>
              </w:rPr>
            </w:pPr>
            <w:r>
              <w:rPr>
                <w:rFonts w:ascii="Arial" w:cs="Arial" w:eastAsia="Arial" w:hAnsi="Arial"/>
                <w:sz w:val="14"/>
                <w:szCs w:val="14"/>
                <w:color w:val="auto"/>
              </w:rPr>
              <w:t>4.15 %</w:t>
            </w:r>
          </w:p>
        </w:tc>
        <w:tc>
          <w:tcPr>
            <w:tcW w:w="78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4.50 %</w:t>
            </w:r>
          </w:p>
        </w:tc>
      </w:tr>
      <w:tr>
        <w:trPr>
          <w:trHeight w:val="196"/>
        </w:trPr>
        <w:tc>
          <w:tcPr>
            <w:tcW w:w="504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Expected annual rate of compensation increase</w:t>
            </w:r>
          </w:p>
        </w:tc>
        <w:tc>
          <w:tcPr>
            <w:tcW w:w="98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3.25 %</w:t>
            </w:r>
          </w:p>
        </w:tc>
        <w:tc>
          <w:tcPr>
            <w:tcW w:w="1180" w:type="dxa"/>
            <w:vAlign w:val="bottom"/>
            <w:tcBorders>
              <w:bottom w:val="single" w:sz="8" w:color="888B8D"/>
            </w:tcBorders>
          </w:tcPr>
          <w:p>
            <w:pPr>
              <w:jc w:val="right"/>
              <w:ind w:right="188"/>
              <w:spacing w:after="0"/>
              <w:rPr>
                <w:sz w:val="20"/>
                <w:szCs w:val="20"/>
                <w:color w:val="auto"/>
              </w:rPr>
            </w:pPr>
            <w:r>
              <w:rPr>
                <w:rFonts w:ascii="Arial" w:cs="Arial" w:eastAsia="Arial" w:hAnsi="Arial"/>
                <w:sz w:val="14"/>
                <w:szCs w:val="14"/>
                <w:color w:val="auto"/>
              </w:rPr>
              <w:t>3.25 %</w:t>
            </w:r>
          </w:p>
        </w:tc>
        <w:tc>
          <w:tcPr>
            <w:tcW w:w="820" w:type="dxa"/>
            <w:vAlign w:val="bottom"/>
            <w:tcBorders>
              <w:bottom w:val="single" w:sz="8" w:color="888B8D"/>
            </w:tcBorders>
          </w:tcPr>
          <w:p>
            <w:pPr>
              <w:ind w:left="360"/>
              <w:spacing w:after="0"/>
              <w:rPr>
                <w:sz w:val="20"/>
                <w:szCs w:val="20"/>
                <w:color w:val="auto"/>
              </w:rPr>
            </w:pPr>
            <w:r>
              <w:rPr>
                <w:rFonts w:ascii="Arial" w:cs="Arial" w:eastAsia="Arial" w:hAnsi="Arial"/>
                <w:sz w:val="14"/>
                <w:szCs w:val="14"/>
                <w:color w:val="auto"/>
              </w:rPr>
              <w:t>3.25 %</w:t>
            </w:r>
          </w:p>
        </w:tc>
        <w:tc>
          <w:tcPr>
            <w:tcW w:w="220" w:type="dxa"/>
            <w:vAlign w:val="bottom"/>
            <w:tcBorders>
              <w:bottom w:val="single" w:sz="8" w:color="888B8D"/>
            </w:tcBorders>
          </w:tcPr>
          <w:p>
            <w:pPr>
              <w:spacing w:after="0"/>
              <w:rPr>
                <w:sz w:val="17"/>
                <w:szCs w:val="17"/>
                <w:color w:val="auto"/>
              </w:rPr>
            </w:pPr>
          </w:p>
        </w:tc>
        <w:tc>
          <w:tcPr>
            <w:tcW w:w="920" w:type="dxa"/>
            <w:vAlign w:val="bottom"/>
            <w:tcBorders>
              <w:bottom w:val="single" w:sz="8" w:color="888B8D"/>
            </w:tcBorders>
          </w:tcPr>
          <w:p>
            <w:pPr>
              <w:jc w:val="right"/>
              <w:ind w:right="8"/>
              <w:spacing w:after="0"/>
              <w:rPr>
                <w:sz w:val="20"/>
                <w:szCs w:val="20"/>
                <w:color w:val="auto"/>
              </w:rPr>
            </w:pPr>
            <w:r>
              <w:rPr>
                <w:rFonts w:ascii="Arial" w:cs="Arial" w:eastAsia="Arial" w:hAnsi="Arial"/>
                <w:sz w:val="14"/>
                <w:szCs w:val="14"/>
                <w:color w:val="auto"/>
              </w:rPr>
              <w:t>1.68 %</w:t>
            </w:r>
          </w:p>
        </w:tc>
        <w:tc>
          <w:tcPr>
            <w:tcW w:w="1300" w:type="dxa"/>
            <w:vAlign w:val="bottom"/>
            <w:tcBorders>
              <w:bottom w:val="single" w:sz="8" w:color="888B8D"/>
            </w:tcBorders>
          </w:tcPr>
          <w:p>
            <w:pPr>
              <w:jc w:val="right"/>
              <w:ind w:right="248"/>
              <w:spacing w:after="0"/>
              <w:rPr>
                <w:sz w:val="20"/>
                <w:szCs w:val="20"/>
                <w:color w:val="auto"/>
              </w:rPr>
            </w:pPr>
            <w:r>
              <w:rPr>
                <w:rFonts w:ascii="Arial" w:cs="Arial" w:eastAsia="Arial" w:hAnsi="Arial"/>
                <w:sz w:val="14"/>
                <w:szCs w:val="14"/>
                <w:color w:val="auto"/>
              </w:rPr>
              <w:t>2.68 %</w:t>
            </w:r>
          </w:p>
        </w:tc>
        <w:tc>
          <w:tcPr>
            <w:tcW w:w="78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2.69 %</w:t>
            </w:r>
          </w:p>
        </w:tc>
      </w:tr>
      <w:tr>
        <w:trPr>
          <w:trHeight w:val="146"/>
        </w:trPr>
        <w:tc>
          <w:tcPr>
            <w:tcW w:w="5040" w:type="dxa"/>
            <w:vAlign w:val="bottom"/>
          </w:tcPr>
          <w:p>
            <w:pPr>
              <w:ind w:left="20"/>
              <w:spacing w:after="0" w:line="146" w:lineRule="exact"/>
              <w:rPr>
                <w:sz w:val="20"/>
                <w:szCs w:val="20"/>
                <w:color w:val="auto"/>
              </w:rPr>
            </w:pPr>
            <w:r>
              <w:rPr>
                <w:rFonts w:ascii="Arial" w:cs="Arial" w:eastAsia="Arial" w:hAnsi="Arial"/>
                <w:sz w:val="14"/>
                <w:szCs w:val="14"/>
                <w:color w:val="auto"/>
              </w:rPr>
              <w:t>Actuarial assumptions used to determine net periodic benefit (income) cost for</w:t>
            </w:r>
          </w:p>
        </w:tc>
        <w:tc>
          <w:tcPr>
            <w:tcW w:w="9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89"/>
        </w:trPr>
        <w:tc>
          <w:tcPr>
            <w:tcW w:w="504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years ended December 31</w:t>
            </w:r>
          </w:p>
        </w:tc>
        <w:tc>
          <w:tcPr>
            <w:tcW w:w="980" w:type="dxa"/>
            <w:vAlign w:val="bottom"/>
            <w:tcBorders>
              <w:bottom w:val="single" w:sz="8" w:color="888B8D"/>
            </w:tcBorders>
          </w:tcPr>
          <w:p>
            <w:pPr>
              <w:spacing w:after="0"/>
              <w:rPr>
                <w:sz w:val="16"/>
                <w:szCs w:val="16"/>
                <w:color w:val="auto"/>
              </w:rPr>
            </w:pPr>
          </w:p>
        </w:tc>
        <w:tc>
          <w:tcPr>
            <w:tcW w:w="1180" w:type="dxa"/>
            <w:vAlign w:val="bottom"/>
            <w:tcBorders>
              <w:bottom w:val="single" w:sz="8" w:color="888B8D"/>
            </w:tcBorders>
          </w:tcPr>
          <w:p>
            <w:pPr>
              <w:spacing w:after="0"/>
              <w:rPr>
                <w:sz w:val="16"/>
                <w:szCs w:val="16"/>
                <w:color w:val="auto"/>
              </w:rPr>
            </w:pPr>
          </w:p>
        </w:tc>
        <w:tc>
          <w:tcPr>
            <w:tcW w:w="820" w:type="dxa"/>
            <w:vAlign w:val="bottom"/>
            <w:tcBorders>
              <w:bottom w:val="single" w:sz="8" w:color="888B8D"/>
            </w:tcBorders>
          </w:tcPr>
          <w:p>
            <w:pPr>
              <w:spacing w:after="0"/>
              <w:rPr>
                <w:sz w:val="16"/>
                <w:szCs w:val="16"/>
                <w:color w:val="auto"/>
              </w:rPr>
            </w:pPr>
          </w:p>
        </w:tc>
        <w:tc>
          <w:tcPr>
            <w:tcW w:w="220" w:type="dxa"/>
            <w:vAlign w:val="bottom"/>
            <w:tcBorders>
              <w:bottom w:val="single" w:sz="8" w:color="888B8D"/>
            </w:tcBorders>
          </w:tcPr>
          <w:p>
            <w:pPr>
              <w:spacing w:after="0"/>
              <w:rPr>
                <w:sz w:val="16"/>
                <w:szCs w:val="16"/>
                <w:color w:val="auto"/>
              </w:rPr>
            </w:pPr>
          </w:p>
        </w:tc>
        <w:tc>
          <w:tcPr>
            <w:tcW w:w="920" w:type="dxa"/>
            <w:vAlign w:val="bottom"/>
            <w:tcBorders>
              <w:bottom w:val="single" w:sz="8" w:color="888B8D"/>
            </w:tcBorders>
          </w:tcPr>
          <w:p>
            <w:pPr>
              <w:spacing w:after="0"/>
              <w:rPr>
                <w:sz w:val="16"/>
                <w:szCs w:val="16"/>
                <w:color w:val="auto"/>
              </w:rPr>
            </w:pPr>
          </w:p>
        </w:tc>
        <w:tc>
          <w:tcPr>
            <w:tcW w:w="1300" w:type="dxa"/>
            <w:vAlign w:val="bottom"/>
            <w:tcBorders>
              <w:bottom w:val="single" w:sz="8" w:color="888B8D"/>
            </w:tcBorders>
          </w:tcPr>
          <w:p>
            <w:pPr>
              <w:spacing w:after="0"/>
              <w:rPr>
                <w:sz w:val="16"/>
                <w:szCs w:val="16"/>
                <w:color w:val="auto"/>
              </w:rPr>
            </w:pPr>
          </w:p>
        </w:tc>
        <w:tc>
          <w:tcPr>
            <w:tcW w:w="780" w:type="dxa"/>
            <w:vAlign w:val="bottom"/>
            <w:tcBorders>
              <w:bottom w:val="single" w:sz="8" w:color="888B8D"/>
            </w:tcBorders>
          </w:tcPr>
          <w:p>
            <w:pPr>
              <w:spacing w:after="0"/>
              <w:rPr>
                <w:sz w:val="16"/>
                <w:szCs w:val="16"/>
                <w:color w:val="auto"/>
              </w:rPr>
            </w:pPr>
          </w:p>
        </w:tc>
      </w:tr>
      <w:tr>
        <w:trPr>
          <w:trHeight w:val="192"/>
        </w:trPr>
        <w:tc>
          <w:tcPr>
            <w:tcW w:w="504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Discount rate—benefit obligation</w:t>
            </w:r>
          </w:p>
        </w:tc>
        <w:tc>
          <w:tcPr>
            <w:tcW w:w="98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4.97 %</w:t>
            </w:r>
          </w:p>
        </w:tc>
        <w:tc>
          <w:tcPr>
            <w:tcW w:w="1180" w:type="dxa"/>
            <w:vAlign w:val="bottom"/>
            <w:tcBorders>
              <w:bottom w:val="single" w:sz="8" w:color="888B8D"/>
            </w:tcBorders>
          </w:tcPr>
          <w:p>
            <w:pPr>
              <w:jc w:val="right"/>
              <w:ind w:right="188"/>
              <w:spacing w:after="0"/>
              <w:rPr>
                <w:sz w:val="20"/>
                <w:szCs w:val="20"/>
                <w:color w:val="auto"/>
              </w:rPr>
            </w:pPr>
            <w:r>
              <w:rPr>
                <w:rFonts w:ascii="Arial" w:cs="Arial" w:eastAsia="Arial" w:hAnsi="Arial"/>
                <w:sz w:val="14"/>
                <w:szCs w:val="14"/>
                <w:color w:val="auto"/>
              </w:rPr>
              <w:t>5.17 %</w:t>
            </w:r>
          </w:p>
        </w:tc>
        <w:tc>
          <w:tcPr>
            <w:tcW w:w="820" w:type="dxa"/>
            <w:vAlign w:val="bottom"/>
            <w:tcBorders>
              <w:bottom w:val="single" w:sz="8" w:color="888B8D"/>
            </w:tcBorders>
          </w:tcPr>
          <w:p>
            <w:pPr>
              <w:ind w:left="360"/>
              <w:spacing w:after="0"/>
              <w:rPr>
                <w:sz w:val="20"/>
                <w:szCs w:val="20"/>
                <w:color w:val="auto"/>
              </w:rPr>
            </w:pPr>
            <w:r>
              <w:rPr>
                <w:rFonts w:ascii="Arial" w:cs="Arial" w:eastAsia="Arial" w:hAnsi="Arial"/>
                <w:sz w:val="14"/>
                <w:szCs w:val="14"/>
                <w:color w:val="auto"/>
              </w:rPr>
              <w:t>2.87 %</w:t>
            </w:r>
          </w:p>
        </w:tc>
        <w:tc>
          <w:tcPr>
            <w:tcW w:w="220" w:type="dxa"/>
            <w:vAlign w:val="bottom"/>
            <w:tcBorders>
              <w:bottom w:val="single" w:sz="8" w:color="888B8D"/>
            </w:tcBorders>
          </w:tcPr>
          <w:p>
            <w:pPr>
              <w:spacing w:after="0"/>
              <w:rPr>
                <w:sz w:val="16"/>
                <w:szCs w:val="16"/>
                <w:color w:val="auto"/>
              </w:rPr>
            </w:pPr>
          </w:p>
        </w:tc>
        <w:tc>
          <w:tcPr>
            <w:tcW w:w="920" w:type="dxa"/>
            <w:vAlign w:val="bottom"/>
            <w:tcBorders>
              <w:bottom w:val="single" w:sz="8" w:color="888B8D"/>
            </w:tcBorders>
          </w:tcPr>
          <w:p>
            <w:pPr>
              <w:jc w:val="right"/>
              <w:ind w:right="8"/>
              <w:spacing w:after="0"/>
              <w:rPr>
                <w:sz w:val="20"/>
                <w:szCs w:val="20"/>
                <w:color w:val="auto"/>
              </w:rPr>
            </w:pPr>
            <w:r>
              <w:rPr>
                <w:rFonts w:ascii="Arial" w:cs="Arial" w:eastAsia="Arial" w:hAnsi="Arial"/>
                <w:sz w:val="14"/>
                <w:szCs w:val="14"/>
                <w:color w:val="auto"/>
              </w:rPr>
              <w:t>4.13 %</w:t>
            </w:r>
          </w:p>
        </w:tc>
        <w:tc>
          <w:tcPr>
            <w:tcW w:w="1300" w:type="dxa"/>
            <w:vAlign w:val="bottom"/>
            <w:tcBorders>
              <w:bottom w:val="single" w:sz="8" w:color="888B8D"/>
            </w:tcBorders>
          </w:tcPr>
          <w:p>
            <w:pPr>
              <w:jc w:val="right"/>
              <w:ind w:right="248"/>
              <w:spacing w:after="0"/>
              <w:rPr>
                <w:sz w:val="20"/>
                <w:szCs w:val="20"/>
                <w:color w:val="auto"/>
              </w:rPr>
            </w:pPr>
            <w:r>
              <w:rPr>
                <w:rFonts w:ascii="Arial" w:cs="Arial" w:eastAsia="Arial" w:hAnsi="Arial"/>
                <w:sz w:val="14"/>
                <w:szCs w:val="14"/>
                <w:color w:val="auto"/>
              </w:rPr>
              <w:t>4.49 %</w:t>
            </w:r>
          </w:p>
        </w:tc>
        <w:tc>
          <w:tcPr>
            <w:tcW w:w="78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1.77 %</w:t>
            </w:r>
          </w:p>
        </w:tc>
      </w:tr>
      <w:tr>
        <w:trPr>
          <w:trHeight w:val="196"/>
        </w:trPr>
        <w:tc>
          <w:tcPr>
            <w:tcW w:w="504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Discount rate—service cost</w:t>
            </w:r>
          </w:p>
        </w:tc>
        <w:tc>
          <w:tcPr>
            <w:tcW w:w="98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5.06 %</w:t>
            </w:r>
          </w:p>
        </w:tc>
        <w:tc>
          <w:tcPr>
            <w:tcW w:w="1180" w:type="dxa"/>
            <w:vAlign w:val="bottom"/>
            <w:tcBorders>
              <w:bottom w:val="single" w:sz="8" w:color="888B8D"/>
            </w:tcBorders>
          </w:tcPr>
          <w:p>
            <w:pPr>
              <w:jc w:val="right"/>
              <w:ind w:right="188"/>
              <w:spacing w:after="0"/>
              <w:rPr>
                <w:sz w:val="20"/>
                <w:szCs w:val="20"/>
                <w:color w:val="auto"/>
              </w:rPr>
            </w:pPr>
            <w:r>
              <w:rPr>
                <w:rFonts w:ascii="Arial" w:cs="Arial" w:eastAsia="Arial" w:hAnsi="Arial"/>
                <w:sz w:val="14"/>
                <w:szCs w:val="14"/>
                <w:color w:val="auto"/>
              </w:rPr>
              <w:t>5.26 %</w:t>
            </w:r>
          </w:p>
        </w:tc>
        <w:tc>
          <w:tcPr>
            <w:tcW w:w="820" w:type="dxa"/>
            <w:vAlign w:val="bottom"/>
            <w:tcBorders>
              <w:bottom w:val="single" w:sz="8" w:color="888B8D"/>
            </w:tcBorders>
          </w:tcPr>
          <w:p>
            <w:pPr>
              <w:ind w:left="360"/>
              <w:spacing w:after="0"/>
              <w:rPr>
                <w:sz w:val="20"/>
                <w:szCs w:val="20"/>
                <w:color w:val="auto"/>
              </w:rPr>
            </w:pPr>
            <w:r>
              <w:rPr>
                <w:rFonts w:ascii="Arial" w:cs="Arial" w:eastAsia="Arial" w:hAnsi="Arial"/>
                <w:sz w:val="14"/>
                <w:szCs w:val="14"/>
                <w:color w:val="auto"/>
              </w:rPr>
              <w:t>2.98 %</w:t>
            </w:r>
          </w:p>
        </w:tc>
        <w:tc>
          <w:tcPr>
            <w:tcW w:w="220" w:type="dxa"/>
            <w:vAlign w:val="bottom"/>
            <w:tcBorders>
              <w:bottom w:val="single" w:sz="8" w:color="888B8D"/>
            </w:tcBorders>
          </w:tcPr>
          <w:p>
            <w:pPr>
              <w:spacing w:after="0"/>
              <w:rPr>
                <w:sz w:val="17"/>
                <w:szCs w:val="17"/>
                <w:color w:val="auto"/>
              </w:rPr>
            </w:pPr>
          </w:p>
        </w:tc>
        <w:tc>
          <w:tcPr>
            <w:tcW w:w="920" w:type="dxa"/>
            <w:vAlign w:val="bottom"/>
            <w:tcBorders>
              <w:bottom w:val="single" w:sz="8" w:color="888B8D"/>
            </w:tcBorders>
          </w:tcPr>
          <w:p>
            <w:pPr>
              <w:jc w:val="right"/>
              <w:ind w:right="8"/>
              <w:spacing w:after="0"/>
              <w:rPr>
                <w:sz w:val="20"/>
                <w:szCs w:val="20"/>
                <w:color w:val="auto"/>
              </w:rPr>
            </w:pPr>
            <w:r>
              <w:rPr>
                <w:rFonts w:ascii="Arial" w:cs="Arial" w:eastAsia="Arial" w:hAnsi="Arial"/>
                <w:sz w:val="14"/>
                <w:szCs w:val="14"/>
                <w:color w:val="auto"/>
              </w:rPr>
              <w:t>3.38 %</w:t>
            </w:r>
          </w:p>
        </w:tc>
        <w:tc>
          <w:tcPr>
            <w:tcW w:w="1300" w:type="dxa"/>
            <w:vAlign w:val="bottom"/>
            <w:tcBorders>
              <w:bottom w:val="single" w:sz="8" w:color="888B8D"/>
            </w:tcBorders>
          </w:tcPr>
          <w:p>
            <w:pPr>
              <w:jc w:val="right"/>
              <w:ind w:right="248"/>
              <w:spacing w:after="0"/>
              <w:rPr>
                <w:sz w:val="20"/>
                <w:szCs w:val="20"/>
                <w:color w:val="auto"/>
              </w:rPr>
            </w:pPr>
            <w:r>
              <w:rPr>
                <w:rFonts w:ascii="Arial" w:cs="Arial" w:eastAsia="Arial" w:hAnsi="Arial"/>
                <w:sz w:val="14"/>
                <w:szCs w:val="14"/>
                <w:color w:val="auto"/>
              </w:rPr>
              <w:t>3.81 %</w:t>
            </w:r>
          </w:p>
        </w:tc>
        <w:tc>
          <w:tcPr>
            <w:tcW w:w="78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1.48 %</w:t>
            </w:r>
          </w:p>
        </w:tc>
      </w:tr>
      <w:tr>
        <w:trPr>
          <w:trHeight w:val="196"/>
        </w:trPr>
        <w:tc>
          <w:tcPr>
            <w:tcW w:w="504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Discount rate—interest cost</w:t>
            </w:r>
          </w:p>
        </w:tc>
        <w:tc>
          <w:tcPr>
            <w:tcW w:w="98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4.89 %</w:t>
            </w:r>
          </w:p>
        </w:tc>
        <w:tc>
          <w:tcPr>
            <w:tcW w:w="1180" w:type="dxa"/>
            <w:vAlign w:val="bottom"/>
            <w:tcBorders>
              <w:bottom w:val="single" w:sz="8" w:color="888B8D"/>
            </w:tcBorders>
          </w:tcPr>
          <w:p>
            <w:pPr>
              <w:jc w:val="right"/>
              <w:ind w:right="188"/>
              <w:spacing w:after="0"/>
              <w:rPr>
                <w:sz w:val="20"/>
                <w:szCs w:val="20"/>
                <w:color w:val="auto"/>
              </w:rPr>
            </w:pPr>
            <w:r>
              <w:rPr>
                <w:rFonts w:ascii="Arial" w:cs="Arial" w:eastAsia="Arial" w:hAnsi="Arial"/>
                <w:sz w:val="14"/>
                <w:szCs w:val="14"/>
                <w:color w:val="auto"/>
              </w:rPr>
              <w:t>5.07 %</w:t>
            </w:r>
          </w:p>
        </w:tc>
        <w:tc>
          <w:tcPr>
            <w:tcW w:w="820" w:type="dxa"/>
            <w:vAlign w:val="bottom"/>
            <w:tcBorders>
              <w:bottom w:val="single" w:sz="8" w:color="888B8D"/>
            </w:tcBorders>
          </w:tcPr>
          <w:p>
            <w:pPr>
              <w:ind w:left="360"/>
              <w:spacing w:after="0"/>
              <w:rPr>
                <w:sz w:val="20"/>
                <w:szCs w:val="20"/>
                <w:color w:val="auto"/>
              </w:rPr>
            </w:pPr>
            <w:r>
              <w:rPr>
                <w:rFonts w:ascii="Arial" w:cs="Arial" w:eastAsia="Arial" w:hAnsi="Arial"/>
                <w:sz w:val="14"/>
                <w:szCs w:val="14"/>
                <w:color w:val="auto"/>
              </w:rPr>
              <w:t>2.26 %</w:t>
            </w:r>
          </w:p>
        </w:tc>
        <w:tc>
          <w:tcPr>
            <w:tcW w:w="220" w:type="dxa"/>
            <w:vAlign w:val="bottom"/>
            <w:tcBorders>
              <w:bottom w:val="single" w:sz="8" w:color="888B8D"/>
            </w:tcBorders>
          </w:tcPr>
          <w:p>
            <w:pPr>
              <w:spacing w:after="0"/>
              <w:rPr>
                <w:sz w:val="17"/>
                <w:szCs w:val="17"/>
                <w:color w:val="auto"/>
              </w:rPr>
            </w:pPr>
          </w:p>
        </w:tc>
        <w:tc>
          <w:tcPr>
            <w:tcW w:w="920" w:type="dxa"/>
            <w:vAlign w:val="bottom"/>
            <w:tcBorders>
              <w:bottom w:val="single" w:sz="8" w:color="888B8D"/>
            </w:tcBorders>
          </w:tcPr>
          <w:p>
            <w:pPr>
              <w:jc w:val="right"/>
              <w:ind w:right="8"/>
              <w:spacing w:after="0"/>
              <w:rPr>
                <w:sz w:val="20"/>
                <w:szCs w:val="20"/>
                <w:color w:val="auto"/>
              </w:rPr>
            </w:pPr>
            <w:r>
              <w:rPr>
                <w:rFonts w:ascii="Arial" w:cs="Arial" w:eastAsia="Arial" w:hAnsi="Arial"/>
                <w:sz w:val="14"/>
                <w:szCs w:val="14"/>
                <w:color w:val="auto"/>
              </w:rPr>
              <w:t>4.12 %</w:t>
            </w:r>
          </w:p>
        </w:tc>
        <w:tc>
          <w:tcPr>
            <w:tcW w:w="1300" w:type="dxa"/>
            <w:vAlign w:val="bottom"/>
            <w:tcBorders>
              <w:bottom w:val="single" w:sz="8" w:color="888B8D"/>
            </w:tcBorders>
          </w:tcPr>
          <w:p>
            <w:pPr>
              <w:jc w:val="right"/>
              <w:ind w:right="248"/>
              <w:spacing w:after="0"/>
              <w:rPr>
                <w:sz w:val="20"/>
                <w:szCs w:val="20"/>
                <w:color w:val="auto"/>
              </w:rPr>
            </w:pPr>
            <w:r>
              <w:rPr>
                <w:rFonts w:ascii="Arial" w:cs="Arial" w:eastAsia="Arial" w:hAnsi="Arial"/>
                <w:sz w:val="14"/>
                <w:szCs w:val="14"/>
                <w:color w:val="auto"/>
              </w:rPr>
              <w:t>4.56 %</w:t>
            </w:r>
          </w:p>
        </w:tc>
        <w:tc>
          <w:tcPr>
            <w:tcW w:w="78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1.59 %</w:t>
            </w:r>
          </w:p>
        </w:tc>
      </w:tr>
      <w:tr>
        <w:trPr>
          <w:trHeight w:val="196"/>
        </w:trPr>
        <w:tc>
          <w:tcPr>
            <w:tcW w:w="504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Expected rate of return on plan assets</w:t>
            </w:r>
          </w:p>
        </w:tc>
        <w:tc>
          <w:tcPr>
            <w:tcW w:w="98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7.00 %</w:t>
            </w:r>
          </w:p>
        </w:tc>
        <w:tc>
          <w:tcPr>
            <w:tcW w:w="1180" w:type="dxa"/>
            <w:vAlign w:val="bottom"/>
            <w:tcBorders>
              <w:bottom w:val="single" w:sz="8" w:color="888B8D"/>
            </w:tcBorders>
          </w:tcPr>
          <w:p>
            <w:pPr>
              <w:jc w:val="right"/>
              <w:ind w:right="188"/>
              <w:spacing w:after="0"/>
              <w:rPr>
                <w:sz w:val="20"/>
                <w:szCs w:val="20"/>
                <w:color w:val="auto"/>
              </w:rPr>
            </w:pPr>
            <w:r>
              <w:rPr>
                <w:rFonts w:ascii="Arial" w:cs="Arial" w:eastAsia="Arial" w:hAnsi="Arial"/>
                <w:sz w:val="14"/>
                <w:szCs w:val="14"/>
                <w:color w:val="auto"/>
              </w:rPr>
              <w:t>6.75 %</w:t>
            </w:r>
          </w:p>
        </w:tc>
        <w:tc>
          <w:tcPr>
            <w:tcW w:w="820" w:type="dxa"/>
            <w:vAlign w:val="bottom"/>
            <w:tcBorders>
              <w:bottom w:val="single" w:sz="8" w:color="888B8D"/>
            </w:tcBorders>
          </w:tcPr>
          <w:p>
            <w:pPr>
              <w:ind w:left="360"/>
              <w:spacing w:after="0"/>
              <w:rPr>
                <w:sz w:val="20"/>
                <w:szCs w:val="20"/>
                <w:color w:val="auto"/>
              </w:rPr>
            </w:pPr>
            <w:r>
              <w:rPr>
                <w:rFonts w:ascii="Arial" w:cs="Arial" w:eastAsia="Arial" w:hAnsi="Arial"/>
                <w:sz w:val="14"/>
                <w:szCs w:val="14"/>
                <w:color w:val="auto"/>
              </w:rPr>
              <w:t>6.40 %</w:t>
            </w:r>
          </w:p>
        </w:tc>
        <w:tc>
          <w:tcPr>
            <w:tcW w:w="220" w:type="dxa"/>
            <w:vAlign w:val="bottom"/>
            <w:tcBorders>
              <w:bottom w:val="single" w:sz="8" w:color="888B8D"/>
            </w:tcBorders>
          </w:tcPr>
          <w:p>
            <w:pPr>
              <w:spacing w:after="0"/>
              <w:rPr>
                <w:sz w:val="17"/>
                <w:szCs w:val="17"/>
                <w:color w:val="auto"/>
              </w:rPr>
            </w:pPr>
          </w:p>
        </w:tc>
        <w:tc>
          <w:tcPr>
            <w:tcW w:w="920" w:type="dxa"/>
            <w:vAlign w:val="bottom"/>
            <w:tcBorders>
              <w:bottom w:val="single" w:sz="8" w:color="888B8D"/>
            </w:tcBorders>
          </w:tcPr>
          <w:p>
            <w:pPr>
              <w:jc w:val="right"/>
              <w:ind w:right="8"/>
              <w:spacing w:after="0"/>
              <w:rPr>
                <w:sz w:val="20"/>
                <w:szCs w:val="20"/>
                <w:color w:val="auto"/>
              </w:rPr>
            </w:pPr>
            <w:r>
              <w:rPr>
                <w:rFonts w:ascii="Arial" w:cs="Arial" w:eastAsia="Arial" w:hAnsi="Arial"/>
                <w:sz w:val="14"/>
                <w:szCs w:val="14"/>
                <w:color w:val="auto"/>
              </w:rPr>
              <w:t>5.48 %</w:t>
            </w:r>
          </w:p>
        </w:tc>
        <w:tc>
          <w:tcPr>
            <w:tcW w:w="1300" w:type="dxa"/>
            <w:vAlign w:val="bottom"/>
            <w:tcBorders>
              <w:bottom w:val="single" w:sz="8" w:color="888B8D"/>
            </w:tcBorders>
          </w:tcPr>
          <w:p>
            <w:pPr>
              <w:jc w:val="right"/>
              <w:ind w:right="248"/>
              <w:spacing w:after="0"/>
              <w:rPr>
                <w:sz w:val="20"/>
                <w:szCs w:val="20"/>
                <w:color w:val="auto"/>
              </w:rPr>
            </w:pPr>
            <w:r>
              <w:rPr>
                <w:rFonts w:ascii="Arial" w:cs="Arial" w:eastAsia="Arial" w:hAnsi="Arial"/>
                <w:sz w:val="14"/>
                <w:szCs w:val="14"/>
                <w:color w:val="auto"/>
              </w:rPr>
              <w:t>5.15 %</w:t>
            </w:r>
          </w:p>
        </w:tc>
        <w:tc>
          <w:tcPr>
            <w:tcW w:w="78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3.61 %</w:t>
            </w:r>
          </w:p>
        </w:tc>
      </w:tr>
      <w:tr>
        <w:trPr>
          <w:trHeight w:val="196"/>
        </w:trPr>
        <w:tc>
          <w:tcPr>
            <w:tcW w:w="504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Expected annual rate of compensation increase</w:t>
            </w:r>
          </w:p>
        </w:tc>
        <w:tc>
          <w:tcPr>
            <w:tcW w:w="9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3.25 %</w:t>
            </w:r>
          </w:p>
        </w:tc>
        <w:tc>
          <w:tcPr>
            <w:tcW w:w="1180" w:type="dxa"/>
            <w:vAlign w:val="bottom"/>
            <w:tcBorders>
              <w:bottom w:val="single" w:sz="8" w:color="D7282F"/>
            </w:tcBorders>
          </w:tcPr>
          <w:p>
            <w:pPr>
              <w:jc w:val="right"/>
              <w:ind w:right="188"/>
              <w:spacing w:after="0"/>
              <w:rPr>
                <w:sz w:val="20"/>
                <w:szCs w:val="20"/>
                <w:color w:val="auto"/>
              </w:rPr>
            </w:pPr>
            <w:r>
              <w:rPr>
                <w:rFonts w:ascii="Arial" w:cs="Arial" w:eastAsia="Arial" w:hAnsi="Arial"/>
                <w:sz w:val="14"/>
                <w:szCs w:val="14"/>
                <w:color w:val="auto"/>
              </w:rPr>
              <w:t>3.25 %</w:t>
            </w:r>
          </w:p>
        </w:tc>
        <w:tc>
          <w:tcPr>
            <w:tcW w:w="820" w:type="dxa"/>
            <w:vAlign w:val="bottom"/>
            <w:tcBorders>
              <w:bottom w:val="single" w:sz="8" w:color="D7282F"/>
            </w:tcBorders>
          </w:tcPr>
          <w:p>
            <w:pPr>
              <w:ind w:left="360"/>
              <w:spacing w:after="0"/>
              <w:rPr>
                <w:sz w:val="20"/>
                <w:szCs w:val="20"/>
                <w:color w:val="auto"/>
              </w:rPr>
            </w:pPr>
            <w:r>
              <w:rPr>
                <w:rFonts w:ascii="Arial" w:cs="Arial" w:eastAsia="Arial" w:hAnsi="Arial"/>
                <w:sz w:val="14"/>
                <w:szCs w:val="14"/>
                <w:color w:val="auto"/>
              </w:rPr>
              <w:t>3.25 %</w:t>
            </w:r>
          </w:p>
        </w:tc>
        <w:tc>
          <w:tcPr>
            <w:tcW w:w="220" w:type="dxa"/>
            <w:vAlign w:val="bottom"/>
            <w:tcBorders>
              <w:bottom w:val="single" w:sz="8" w:color="D7282F"/>
            </w:tcBorders>
          </w:tcPr>
          <w:p>
            <w:pPr>
              <w:spacing w:after="0"/>
              <w:rPr>
                <w:sz w:val="17"/>
                <w:szCs w:val="17"/>
                <w:color w:val="auto"/>
              </w:rPr>
            </w:pPr>
          </w:p>
        </w:tc>
        <w:tc>
          <w:tcPr>
            <w:tcW w:w="92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2.68 %</w:t>
            </w:r>
          </w:p>
        </w:tc>
        <w:tc>
          <w:tcPr>
            <w:tcW w:w="1300" w:type="dxa"/>
            <w:vAlign w:val="bottom"/>
            <w:tcBorders>
              <w:bottom w:val="single" w:sz="8" w:color="D7282F"/>
            </w:tcBorders>
          </w:tcPr>
          <w:p>
            <w:pPr>
              <w:jc w:val="right"/>
              <w:ind w:right="248"/>
              <w:spacing w:after="0"/>
              <w:rPr>
                <w:sz w:val="20"/>
                <w:szCs w:val="20"/>
                <w:color w:val="auto"/>
              </w:rPr>
            </w:pPr>
            <w:r>
              <w:rPr>
                <w:rFonts w:ascii="Arial" w:cs="Arial" w:eastAsia="Arial" w:hAnsi="Arial"/>
                <w:sz w:val="14"/>
                <w:szCs w:val="14"/>
                <w:color w:val="auto"/>
              </w:rPr>
              <w:t>2.68 %</w:t>
            </w:r>
          </w:p>
        </w:tc>
        <w:tc>
          <w:tcPr>
            <w:tcW w:w="7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2.56 %</w:t>
            </w:r>
          </w:p>
        </w:tc>
      </w:tr>
    </w:tbl>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140" w:type="dxa"/>
            <w:vAlign w:val="bottom"/>
          </w:tcPr>
          <w:p>
            <w:pPr>
              <w:spacing w:after="0"/>
              <w:rPr>
                <w:sz w:val="17"/>
                <w:szCs w:val="17"/>
                <w:color w:val="auto"/>
              </w:rPr>
            </w:pPr>
          </w:p>
        </w:tc>
        <w:tc>
          <w:tcPr>
            <w:tcW w:w="3100" w:type="dxa"/>
            <w:vAlign w:val="bottom"/>
            <w:tcBorders>
              <w:bottom w:val="single" w:sz="8" w:color="D7282F"/>
            </w:tcBorders>
            <w:gridSpan w:val="3"/>
          </w:tcPr>
          <w:p>
            <w:pPr>
              <w:jc w:val="right"/>
              <w:ind w:right="448"/>
              <w:spacing w:after="0"/>
              <w:rPr>
                <w:sz w:val="20"/>
                <w:szCs w:val="20"/>
                <w:color w:val="auto"/>
              </w:rPr>
            </w:pPr>
            <w:r>
              <w:rPr>
                <w:rFonts w:ascii="Arial" w:cs="Arial" w:eastAsia="Arial" w:hAnsi="Arial"/>
                <w:sz w:val="14"/>
                <w:szCs w:val="14"/>
                <w:b w:val="1"/>
                <w:bCs w:val="1"/>
                <w:color w:val="auto"/>
              </w:rPr>
              <w:t>Other Postretirement Benefits</w:t>
            </w:r>
          </w:p>
        </w:tc>
      </w:tr>
      <w:tr>
        <w:trPr>
          <w:trHeight w:val="237"/>
        </w:trPr>
        <w:tc>
          <w:tcPr>
            <w:tcW w:w="8140" w:type="dxa"/>
            <w:vAlign w:val="bottom"/>
            <w:tcBorders>
              <w:bottom w:val="single" w:sz="8" w:color="D7282F"/>
            </w:tcBorders>
          </w:tcPr>
          <w:p>
            <w:pPr>
              <w:spacing w:after="0"/>
              <w:rPr>
                <w:sz w:val="20"/>
                <w:szCs w:val="20"/>
                <w:color w:val="auto"/>
              </w:rPr>
            </w:pPr>
          </w:p>
        </w:tc>
        <w:tc>
          <w:tcPr>
            <w:tcW w:w="1140" w:type="dxa"/>
            <w:vAlign w:val="bottom"/>
            <w:tcBorders>
              <w:bottom w:val="single" w:sz="8" w:color="D7282F"/>
            </w:tcBorders>
          </w:tcPr>
          <w:p>
            <w:pPr>
              <w:jc w:val="right"/>
              <w:ind w:right="468"/>
              <w:spacing w:after="0"/>
              <w:rPr>
                <w:sz w:val="20"/>
                <w:szCs w:val="20"/>
                <w:color w:val="auto"/>
              </w:rPr>
            </w:pPr>
            <w:r>
              <w:rPr>
                <w:rFonts w:ascii="Arial" w:cs="Arial" w:eastAsia="Arial" w:hAnsi="Arial"/>
                <w:sz w:val="14"/>
                <w:szCs w:val="14"/>
                <w:b w:val="1"/>
                <w:bCs w:val="1"/>
                <w:color w:val="auto"/>
              </w:rPr>
              <w:t>2024</w:t>
            </w:r>
          </w:p>
        </w:tc>
        <w:tc>
          <w:tcPr>
            <w:tcW w:w="1100" w:type="dxa"/>
            <w:vAlign w:val="bottom"/>
            <w:tcBorders>
              <w:bottom w:val="single" w:sz="8" w:color="D7282F"/>
            </w:tcBorders>
          </w:tcPr>
          <w:p>
            <w:pPr>
              <w:jc w:val="right"/>
              <w:ind w:right="448"/>
              <w:spacing w:after="0"/>
              <w:rPr>
                <w:sz w:val="20"/>
                <w:szCs w:val="20"/>
                <w:color w:val="auto"/>
              </w:rPr>
            </w:pPr>
            <w:r>
              <w:rPr>
                <w:rFonts w:ascii="Arial" w:cs="Arial" w:eastAsia="Arial" w:hAnsi="Arial"/>
                <w:sz w:val="14"/>
                <w:szCs w:val="14"/>
                <w:b w:val="1"/>
                <w:bCs w:val="1"/>
                <w:color w:val="auto"/>
              </w:rPr>
              <w:t>2023</w:t>
            </w:r>
          </w:p>
        </w:tc>
        <w:tc>
          <w:tcPr>
            <w:tcW w:w="86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2022</w:t>
            </w:r>
          </w:p>
        </w:tc>
      </w:tr>
      <w:tr>
        <w:trPr>
          <w:trHeight w:val="198"/>
        </w:trPr>
        <w:tc>
          <w:tcPr>
            <w:tcW w:w="814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Actuarial assumptions used to determine benefit obligations as of December 31</w:t>
            </w:r>
          </w:p>
        </w:tc>
        <w:tc>
          <w:tcPr>
            <w:tcW w:w="1140" w:type="dxa"/>
            <w:vAlign w:val="bottom"/>
            <w:tcBorders>
              <w:bottom w:val="single" w:sz="8" w:color="888B8D"/>
            </w:tcBorders>
          </w:tcPr>
          <w:p>
            <w:pPr>
              <w:spacing w:after="0"/>
              <w:rPr>
                <w:sz w:val="17"/>
                <w:szCs w:val="17"/>
                <w:color w:val="auto"/>
              </w:rPr>
            </w:pPr>
          </w:p>
        </w:tc>
        <w:tc>
          <w:tcPr>
            <w:tcW w:w="1100" w:type="dxa"/>
            <w:vAlign w:val="bottom"/>
            <w:tcBorders>
              <w:bottom w:val="single" w:sz="8" w:color="888B8D"/>
            </w:tcBorders>
          </w:tcPr>
          <w:p>
            <w:pPr>
              <w:spacing w:after="0"/>
              <w:rPr>
                <w:sz w:val="17"/>
                <w:szCs w:val="17"/>
                <w:color w:val="auto"/>
              </w:rPr>
            </w:pPr>
          </w:p>
        </w:tc>
        <w:tc>
          <w:tcPr>
            <w:tcW w:w="860" w:type="dxa"/>
            <w:vAlign w:val="bottom"/>
            <w:tcBorders>
              <w:bottom w:val="single" w:sz="8" w:color="888B8D"/>
            </w:tcBorders>
          </w:tcPr>
          <w:p>
            <w:pPr>
              <w:spacing w:after="0"/>
              <w:rPr>
                <w:sz w:val="17"/>
                <w:szCs w:val="17"/>
                <w:color w:val="auto"/>
              </w:rPr>
            </w:pPr>
          </w:p>
        </w:tc>
      </w:tr>
      <w:tr>
        <w:trPr>
          <w:trHeight w:val="196"/>
        </w:trPr>
        <w:tc>
          <w:tcPr>
            <w:tcW w:w="814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Discount rate</w:t>
            </w:r>
          </w:p>
        </w:tc>
        <w:tc>
          <w:tcPr>
            <w:tcW w:w="1140" w:type="dxa"/>
            <w:vAlign w:val="bottom"/>
            <w:tcBorders>
              <w:bottom w:val="single" w:sz="8" w:color="888B8D"/>
            </w:tcBorders>
          </w:tcPr>
          <w:p>
            <w:pPr>
              <w:jc w:val="right"/>
              <w:ind w:right="208"/>
              <w:spacing w:after="0"/>
              <w:rPr>
                <w:sz w:val="20"/>
                <w:szCs w:val="20"/>
                <w:color w:val="auto"/>
              </w:rPr>
            </w:pPr>
            <w:r>
              <w:rPr>
                <w:rFonts w:ascii="Arial" w:cs="Arial" w:eastAsia="Arial" w:hAnsi="Arial"/>
                <w:sz w:val="14"/>
                <w:szCs w:val="14"/>
                <w:color w:val="auto"/>
              </w:rPr>
              <w:t>5.42 %</w:t>
            </w:r>
          </w:p>
        </w:tc>
        <w:tc>
          <w:tcPr>
            <w:tcW w:w="1100" w:type="dxa"/>
            <w:vAlign w:val="bottom"/>
            <w:tcBorders>
              <w:bottom w:val="single" w:sz="8" w:color="888B8D"/>
            </w:tcBorders>
          </w:tcPr>
          <w:p>
            <w:pPr>
              <w:jc w:val="right"/>
              <w:ind w:right="188"/>
              <w:spacing w:after="0"/>
              <w:rPr>
                <w:sz w:val="20"/>
                <w:szCs w:val="20"/>
                <w:color w:val="auto"/>
              </w:rPr>
            </w:pPr>
            <w:r>
              <w:rPr>
                <w:rFonts w:ascii="Arial" w:cs="Arial" w:eastAsia="Arial" w:hAnsi="Arial"/>
                <w:sz w:val="14"/>
                <w:szCs w:val="14"/>
                <w:color w:val="auto"/>
              </w:rPr>
              <w:t>5.00 %</w:t>
            </w:r>
          </w:p>
        </w:tc>
        <w:tc>
          <w:tcPr>
            <w:tcW w:w="8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5.32 %</w:t>
            </w:r>
          </w:p>
        </w:tc>
      </w:tr>
      <w:tr>
        <w:trPr>
          <w:trHeight w:val="196"/>
        </w:trPr>
        <w:tc>
          <w:tcPr>
            <w:tcW w:w="814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Actuarial assumptions used to determine net periodic benefit cost for years ended December 31</w:t>
            </w:r>
          </w:p>
        </w:tc>
        <w:tc>
          <w:tcPr>
            <w:tcW w:w="1140" w:type="dxa"/>
            <w:vAlign w:val="bottom"/>
            <w:tcBorders>
              <w:bottom w:val="single" w:sz="8" w:color="888B8D"/>
            </w:tcBorders>
          </w:tcPr>
          <w:p>
            <w:pPr>
              <w:spacing w:after="0"/>
              <w:rPr>
                <w:sz w:val="17"/>
                <w:szCs w:val="17"/>
                <w:color w:val="auto"/>
              </w:rPr>
            </w:pPr>
          </w:p>
        </w:tc>
        <w:tc>
          <w:tcPr>
            <w:tcW w:w="1100" w:type="dxa"/>
            <w:vAlign w:val="bottom"/>
            <w:tcBorders>
              <w:bottom w:val="single" w:sz="8" w:color="888B8D"/>
            </w:tcBorders>
          </w:tcPr>
          <w:p>
            <w:pPr>
              <w:spacing w:after="0"/>
              <w:rPr>
                <w:sz w:val="17"/>
                <w:szCs w:val="17"/>
                <w:color w:val="auto"/>
              </w:rPr>
            </w:pPr>
          </w:p>
        </w:tc>
        <w:tc>
          <w:tcPr>
            <w:tcW w:w="860" w:type="dxa"/>
            <w:vAlign w:val="bottom"/>
            <w:tcBorders>
              <w:bottom w:val="single" w:sz="8" w:color="888B8D"/>
            </w:tcBorders>
          </w:tcPr>
          <w:p>
            <w:pPr>
              <w:spacing w:after="0"/>
              <w:rPr>
                <w:sz w:val="17"/>
                <w:szCs w:val="17"/>
                <w:color w:val="auto"/>
              </w:rPr>
            </w:pPr>
          </w:p>
        </w:tc>
      </w:tr>
      <w:tr>
        <w:trPr>
          <w:trHeight w:val="196"/>
        </w:trPr>
        <w:tc>
          <w:tcPr>
            <w:tcW w:w="814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Discount rate</w:t>
            </w:r>
          </w:p>
        </w:tc>
        <w:tc>
          <w:tcPr>
            <w:tcW w:w="114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color w:val="auto"/>
              </w:rPr>
              <w:t>5.00 %</w:t>
            </w:r>
          </w:p>
        </w:tc>
        <w:tc>
          <w:tcPr>
            <w:tcW w:w="1100" w:type="dxa"/>
            <w:vAlign w:val="bottom"/>
            <w:tcBorders>
              <w:bottom w:val="single" w:sz="8" w:color="D7282F"/>
            </w:tcBorders>
          </w:tcPr>
          <w:p>
            <w:pPr>
              <w:jc w:val="right"/>
              <w:ind w:right="188"/>
              <w:spacing w:after="0"/>
              <w:rPr>
                <w:sz w:val="20"/>
                <w:szCs w:val="20"/>
                <w:color w:val="auto"/>
              </w:rPr>
            </w:pPr>
            <w:r>
              <w:rPr>
                <w:rFonts w:ascii="Arial" w:cs="Arial" w:eastAsia="Arial" w:hAnsi="Arial"/>
                <w:sz w:val="14"/>
                <w:szCs w:val="14"/>
                <w:color w:val="auto"/>
              </w:rPr>
              <w:t>5.32 %</w:t>
            </w:r>
          </w:p>
        </w:tc>
        <w:tc>
          <w:tcPr>
            <w:tcW w:w="8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2.66 %</w:t>
            </w:r>
          </w:p>
        </w:tc>
      </w:tr>
    </w:tbl>
    <w:p>
      <w:pPr>
        <w:spacing w:after="0" w:line="188"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 discount rate for the Company's U.S. pension and other postretirement benefit plans reflects the current rate at which the associated liabilities could be settled at the measurement date of December 31. To determine discount rates for the Company's U.S. pension and other postretirement benefit plans, the Company uses a modeling process that involves matching the expected cash outflows of the Company's benefit plans to a yield curve constructed from a portfolio of high-quality, fixed income debt instruments. The Company uses the single weighted average yield of this hypothetical portfolio as a discount rate benchmark. The Company utilizes a full yield curve approach in the estimation of the service and interest cost components of net periodic pension benefit (income) for the Company's significant pension plans. This approach applies the specific spot rates along the yield curve used in the determination of the pension benefit obligation to their underlying projected cash flows and provides a more precise measurement of service and interest costs by improving the correlation between projected cash flows and their corresponding spot rates. For the Company's U.S. pension plans, the single weighted average spot rates used to determine service and interest costs for 2025 are 5.55% and 5.28%, respectively. The discount rate used to determine the other postretirement benefit obligation is higher principally due to a shorter expected duration of other postretirement plan obligations as compared to pension plan obligations.</w:t>
      </w:r>
    </w:p>
    <w:p>
      <w:pPr>
        <w:spacing w:after="0" w:line="7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Company plans to use an expected rate of return on U.S. plan assets of 7.25% for 2025, which represents an increase from the 7.00% assumption used for 2024. The Company's asset return assumption is based on historical plan asset returns over varying long-term periods combined with current market conditions and broad asset mix considerations with a focus on long-term trends rather than short-term market conditions. The Company reviews the expected rate of return on an annual basis and revises it as appropriate.</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color w:val="auto"/>
        </w:rPr>
        <w:t>For non-U.S. benefit plans, actuarial assumptions reflect economic and market factors relevant to each country.</w:t>
      </w:r>
    </w:p>
    <w:p>
      <w:pPr>
        <w:spacing w:after="0" w:line="11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July 2024, the UK Court of Appeal upheld a ruling in the matter of Virgin Media Limited versus NTL Pension Trustees II Limited, that certain historical amendments for contracted out defined benefit schemes were invalid if they were not accompanied by the correct actuarial confirmation, a decision that the Company was not a party to or involved in and could impact the Company's non-U.S. pension plan in the UK. The Company and its UK pension scheme trustee are reviewing this development, along with our actuaries, and considering whether this decision has any implications for its UK pension plan.</w:t>
      </w:r>
    </w:p>
    <w:p>
      <w:pPr>
        <w:spacing w:after="0" w:line="200" w:lineRule="exact"/>
        <w:rPr>
          <w:sz w:val="20"/>
          <w:szCs w:val="20"/>
          <w:color w:val="auto"/>
        </w:rPr>
      </w:pPr>
    </w:p>
    <w:p>
      <w:pPr>
        <w:spacing w:after="0" w:line="218" w:lineRule="exact"/>
        <w:rPr>
          <w:sz w:val="20"/>
          <w:szCs w:val="20"/>
          <w:color w:val="auto"/>
        </w:rPr>
      </w:pPr>
    </w:p>
    <w:p>
      <w:pPr>
        <w:ind w:left="500" w:hanging="492"/>
        <w:spacing w:after="0"/>
        <w:tabs>
          <w:tab w:leader="none" w:pos="500" w:val="left"/>
        </w:tabs>
        <w:numPr>
          <w:ilvl w:val="0"/>
          <w:numId w:val="170"/>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06" w:name="page107"/>
    <w:bookmarkEnd w:id="106"/>
    <w:p>
      <w:pPr>
        <w:ind w:left="20"/>
        <w:spacing w:after="0"/>
        <w:tabs>
          <w:tab w:leader="none" w:pos="784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FINANCIAL STATEMENTS AND SUPPLEMENTARY DATA</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PENSION BENEFITS</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amounts relate to the Company's significant pension plans with accumulated benefit obligations exceeding the fair value of plan assets: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480" w:type="dxa"/>
            <w:vAlign w:val="bottom"/>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spacing w:after="0"/>
              <w:rPr>
                <w:sz w:val="17"/>
                <w:szCs w:val="17"/>
                <w:color w:val="auto"/>
              </w:rPr>
            </w:pPr>
          </w:p>
        </w:tc>
        <w:tc>
          <w:tcPr>
            <w:tcW w:w="300" w:type="dxa"/>
            <w:vAlign w:val="bottom"/>
            <w:tcBorders>
              <w:bottom w:val="single" w:sz="8" w:color="D7282F"/>
            </w:tcBorders>
          </w:tcPr>
          <w:p>
            <w:pPr>
              <w:spacing w:after="0"/>
              <w:rPr>
                <w:sz w:val="17"/>
                <w:szCs w:val="17"/>
                <w:color w:val="auto"/>
              </w:rPr>
            </w:pPr>
          </w:p>
        </w:tc>
        <w:tc>
          <w:tcPr>
            <w:tcW w:w="1700" w:type="dxa"/>
            <w:vAlign w:val="bottom"/>
            <w:tcBorders>
              <w:bottom w:val="single" w:sz="8" w:color="D7282F"/>
            </w:tcBorders>
            <w:gridSpan w:val="4"/>
          </w:tcPr>
          <w:p>
            <w:pPr>
              <w:jc w:val="right"/>
              <w:ind w:right="448"/>
              <w:spacing w:after="0"/>
              <w:rPr>
                <w:sz w:val="20"/>
                <w:szCs w:val="20"/>
                <w:color w:val="auto"/>
              </w:rPr>
            </w:pPr>
            <w:r>
              <w:rPr>
                <w:rFonts w:ascii="Arial" w:cs="Arial" w:eastAsia="Arial" w:hAnsi="Arial"/>
                <w:sz w:val="14"/>
                <w:szCs w:val="14"/>
                <w:b w:val="1"/>
                <w:bCs w:val="1"/>
                <w:color w:val="auto"/>
              </w:rPr>
              <w:t>December 31,</w:t>
            </w:r>
          </w:p>
        </w:tc>
        <w:tc>
          <w:tcPr>
            <w:tcW w:w="30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spacing w:after="0"/>
              <w:rPr>
                <w:sz w:val="17"/>
                <w:szCs w:val="17"/>
                <w:color w:val="auto"/>
              </w:rPr>
            </w:pPr>
          </w:p>
        </w:tc>
      </w:tr>
      <w:tr>
        <w:trPr>
          <w:trHeight w:val="237"/>
        </w:trPr>
        <w:tc>
          <w:tcPr>
            <w:tcW w:w="7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40" w:type="dxa"/>
            <w:vAlign w:val="bottom"/>
            <w:gridSpan w:val="4"/>
          </w:tcPr>
          <w:p>
            <w:pPr>
              <w:ind w:left="360"/>
              <w:spacing w:after="0"/>
              <w:rPr>
                <w:sz w:val="20"/>
                <w:szCs w:val="20"/>
                <w:color w:val="auto"/>
              </w:rPr>
            </w:pPr>
            <w:r>
              <w:rPr>
                <w:rFonts w:ascii="Arial" w:cs="Arial" w:eastAsia="Arial" w:hAnsi="Arial"/>
                <w:sz w:val="14"/>
                <w:szCs w:val="14"/>
                <w:b w:val="1"/>
                <w:bCs w:val="1"/>
                <w:color w:val="auto"/>
              </w:rPr>
              <w:t>U.S. Plans</w:t>
            </w:r>
          </w:p>
        </w:tc>
        <w:tc>
          <w:tcPr>
            <w:tcW w:w="160" w:type="dxa"/>
            <w:vAlign w:val="bottom"/>
          </w:tcPr>
          <w:p>
            <w:pPr>
              <w:spacing w:after="0"/>
              <w:rPr>
                <w:sz w:val="20"/>
                <w:szCs w:val="20"/>
                <w:color w:val="auto"/>
              </w:rPr>
            </w:pPr>
          </w:p>
        </w:tc>
        <w:tc>
          <w:tcPr>
            <w:tcW w:w="1600" w:type="dxa"/>
            <w:vAlign w:val="bottom"/>
            <w:gridSpan w:val="3"/>
          </w:tcPr>
          <w:p>
            <w:pPr>
              <w:jc w:val="right"/>
              <w:ind w:right="288"/>
              <w:spacing w:after="0"/>
              <w:rPr>
                <w:sz w:val="20"/>
                <w:szCs w:val="20"/>
                <w:color w:val="auto"/>
              </w:rPr>
            </w:pPr>
            <w:r>
              <w:rPr>
                <w:rFonts w:ascii="Arial" w:cs="Arial" w:eastAsia="Arial" w:hAnsi="Arial"/>
                <w:sz w:val="14"/>
                <w:szCs w:val="14"/>
                <w:b w:val="1"/>
                <w:bCs w:val="1"/>
                <w:color w:val="auto"/>
              </w:rPr>
              <w:t>Non-U.S. Plans</w:t>
            </w:r>
          </w:p>
        </w:tc>
      </w:tr>
      <w:tr>
        <w:trPr>
          <w:trHeight w:val="237"/>
        </w:trPr>
        <w:tc>
          <w:tcPr>
            <w:tcW w:w="7480" w:type="dxa"/>
            <w:vAlign w:val="bottom"/>
            <w:tcBorders>
              <w:bottom w:val="single" w:sz="8" w:color="D7282F"/>
            </w:tcBorders>
          </w:tcPr>
          <w:p>
            <w:pPr>
              <w:spacing w:after="0"/>
              <w:rPr>
                <w:sz w:val="20"/>
                <w:szCs w:val="20"/>
                <w:color w:val="auto"/>
              </w:rPr>
            </w:pPr>
          </w:p>
        </w:tc>
        <w:tc>
          <w:tcPr>
            <w:tcW w:w="160" w:type="dxa"/>
            <w:vAlign w:val="bottom"/>
            <w:tcBorders>
              <w:top w:val="single" w:sz="8" w:color="D7282F"/>
              <w:bottom w:val="single" w:sz="8" w:color="D7282F"/>
            </w:tcBorders>
          </w:tcPr>
          <w:p>
            <w:pPr>
              <w:spacing w:after="0"/>
              <w:rPr>
                <w:sz w:val="20"/>
                <w:szCs w:val="20"/>
                <w:color w:val="auto"/>
              </w:rPr>
            </w:pPr>
          </w:p>
        </w:tc>
        <w:tc>
          <w:tcPr>
            <w:tcW w:w="700" w:type="dxa"/>
            <w:vAlign w:val="bottom"/>
            <w:tcBorders>
              <w:top w:val="single" w:sz="8" w:color="D7282F"/>
              <w:bottom w:val="single" w:sz="8" w:color="D7282F"/>
            </w:tcBorders>
          </w:tcPr>
          <w:p>
            <w:pPr>
              <w:jc w:val="right"/>
              <w:ind w:right="248"/>
              <w:spacing w:after="0"/>
              <w:rPr>
                <w:sz w:val="20"/>
                <w:szCs w:val="20"/>
                <w:color w:val="auto"/>
              </w:rPr>
            </w:pPr>
            <w:r>
              <w:rPr>
                <w:rFonts w:ascii="Arial" w:cs="Arial" w:eastAsia="Arial" w:hAnsi="Arial"/>
                <w:sz w:val="14"/>
                <w:szCs w:val="14"/>
                <w:b w:val="1"/>
                <w:bCs w:val="1"/>
                <w:color w:val="auto"/>
              </w:rPr>
              <w:t>2024</w:t>
            </w:r>
          </w:p>
        </w:tc>
        <w:tc>
          <w:tcPr>
            <w:tcW w:w="300" w:type="dxa"/>
            <w:vAlign w:val="bottom"/>
            <w:tcBorders>
              <w:top w:val="single" w:sz="8" w:color="D7282F"/>
              <w:bottom w:val="single" w:sz="8" w:color="D7282F"/>
            </w:tcBorders>
          </w:tcPr>
          <w:p>
            <w:pPr>
              <w:spacing w:after="0"/>
              <w:rPr>
                <w:sz w:val="20"/>
                <w:szCs w:val="20"/>
                <w:color w:val="auto"/>
              </w:rPr>
            </w:pPr>
          </w:p>
        </w:tc>
        <w:tc>
          <w:tcPr>
            <w:tcW w:w="600" w:type="dxa"/>
            <w:vAlign w:val="bottom"/>
            <w:tcBorders>
              <w:top w:val="single" w:sz="8" w:color="D7282F"/>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bottom w:val="single" w:sz="8" w:color="D7282F"/>
            </w:tcBorders>
          </w:tcPr>
          <w:p>
            <w:pPr>
              <w:spacing w:after="0"/>
              <w:rPr>
                <w:sz w:val="20"/>
                <w:szCs w:val="20"/>
                <w:color w:val="auto"/>
              </w:rPr>
            </w:pPr>
          </w:p>
        </w:tc>
        <w:tc>
          <w:tcPr>
            <w:tcW w:w="160" w:type="dxa"/>
            <w:vAlign w:val="bottom"/>
            <w:tcBorders>
              <w:top w:val="single" w:sz="8" w:color="D7282F"/>
              <w:bottom w:val="single" w:sz="8" w:color="D7282F"/>
            </w:tcBorders>
          </w:tcPr>
          <w:p>
            <w:pPr>
              <w:spacing w:after="0"/>
              <w:rPr>
                <w:sz w:val="20"/>
                <w:szCs w:val="20"/>
                <w:color w:val="auto"/>
              </w:rPr>
            </w:pPr>
          </w:p>
        </w:tc>
        <w:tc>
          <w:tcPr>
            <w:tcW w:w="700" w:type="dxa"/>
            <w:vAlign w:val="bottom"/>
            <w:tcBorders>
              <w:top w:val="single" w:sz="8" w:color="D7282F"/>
              <w:bottom w:val="single" w:sz="8" w:color="D7282F"/>
            </w:tcBorders>
          </w:tcPr>
          <w:p>
            <w:pPr>
              <w:jc w:val="right"/>
              <w:ind w:right="248"/>
              <w:spacing w:after="0"/>
              <w:rPr>
                <w:sz w:val="20"/>
                <w:szCs w:val="20"/>
                <w:color w:val="auto"/>
              </w:rPr>
            </w:pPr>
            <w:r>
              <w:rPr>
                <w:rFonts w:ascii="Arial" w:cs="Arial" w:eastAsia="Arial" w:hAnsi="Arial"/>
                <w:sz w:val="14"/>
                <w:szCs w:val="14"/>
                <w:b w:val="1"/>
                <w:bCs w:val="1"/>
                <w:color w:val="auto"/>
              </w:rPr>
              <w:t>2024</w:t>
            </w:r>
          </w:p>
        </w:tc>
        <w:tc>
          <w:tcPr>
            <w:tcW w:w="300" w:type="dxa"/>
            <w:vAlign w:val="bottom"/>
            <w:tcBorders>
              <w:top w:val="single" w:sz="8" w:color="D7282F"/>
              <w:bottom w:val="single" w:sz="8" w:color="D7282F"/>
            </w:tcBorders>
          </w:tcPr>
          <w:p>
            <w:pPr>
              <w:spacing w:after="0"/>
              <w:rPr>
                <w:sz w:val="20"/>
                <w:szCs w:val="20"/>
                <w:color w:val="auto"/>
              </w:rPr>
            </w:pPr>
          </w:p>
        </w:tc>
        <w:tc>
          <w:tcPr>
            <w:tcW w:w="600" w:type="dxa"/>
            <w:vAlign w:val="bottom"/>
            <w:tcBorders>
              <w:top w:val="single" w:sz="8" w:color="D7282F"/>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2023</w:t>
            </w:r>
          </w:p>
        </w:tc>
      </w:tr>
      <w:tr>
        <w:trPr>
          <w:trHeight w:val="198"/>
        </w:trPr>
        <w:tc>
          <w:tcPr>
            <w:tcW w:w="7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Projected benefit obligation</w:t>
            </w:r>
          </w:p>
        </w:tc>
        <w:tc>
          <w:tcPr>
            <w:tcW w:w="1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236</w:t>
            </w:r>
          </w:p>
        </w:tc>
        <w:tc>
          <w:tcPr>
            <w:tcW w:w="3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251</w:t>
            </w:r>
          </w:p>
        </w:tc>
        <w:tc>
          <w:tcPr>
            <w:tcW w:w="240" w:type="dxa"/>
            <w:vAlign w:val="bottom"/>
            <w:tcBorders>
              <w:bottom w:val="single" w:sz="8" w:color="888B8D"/>
            </w:tcBorders>
          </w:tcPr>
          <w:p>
            <w:pPr>
              <w:spacing w:after="0"/>
              <w:rPr>
                <w:sz w:val="17"/>
                <w:szCs w:val="17"/>
                <w:color w:val="auto"/>
              </w:rPr>
            </w:pPr>
          </w:p>
        </w:tc>
        <w:tc>
          <w:tcPr>
            <w:tcW w:w="160" w:type="dxa"/>
            <w:vAlign w:val="bottom"/>
            <w:tcBorders>
              <w:bottom w:val="single" w:sz="8" w:color="888B8D"/>
            </w:tcBorders>
          </w:tcPr>
          <w:p>
            <w:pPr>
              <w:jc w:val="right"/>
              <w:ind w:right="8"/>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709</w:t>
            </w:r>
          </w:p>
        </w:tc>
        <w:tc>
          <w:tcPr>
            <w:tcW w:w="300" w:type="dxa"/>
            <w:vAlign w:val="bottom"/>
            <w:tcBorders>
              <w:bottom w:val="single" w:sz="8" w:color="888B8D"/>
            </w:tcBorders>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753</w:t>
            </w:r>
          </w:p>
        </w:tc>
      </w:tr>
      <w:tr>
        <w:trPr>
          <w:trHeight w:val="196"/>
        </w:trPr>
        <w:tc>
          <w:tcPr>
            <w:tcW w:w="7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Accumulated benefit obligation</w:t>
            </w:r>
          </w:p>
        </w:tc>
        <w:tc>
          <w:tcPr>
            <w:tcW w:w="160" w:type="dxa"/>
            <w:vAlign w:val="bottom"/>
            <w:tcBorders>
              <w:bottom w:val="single" w:sz="8" w:color="888B8D"/>
            </w:tcBorders>
          </w:tcPr>
          <w:p>
            <w:pPr>
              <w:spacing w:after="0"/>
              <w:rPr>
                <w:sz w:val="17"/>
                <w:szCs w:val="17"/>
                <w:color w:val="auto"/>
              </w:rPr>
            </w:pPr>
          </w:p>
        </w:tc>
        <w:tc>
          <w:tcPr>
            <w:tcW w:w="70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228</w:t>
            </w:r>
          </w:p>
        </w:tc>
        <w:tc>
          <w:tcPr>
            <w:tcW w:w="30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249</w:t>
            </w:r>
          </w:p>
        </w:tc>
        <w:tc>
          <w:tcPr>
            <w:tcW w:w="240" w:type="dxa"/>
            <w:vAlign w:val="bottom"/>
            <w:tcBorders>
              <w:bottom w:val="single" w:sz="8" w:color="888B8D"/>
            </w:tcBorders>
          </w:tcPr>
          <w:p>
            <w:pPr>
              <w:spacing w:after="0"/>
              <w:rPr>
                <w:sz w:val="17"/>
                <w:szCs w:val="17"/>
                <w:color w:val="auto"/>
              </w:rPr>
            </w:pPr>
          </w:p>
        </w:tc>
        <w:tc>
          <w:tcPr>
            <w:tcW w:w="160" w:type="dxa"/>
            <w:vAlign w:val="bottom"/>
            <w:tcBorders>
              <w:bottom w:val="single" w:sz="8" w:color="888B8D"/>
            </w:tcBorders>
          </w:tcPr>
          <w:p>
            <w:pPr>
              <w:spacing w:after="0"/>
              <w:rPr>
                <w:sz w:val="17"/>
                <w:szCs w:val="17"/>
                <w:color w:val="auto"/>
              </w:rPr>
            </w:pPr>
          </w:p>
        </w:tc>
        <w:tc>
          <w:tcPr>
            <w:tcW w:w="70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695</w:t>
            </w:r>
          </w:p>
        </w:tc>
        <w:tc>
          <w:tcPr>
            <w:tcW w:w="30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736</w:t>
            </w:r>
          </w:p>
        </w:tc>
      </w:tr>
      <w:tr>
        <w:trPr>
          <w:trHeight w:val="196"/>
        </w:trPr>
        <w:tc>
          <w:tcPr>
            <w:tcW w:w="74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Fair value of plan assets</w:t>
            </w:r>
          </w:p>
        </w:tc>
        <w:tc>
          <w:tcPr>
            <w:tcW w:w="16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D7282F"/>
            </w:tcBorders>
          </w:tcPr>
          <w:p>
            <w:pPr>
              <w:spacing w:after="0"/>
              <w:rPr>
                <w:sz w:val="17"/>
                <w:szCs w:val="17"/>
                <w:color w:val="auto"/>
              </w:rPr>
            </w:pPr>
          </w:p>
        </w:tc>
        <w:tc>
          <w:tcPr>
            <w:tcW w:w="840" w:type="dxa"/>
            <w:vAlign w:val="bottom"/>
            <w:tcBorders>
              <w:bottom w:val="single" w:sz="8" w:color="D7282F"/>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222</w:t>
            </w:r>
          </w:p>
        </w:tc>
        <w:tc>
          <w:tcPr>
            <w:tcW w:w="30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249</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accumulated benefit obligation for the Company's U.S. defined benefit pension plans was $11.8 billion and $12.8 billion and for the Company's non-U.S.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defined benefit pension plans was $4.1 billion and $4.7 billion as of December 31, 2024, and 2023, respectively.</w:t>
      </w:r>
    </w:p>
    <w:p>
      <w:pPr>
        <w:spacing w:after="0" w:line="11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Company's asset investment strategy for its U.S. pension plans focuses on maintaining a diversified portfolio using various asset classes in order to achieve the Company's long-term investment objectives on a risk adjusted basis. The Company's long-term target allocations are as follows: 45%-65% fixed income securities and cash, 25%-40% equity securities, 5%-10% real estate investments, and 10%-20% other types of investments. Fixed income securities include corporate bonds of companies from diversified industries, mortgage-backed securities, and U.S. Treasuries. Equity securities include publicly traded stock of companies and/or broad equity index exposures with exchange traded funds (ETFs) located inside the United States. Real estate investments include direct investments in commercial properties and investments in real estate funds. Other types of investments include investments in private equity that follow several different strategies. The Company reviews its assets on a regular basis to ensure that the Company is within the targeted asset allocation ranges and, if necessary, asset balances are adjusted back within target allocations.</w:t>
      </w:r>
    </w:p>
    <w:p>
      <w:pPr>
        <w:spacing w:after="0" w:line="7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Company's non-U.S. pension assets are typically managed by decentralized fiduciary committees with the Honeywell Corporate Investments group providing investment guidance. The Company's non-U.S. investment policies are different for each country as local regulations and financial and tax considerations are part of the funding and investment allocation process in each country.</w:t>
      </w:r>
    </w:p>
    <w:p>
      <w:pPr>
        <w:spacing w:after="0" w:line="5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 xml:space="preserve">In accordance with ASC Topic 820, </w:t>
      </w:r>
      <w:r>
        <w:rPr>
          <w:rFonts w:ascii="Arial" w:cs="Arial" w:eastAsia="Arial" w:hAnsi="Arial"/>
          <w:sz w:val="16"/>
          <w:szCs w:val="16"/>
          <w:i w:val="1"/>
          <w:iCs w:val="1"/>
          <w:color w:val="auto"/>
        </w:rPr>
        <w:t>Fair Value Measurement</w:t>
      </w:r>
      <w:r>
        <w:rPr>
          <w:rFonts w:ascii="Arial" w:cs="Arial" w:eastAsia="Arial" w:hAnsi="Arial"/>
          <w:sz w:val="16"/>
          <w:szCs w:val="16"/>
          <w:color w:val="auto"/>
        </w:rPr>
        <w:t>, certain investments that are measured at fair value using the net asset value (NAV) per share (or its equivalent) practical expedient have not been classified in the fair value hierarchy. The fair value amounts presented in the following tables are intended to permit reconciliation of the fair value hierarchy to the amounts presented for the total pension benefits plan assets.</w:t>
      </w:r>
    </w:p>
    <w:p>
      <w:pPr>
        <w:spacing w:after="0" w:line="395" w:lineRule="exact"/>
        <w:rPr>
          <w:sz w:val="20"/>
          <w:szCs w:val="20"/>
          <w:color w:val="auto"/>
        </w:rPr>
      </w:pPr>
    </w:p>
    <w:p>
      <w:pPr>
        <w:ind w:left="500" w:hanging="492"/>
        <w:spacing w:after="0"/>
        <w:tabs>
          <w:tab w:leader="none" w:pos="500" w:val="left"/>
        </w:tabs>
        <w:numPr>
          <w:ilvl w:val="0"/>
          <w:numId w:val="171"/>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07" w:name="page108"/>
    <w:bookmarkEnd w:id="107"/>
    <w:p>
      <w:pPr>
        <w:ind w:left="20"/>
        <w:spacing w:after="0"/>
        <w:tabs>
          <w:tab w:leader="none" w:pos="784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FINANCIAL STATEMENTS AND SUPPLEMENTARY DATA</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The fair values of both the Company's U.S. and non-U.S. pension plans assets by asset category are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480" w:type="dxa"/>
            <w:vAlign w:val="bottom"/>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spacing w:after="0"/>
              <w:rPr>
                <w:sz w:val="17"/>
                <w:szCs w:val="17"/>
                <w:color w:val="auto"/>
              </w:rPr>
            </w:pPr>
          </w:p>
        </w:tc>
        <w:tc>
          <w:tcPr>
            <w:tcW w:w="240" w:type="dxa"/>
            <w:vAlign w:val="bottom"/>
            <w:tcBorders>
              <w:bottom w:val="single" w:sz="8" w:color="D7282F"/>
            </w:tcBorders>
          </w:tcPr>
          <w:p>
            <w:pPr>
              <w:spacing w:after="0"/>
              <w:rPr>
                <w:sz w:val="17"/>
                <w:szCs w:val="17"/>
                <w:color w:val="auto"/>
              </w:rPr>
            </w:pPr>
          </w:p>
        </w:tc>
        <w:tc>
          <w:tcPr>
            <w:tcW w:w="120" w:type="dxa"/>
            <w:vAlign w:val="bottom"/>
            <w:tcBorders>
              <w:bottom w:val="single" w:sz="8" w:color="D7282F"/>
            </w:tcBorders>
          </w:tcPr>
          <w:p>
            <w:pPr>
              <w:spacing w:after="0"/>
              <w:rPr>
                <w:sz w:val="17"/>
                <w:szCs w:val="17"/>
                <w:color w:val="auto"/>
              </w:rPr>
            </w:pPr>
          </w:p>
        </w:tc>
        <w:tc>
          <w:tcPr>
            <w:tcW w:w="1880" w:type="dxa"/>
            <w:vAlign w:val="bottom"/>
            <w:tcBorders>
              <w:bottom w:val="single" w:sz="8" w:color="D7282F"/>
            </w:tcBorders>
            <w:gridSpan w:val="5"/>
          </w:tcPr>
          <w:p>
            <w:pPr>
              <w:jc w:val="center"/>
              <w:ind w:right="380"/>
              <w:spacing w:after="0"/>
              <w:rPr>
                <w:sz w:val="20"/>
                <w:szCs w:val="20"/>
                <w:color w:val="auto"/>
              </w:rPr>
            </w:pPr>
            <w:r>
              <w:rPr>
                <w:rFonts w:ascii="Arial" w:cs="Arial" w:eastAsia="Arial" w:hAnsi="Arial"/>
                <w:sz w:val="14"/>
                <w:szCs w:val="14"/>
                <w:b w:val="1"/>
                <w:bCs w:val="1"/>
                <w:color w:val="auto"/>
              </w:rPr>
              <w:t>U.S. Plans</w:t>
            </w:r>
          </w:p>
        </w:tc>
        <w:tc>
          <w:tcPr>
            <w:tcW w:w="10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spacing w:after="0"/>
              <w:rPr>
                <w:sz w:val="17"/>
                <w:szCs w:val="17"/>
                <w:color w:val="auto"/>
              </w:rPr>
            </w:pPr>
          </w:p>
        </w:tc>
      </w:tr>
      <w:tr>
        <w:trPr>
          <w:trHeight w:val="237"/>
        </w:trPr>
        <w:tc>
          <w:tcPr>
            <w:tcW w:w="7480" w:type="dxa"/>
            <w:vAlign w:val="bottom"/>
          </w:tcPr>
          <w:p>
            <w:pPr>
              <w:spacing w:after="0"/>
              <w:rPr>
                <w:sz w:val="20"/>
                <w:szCs w:val="20"/>
                <w:color w:val="auto"/>
              </w:rPr>
            </w:pPr>
          </w:p>
        </w:tc>
        <w:tc>
          <w:tcPr>
            <w:tcW w:w="160" w:type="dxa"/>
            <w:vAlign w:val="bottom"/>
            <w:tcBorders>
              <w:bottom w:val="single" w:sz="8" w:color="D7282F"/>
            </w:tcBorders>
          </w:tcPr>
          <w:p>
            <w:pPr>
              <w:spacing w:after="0"/>
              <w:rPr>
                <w:sz w:val="20"/>
                <w:szCs w:val="20"/>
                <w:color w:val="auto"/>
              </w:rPr>
            </w:pPr>
          </w:p>
        </w:tc>
        <w:tc>
          <w:tcPr>
            <w:tcW w:w="600" w:type="dxa"/>
            <w:vAlign w:val="bottom"/>
            <w:tcBorders>
              <w:bottom w:val="single" w:sz="8" w:color="D7282F"/>
            </w:tcBorders>
          </w:tcPr>
          <w:p>
            <w:pPr>
              <w:spacing w:after="0"/>
              <w:rPr>
                <w:sz w:val="20"/>
                <w:szCs w:val="20"/>
                <w:color w:val="auto"/>
              </w:rPr>
            </w:pPr>
          </w:p>
        </w:tc>
        <w:tc>
          <w:tcPr>
            <w:tcW w:w="240" w:type="dxa"/>
            <w:vAlign w:val="bottom"/>
            <w:tcBorders>
              <w:bottom w:val="single" w:sz="8" w:color="D7282F"/>
            </w:tcBorders>
          </w:tcPr>
          <w:p>
            <w:pPr>
              <w:spacing w:after="0"/>
              <w:rPr>
                <w:sz w:val="20"/>
                <w:szCs w:val="20"/>
                <w:color w:val="auto"/>
              </w:rPr>
            </w:pPr>
          </w:p>
        </w:tc>
        <w:tc>
          <w:tcPr>
            <w:tcW w:w="120" w:type="dxa"/>
            <w:vAlign w:val="bottom"/>
            <w:tcBorders>
              <w:bottom w:val="single" w:sz="8" w:color="D7282F"/>
            </w:tcBorders>
          </w:tcPr>
          <w:p>
            <w:pPr>
              <w:spacing w:after="0"/>
              <w:rPr>
                <w:sz w:val="20"/>
                <w:szCs w:val="20"/>
                <w:color w:val="auto"/>
              </w:rPr>
            </w:pPr>
          </w:p>
        </w:tc>
        <w:tc>
          <w:tcPr>
            <w:tcW w:w="1880" w:type="dxa"/>
            <w:vAlign w:val="bottom"/>
            <w:tcBorders>
              <w:bottom w:val="single" w:sz="8" w:color="D7282F"/>
            </w:tcBorders>
            <w:gridSpan w:val="5"/>
          </w:tcPr>
          <w:p>
            <w:pPr>
              <w:jc w:val="center"/>
              <w:ind w:right="380"/>
              <w:spacing w:after="0"/>
              <w:rPr>
                <w:sz w:val="20"/>
                <w:szCs w:val="20"/>
                <w:color w:val="auto"/>
              </w:rPr>
            </w:pPr>
            <w:r>
              <w:rPr>
                <w:rFonts w:ascii="Arial" w:cs="Arial" w:eastAsia="Arial" w:hAnsi="Arial"/>
                <w:sz w:val="14"/>
                <w:szCs w:val="14"/>
                <w:b w:val="1"/>
                <w:bCs w:val="1"/>
                <w:color w:val="auto"/>
              </w:rPr>
              <w:t>December 31, 2024</w:t>
            </w:r>
          </w:p>
        </w:tc>
        <w:tc>
          <w:tcPr>
            <w:tcW w:w="100" w:type="dxa"/>
            <w:vAlign w:val="bottom"/>
            <w:tcBorders>
              <w:bottom w:val="single" w:sz="8" w:color="D7282F"/>
            </w:tcBorders>
          </w:tcPr>
          <w:p>
            <w:pPr>
              <w:spacing w:after="0"/>
              <w:rPr>
                <w:sz w:val="20"/>
                <w:szCs w:val="20"/>
                <w:color w:val="auto"/>
              </w:rPr>
            </w:pPr>
          </w:p>
        </w:tc>
        <w:tc>
          <w:tcPr>
            <w:tcW w:w="660" w:type="dxa"/>
            <w:vAlign w:val="bottom"/>
            <w:tcBorders>
              <w:bottom w:val="single" w:sz="8" w:color="D7282F"/>
            </w:tcBorders>
          </w:tcPr>
          <w:p>
            <w:pPr>
              <w:spacing w:after="0"/>
              <w:rPr>
                <w:sz w:val="20"/>
                <w:szCs w:val="20"/>
                <w:color w:val="auto"/>
              </w:rPr>
            </w:pPr>
          </w:p>
        </w:tc>
      </w:tr>
      <w:tr>
        <w:trPr>
          <w:trHeight w:val="236"/>
        </w:trPr>
        <w:tc>
          <w:tcPr>
            <w:tcW w:w="7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20"/>
                <w:szCs w:val="20"/>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20"/>
                <w:szCs w:val="20"/>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20"/>
                <w:szCs w:val="20"/>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b w:val="1"/>
                <w:bCs w:val="1"/>
                <w:color w:val="auto"/>
              </w:rPr>
              <w:t>Level 3</w:t>
            </w:r>
          </w:p>
        </w:tc>
      </w:tr>
      <w:tr>
        <w:trPr>
          <w:trHeight w:val="199"/>
        </w:trPr>
        <w:tc>
          <w:tcPr>
            <w:tcW w:w="7480" w:type="dxa"/>
            <w:vAlign w:val="bottom"/>
            <w:tcBorders>
              <w:top w:val="single" w:sz="8" w:color="D7282F"/>
              <w:bottom w:val="single" w:sz="8" w:color="888B8D"/>
            </w:tcBorders>
          </w:tcPr>
          <w:p>
            <w:pPr>
              <w:ind w:left="20"/>
              <w:spacing w:after="0"/>
              <w:rPr>
                <w:sz w:val="20"/>
                <w:szCs w:val="20"/>
                <w:color w:val="auto"/>
              </w:rPr>
            </w:pPr>
            <w:r>
              <w:rPr>
                <w:rFonts w:ascii="Arial" w:cs="Arial" w:eastAsia="Arial" w:hAnsi="Arial"/>
                <w:sz w:val="14"/>
                <w:szCs w:val="14"/>
                <w:color w:val="auto"/>
              </w:rPr>
              <w:t>Equities</w:t>
            </w:r>
          </w:p>
        </w:tc>
        <w:tc>
          <w:tcPr>
            <w:tcW w:w="160" w:type="dxa"/>
            <w:vAlign w:val="bottom"/>
            <w:tcBorders>
              <w:top w:val="single" w:sz="8" w:color="D7282F"/>
              <w:bottom w:val="single" w:sz="8" w:color="888B8D"/>
            </w:tcBorders>
          </w:tcPr>
          <w:p>
            <w:pPr>
              <w:spacing w:after="0"/>
              <w:rPr>
                <w:sz w:val="17"/>
                <w:szCs w:val="17"/>
                <w:color w:val="auto"/>
              </w:rPr>
            </w:pPr>
          </w:p>
        </w:tc>
        <w:tc>
          <w:tcPr>
            <w:tcW w:w="600" w:type="dxa"/>
            <w:vAlign w:val="bottom"/>
            <w:tcBorders>
              <w:top w:val="single" w:sz="8" w:color="D7282F"/>
              <w:bottom w:val="single" w:sz="8" w:color="888B8D"/>
            </w:tcBorders>
          </w:tcPr>
          <w:p>
            <w:pPr>
              <w:spacing w:after="0"/>
              <w:rPr>
                <w:sz w:val="17"/>
                <w:szCs w:val="17"/>
                <w:color w:val="auto"/>
              </w:rPr>
            </w:pPr>
          </w:p>
        </w:tc>
        <w:tc>
          <w:tcPr>
            <w:tcW w:w="240" w:type="dxa"/>
            <w:vAlign w:val="bottom"/>
            <w:tcBorders>
              <w:top w:val="single" w:sz="8" w:color="DC202E"/>
              <w:bottom w:val="single" w:sz="8" w:color="888B8D"/>
            </w:tcBorders>
          </w:tcPr>
          <w:p>
            <w:pPr>
              <w:spacing w:after="0"/>
              <w:rPr>
                <w:sz w:val="17"/>
                <w:szCs w:val="17"/>
                <w:color w:val="auto"/>
              </w:rPr>
            </w:pPr>
          </w:p>
        </w:tc>
        <w:tc>
          <w:tcPr>
            <w:tcW w:w="120" w:type="dxa"/>
            <w:vAlign w:val="bottom"/>
            <w:tcBorders>
              <w:top w:val="single" w:sz="8" w:color="D7282F"/>
              <w:bottom w:val="single" w:sz="8" w:color="888B8D"/>
            </w:tcBorders>
          </w:tcPr>
          <w:p>
            <w:pPr>
              <w:spacing w:after="0"/>
              <w:rPr>
                <w:sz w:val="17"/>
                <w:szCs w:val="17"/>
                <w:color w:val="auto"/>
              </w:rPr>
            </w:pPr>
          </w:p>
        </w:tc>
        <w:tc>
          <w:tcPr>
            <w:tcW w:w="640" w:type="dxa"/>
            <w:vAlign w:val="bottom"/>
            <w:tcBorders>
              <w:top w:val="single" w:sz="8" w:color="D7282F"/>
              <w:bottom w:val="single" w:sz="8" w:color="888B8D"/>
            </w:tcBorders>
          </w:tcPr>
          <w:p>
            <w:pPr>
              <w:spacing w:after="0"/>
              <w:rPr>
                <w:sz w:val="17"/>
                <w:szCs w:val="17"/>
                <w:color w:val="auto"/>
              </w:rPr>
            </w:pPr>
          </w:p>
        </w:tc>
        <w:tc>
          <w:tcPr>
            <w:tcW w:w="240" w:type="dxa"/>
            <w:vAlign w:val="bottom"/>
            <w:tcBorders>
              <w:top w:val="single" w:sz="8" w:color="DC202E"/>
              <w:bottom w:val="single" w:sz="8" w:color="888B8D"/>
            </w:tcBorders>
          </w:tcPr>
          <w:p>
            <w:pPr>
              <w:spacing w:after="0"/>
              <w:rPr>
                <w:sz w:val="17"/>
                <w:szCs w:val="17"/>
                <w:color w:val="auto"/>
              </w:rPr>
            </w:pPr>
          </w:p>
        </w:tc>
        <w:tc>
          <w:tcPr>
            <w:tcW w:w="120" w:type="dxa"/>
            <w:vAlign w:val="bottom"/>
            <w:tcBorders>
              <w:top w:val="single" w:sz="8" w:color="D7282F"/>
              <w:bottom w:val="single" w:sz="8" w:color="888B8D"/>
            </w:tcBorders>
          </w:tcPr>
          <w:p>
            <w:pPr>
              <w:spacing w:after="0"/>
              <w:rPr>
                <w:sz w:val="17"/>
                <w:szCs w:val="17"/>
                <w:color w:val="auto"/>
              </w:rPr>
            </w:pPr>
          </w:p>
        </w:tc>
        <w:tc>
          <w:tcPr>
            <w:tcW w:w="640" w:type="dxa"/>
            <w:vAlign w:val="bottom"/>
            <w:tcBorders>
              <w:top w:val="single" w:sz="8" w:color="D7282F"/>
              <w:bottom w:val="single" w:sz="8" w:color="888B8D"/>
            </w:tcBorders>
          </w:tcPr>
          <w:p>
            <w:pPr>
              <w:spacing w:after="0"/>
              <w:rPr>
                <w:sz w:val="17"/>
                <w:szCs w:val="17"/>
                <w:color w:val="auto"/>
              </w:rPr>
            </w:pPr>
          </w:p>
        </w:tc>
        <w:tc>
          <w:tcPr>
            <w:tcW w:w="240" w:type="dxa"/>
            <w:vAlign w:val="bottom"/>
            <w:tcBorders>
              <w:top w:val="single" w:sz="8" w:color="DC202E"/>
              <w:bottom w:val="single" w:sz="8" w:color="888B8D"/>
            </w:tcBorders>
          </w:tcPr>
          <w:p>
            <w:pPr>
              <w:spacing w:after="0"/>
              <w:rPr>
                <w:sz w:val="17"/>
                <w:szCs w:val="17"/>
                <w:color w:val="auto"/>
              </w:rPr>
            </w:pPr>
          </w:p>
        </w:tc>
        <w:tc>
          <w:tcPr>
            <w:tcW w:w="100" w:type="dxa"/>
            <w:vAlign w:val="bottom"/>
            <w:tcBorders>
              <w:top w:val="single" w:sz="8" w:color="D7282F"/>
              <w:bottom w:val="single" w:sz="8" w:color="888B8D"/>
            </w:tcBorders>
          </w:tcPr>
          <w:p>
            <w:pPr>
              <w:spacing w:after="0"/>
              <w:rPr>
                <w:sz w:val="17"/>
                <w:szCs w:val="17"/>
                <w:color w:val="auto"/>
              </w:rPr>
            </w:pPr>
          </w:p>
        </w:tc>
        <w:tc>
          <w:tcPr>
            <w:tcW w:w="660" w:type="dxa"/>
            <w:vAlign w:val="bottom"/>
            <w:tcBorders>
              <w:top w:val="single" w:sz="8" w:color="D7282F"/>
              <w:bottom w:val="single" w:sz="8" w:color="888B8D"/>
            </w:tcBorders>
          </w:tcPr>
          <w:p>
            <w:pPr>
              <w:spacing w:after="0"/>
              <w:rPr>
                <w:sz w:val="17"/>
                <w:szCs w:val="17"/>
                <w:color w:val="auto"/>
              </w:rPr>
            </w:pPr>
          </w:p>
        </w:tc>
      </w:tr>
      <w:tr>
        <w:trPr>
          <w:trHeight w:val="196"/>
        </w:trPr>
        <w:tc>
          <w:tcPr>
            <w:tcW w:w="748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Honeywell common stock</w:t>
            </w:r>
          </w:p>
        </w:tc>
        <w:tc>
          <w:tcPr>
            <w:tcW w:w="1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3,283</w:t>
            </w:r>
          </w:p>
        </w:tc>
        <w:tc>
          <w:tcPr>
            <w:tcW w:w="240" w:type="dxa"/>
            <w:vAlign w:val="bottom"/>
            <w:tcBorders>
              <w:bottom w:val="single" w:sz="8" w:color="888B8D"/>
            </w:tcBorders>
          </w:tcPr>
          <w:p>
            <w:pPr>
              <w:spacing w:after="0"/>
              <w:rPr>
                <w:sz w:val="17"/>
                <w:szCs w:val="17"/>
                <w:color w:val="auto"/>
              </w:rPr>
            </w:pPr>
          </w:p>
        </w:tc>
        <w:tc>
          <w:tcPr>
            <w:tcW w:w="12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3,283</w:t>
            </w:r>
          </w:p>
        </w:tc>
        <w:tc>
          <w:tcPr>
            <w:tcW w:w="240" w:type="dxa"/>
            <w:vAlign w:val="bottom"/>
            <w:tcBorders>
              <w:bottom w:val="single" w:sz="8" w:color="888B8D"/>
            </w:tcBorders>
          </w:tcPr>
          <w:p>
            <w:pPr>
              <w:spacing w:after="0"/>
              <w:rPr>
                <w:sz w:val="17"/>
                <w:szCs w:val="17"/>
                <w:color w:val="auto"/>
              </w:rPr>
            </w:pPr>
          </w:p>
        </w:tc>
        <w:tc>
          <w:tcPr>
            <w:tcW w:w="12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888B8D"/>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748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U.S. equities</w:t>
            </w:r>
          </w:p>
        </w:tc>
        <w:tc>
          <w:tcPr>
            <w:tcW w:w="16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819</w:t>
            </w:r>
          </w:p>
        </w:tc>
        <w:tc>
          <w:tcPr>
            <w:tcW w:w="240" w:type="dxa"/>
            <w:vAlign w:val="bottom"/>
            <w:tcBorders>
              <w:bottom w:val="single" w:sz="8" w:color="888B8D"/>
            </w:tcBorders>
          </w:tcPr>
          <w:p>
            <w:pPr>
              <w:spacing w:after="0"/>
              <w:rPr>
                <w:sz w:val="17"/>
                <w:szCs w:val="17"/>
                <w:color w:val="auto"/>
              </w:rPr>
            </w:pPr>
          </w:p>
        </w:tc>
        <w:tc>
          <w:tcPr>
            <w:tcW w:w="120" w:type="dxa"/>
            <w:vAlign w:val="bottom"/>
            <w:tcBorders>
              <w:bottom w:val="single" w:sz="8" w:color="888B8D"/>
            </w:tcBorders>
          </w:tcPr>
          <w:p>
            <w:pPr>
              <w:spacing w:after="0"/>
              <w:rPr>
                <w:sz w:val="17"/>
                <w:szCs w:val="17"/>
                <w:color w:val="auto"/>
              </w:rPr>
            </w:pPr>
          </w:p>
        </w:tc>
        <w:tc>
          <w:tcPr>
            <w:tcW w:w="6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819</w:t>
            </w:r>
          </w:p>
        </w:tc>
        <w:tc>
          <w:tcPr>
            <w:tcW w:w="240" w:type="dxa"/>
            <w:vAlign w:val="bottom"/>
            <w:tcBorders>
              <w:bottom w:val="single" w:sz="8" w:color="888B8D"/>
            </w:tcBorders>
          </w:tcPr>
          <w:p>
            <w:pPr>
              <w:spacing w:after="0"/>
              <w:rPr>
                <w:sz w:val="17"/>
                <w:szCs w:val="17"/>
                <w:color w:val="auto"/>
              </w:rPr>
            </w:pPr>
          </w:p>
        </w:tc>
        <w:tc>
          <w:tcPr>
            <w:tcW w:w="120" w:type="dxa"/>
            <w:vAlign w:val="bottom"/>
            <w:tcBorders>
              <w:bottom w:val="single" w:sz="8" w:color="888B8D"/>
            </w:tcBorders>
          </w:tcPr>
          <w:p>
            <w:pPr>
              <w:spacing w:after="0"/>
              <w:rPr>
                <w:sz w:val="17"/>
                <w:szCs w:val="17"/>
                <w:color w:val="auto"/>
              </w:rPr>
            </w:pPr>
          </w:p>
        </w:tc>
        <w:tc>
          <w:tcPr>
            <w:tcW w:w="880" w:type="dxa"/>
            <w:vAlign w:val="bottom"/>
            <w:tcBorders>
              <w:bottom w:val="single" w:sz="8" w:color="888B8D"/>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888B8D"/>
            </w:tcBorders>
          </w:tcPr>
          <w:p>
            <w:pPr>
              <w:spacing w:after="0"/>
              <w:rPr>
                <w:sz w:val="17"/>
                <w:szCs w:val="17"/>
                <w:color w:val="auto"/>
              </w:rPr>
            </w:pPr>
          </w:p>
        </w:tc>
        <w:tc>
          <w:tcPr>
            <w:tcW w:w="6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7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Fixed income</w:t>
            </w:r>
          </w:p>
        </w:tc>
        <w:tc>
          <w:tcPr>
            <w:tcW w:w="16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spacing w:after="0"/>
              <w:rPr>
                <w:sz w:val="17"/>
                <w:szCs w:val="17"/>
                <w:color w:val="auto"/>
              </w:rPr>
            </w:pPr>
          </w:p>
        </w:tc>
        <w:tc>
          <w:tcPr>
            <w:tcW w:w="240" w:type="dxa"/>
            <w:vAlign w:val="bottom"/>
            <w:tcBorders>
              <w:bottom w:val="single" w:sz="8" w:color="888B8D"/>
            </w:tcBorders>
          </w:tcPr>
          <w:p>
            <w:pPr>
              <w:spacing w:after="0"/>
              <w:rPr>
                <w:sz w:val="17"/>
                <w:szCs w:val="17"/>
                <w:color w:val="auto"/>
              </w:rPr>
            </w:pPr>
          </w:p>
        </w:tc>
        <w:tc>
          <w:tcPr>
            <w:tcW w:w="120" w:type="dxa"/>
            <w:vAlign w:val="bottom"/>
            <w:tcBorders>
              <w:bottom w:val="single" w:sz="8" w:color="888B8D"/>
            </w:tcBorders>
          </w:tcPr>
          <w:p>
            <w:pPr>
              <w:spacing w:after="0"/>
              <w:rPr>
                <w:sz w:val="17"/>
                <w:szCs w:val="17"/>
                <w:color w:val="auto"/>
              </w:rPr>
            </w:pPr>
          </w:p>
        </w:tc>
        <w:tc>
          <w:tcPr>
            <w:tcW w:w="640" w:type="dxa"/>
            <w:vAlign w:val="bottom"/>
            <w:tcBorders>
              <w:bottom w:val="single" w:sz="8" w:color="888B8D"/>
            </w:tcBorders>
          </w:tcPr>
          <w:p>
            <w:pPr>
              <w:spacing w:after="0"/>
              <w:rPr>
                <w:sz w:val="17"/>
                <w:szCs w:val="17"/>
                <w:color w:val="auto"/>
              </w:rPr>
            </w:pPr>
          </w:p>
        </w:tc>
        <w:tc>
          <w:tcPr>
            <w:tcW w:w="240" w:type="dxa"/>
            <w:vAlign w:val="bottom"/>
            <w:tcBorders>
              <w:bottom w:val="single" w:sz="8" w:color="888B8D"/>
            </w:tcBorders>
          </w:tcPr>
          <w:p>
            <w:pPr>
              <w:spacing w:after="0"/>
              <w:rPr>
                <w:sz w:val="17"/>
                <w:szCs w:val="17"/>
                <w:color w:val="auto"/>
              </w:rPr>
            </w:pPr>
          </w:p>
        </w:tc>
        <w:tc>
          <w:tcPr>
            <w:tcW w:w="120" w:type="dxa"/>
            <w:vAlign w:val="bottom"/>
            <w:tcBorders>
              <w:bottom w:val="single" w:sz="8" w:color="888B8D"/>
            </w:tcBorders>
          </w:tcPr>
          <w:p>
            <w:pPr>
              <w:spacing w:after="0"/>
              <w:rPr>
                <w:sz w:val="17"/>
                <w:szCs w:val="17"/>
                <w:color w:val="auto"/>
              </w:rPr>
            </w:pPr>
          </w:p>
        </w:tc>
        <w:tc>
          <w:tcPr>
            <w:tcW w:w="640" w:type="dxa"/>
            <w:vAlign w:val="bottom"/>
            <w:tcBorders>
              <w:bottom w:val="single" w:sz="8" w:color="888B8D"/>
            </w:tcBorders>
          </w:tcPr>
          <w:p>
            <w:pPr>
              <w:spacing w:after="0"/>
              <w:rPr>
                <w:sz w:val="17"/>
                <w:szCs w:val="17"/>
                <w:color w:val="auto"/>
              </w:rPr>
            </w:pPr>
          </w:p>
        </w:tc>
        <w:tc>
          <w:tcPr>
            <w:tcW w:w="240" w:type="dxa"/>
            <w:vAlign w:val="bottom"/>
            <w:tcBorders>
              <w:bottom w:val="single" w:sz="8" w:color="888B8D"/>
            </w:tcBorders>
          </w:tcPr>
          <w:p>
            <w:pPr>
              <w:spacing w:after="0"/>
              <w:rPr>
                <w:sz w:val="17"/>
                <w:szCs w:val="17"/>
                <w:color w:val="auto"/>
              </w:rPr>
            </w:pPr>
          </w:p>
        </w:tc>
        <w:tc>
          <w:tcPr>
            <w:tcW w:w="100" w:type="dxa"/>
            <w:vAlign w:val="bottom"/>
            <w:tcBorders>
              <w:bottom w:val="single" w:sz="8" w:color="888B8D"/>
            </w:tcBorders>
          </w:tcPr>
          <w:p>
            <w:pPr>
              <w:spacing w:after="0"/>
              <w:rPr>
                <w:sz w:val="17"/>
                <w:szCs w:val="17"/>
                <w:color w:val="auto"/>
              </w:rPr>
            </w:pPr>
          </w:p>
        </w:tc>
        <w:tc>
          <w:tcPr>
            <w:tcW w:w="660" w:type="dxa"/>
            <w:vAlign w:val="bottom"/>
            <w:tcBorders>
              <w:bottom w:val="single" w:sz="8" w:color="888B8D"/>
            </w:tcBorders>
          </w:tcPr>
          <w:p>
            <w:pPr>
              <w:spacing w:after="0"/>
              <w:rPr>
                <w:sz w:val="17"/>
                <w:szCs w:val="17"/>
                <w:color w:val="auto"/>
              </w:rPr>
            </w:pPr>
          </w:p>
        </w:tc>
      </w:tr>
      <w:tr>
        <w:trPr>
          <w:trHeight w:val="196"/>
        </w:trPr>
        <w:tc>
          <w:tcPr>
            <w:tcW w:w="748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Short-term investments</w:t>
            </w:r>
          </w:p>
        </w:tc>
        <w:tc>
          <w:tcPr>
            <w:tcW w:w="16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776</w:t>
            </w:r>
          </w:p>
        </w:tc>
        <w:tc>
          <w:tcPr>
            <w:tcW w:w="240" w:type="dxa"/>
            <w:vAlign w:val="bottom"/>
            <w:tcBorders>
              <w:bottom w:val="single" w:sz="8" w:color="888B8D"/>
            </w:tcBorders>
          </w:tcPr>
          <w:p>
            <w:pPr>
              <w:spacing w:after="0"/>
              <w:rPr>
                <w:sz w:val="17"/>
                <w:szCs w:val="17"/>
                <w:color w:val="auto"/>
              </w:rPr>
            </w:pPr>
          </w:p>
        </w:tc>
        <w:tc>
          <w:tcPr>
            <w:tcW w:w="120" w:type="dxa"/>
            <w:vAlign w:val="bottom"/>
            <w:tcBorders>
              <w:bottom w:val="single" w:sz="8" w:color="888B8D"/>
            </w:tcBorders>
          </w:tcPr>
          <w:p>
            <w:pPr>
              <w:spacing w:after="0"/>
              <w:rPr>
                <w:sz w:val="17"/>
                <w:szCs w:val="17"/>
                <w:color w:val="auto"/>
              </w:rPr>
            </w:pPr>
          </w:p>
        </w:tc>
        <w:tc>
          <w:tcPr>
            <w:tcW w:w="6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83</w:t>
            </w:r>
          </w:p>
        </w:tc>
        <w:tc>
          <w:tcPr>
            <w:tcW w:w="240" w:type="dxa"/>
            <w:vAlign w:val="bottom"/>
            <w:tcBorders>
              <w:bottom w:val="single" w:sz="8" w:color="888B8D"/>
            </w:tcBorders>
          </w:tcPr>
          <w:p>
            <w:pPr>
              <w:spacing w:after="0"/>
              <w:rPr>
                <w:sz w:val="17"/>
                <w:szCs w:val="17"/>
                <w:color w:val="auto"/>
              </w:rPr>
            </w:pPr>
          </w:p>
        </w:tc>
        <w:tc>
          <w:tcPr>
            <w:tcW w:w="120" w:type="dxa"/>
            <w:vAlign w:val="bottom"/>
            <w:tcBorders>
              <w:bottom w:val="single" w:sz="8" w:color="888B8D"/>
            </w:tcBorders>
          </w:tcPr>
          <w:p>
            <w:pPr>
              <w:spacing w:after="0"/>
              <w:rPr>
                <w:sz w:val="17"/>
                <w:szCs w:val="17"/>
                <w:color w:val="auto"/>
              </w:rPr>
            </w:pPr>
          </w:p>
        </w:tc>
        <w:tc>
          <w:tcPr>
            <w:tcW w:w="6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693</w:t>
            </w:r>
          </w:p>
        </w:tc>
        <w:tc>
          <w:tcPr>
            <w:tcW w:w="240" w:type="dxa"/>
            <w:vAlign w:val="bottom"/>
            <w:tcBorders>
              <w:bottom w:val="single" w:sz="8" w:color="888B8D"/>
            </w:tcBorders>
          </w:tcPr>
          <w:p>
            <w:pPr>
              <w:spacing w:after="0"/>
              <w:rPr>
                <w:sz w:val="17"/>
                <w:szCs w:val="17"/>
                <w:color w:val="auto"/>
              </w:rPr>
            </w:pPr>
          </w:p>
        </w:tc>
        <w:tc>
          <w:tcPr>
            <w:tcW w:w="100" w:type="dxa"/>
            <w:vAlign w:val="bottom"/>
            <w:tcBorders>
              <w:bottom w:val="single" w:sz="8" w:color="888B8D"/>
            </w:tcBorders>
          </w:tcPr>
          <w:p>
            <w:pPr>
              <w:spacing w:after="0"/>
              <w:rPr>
                <w:sz w:val="17"/>
                <w:szCs w:val="17"/>
                <w:color w:val="auto"/>
              </w:rPr>
            </w:pPr>
          </w:p>
        </w:tc>
        <w:tc>
          <w:tcPr>
            <w:tcW w:w="6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748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Government securities</w:t>
            </w:r>
          </w:p>
        </w:tc>
        <w:tc>
          <w:tcPr>
            <w:tcW w:w="16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2,142</w:t>
            </w:r>
          </w:p>
        </w:tc>
        <w:tc>
          <w:tcPr>
            <w:tcW w:w="240" w:type="dxa"/>
            <w:vAlign w:val="bottom"/>
            <w:tcBorders>
              <w:bottom w:val="single" w:sz="8" w:color="888B8D"/>
            </w:tcBorders>
          </w:tcPr>
          <w:p>
            <w:pPr>
              <w:spacing w:after="0"/>
              <w:rPr>
                <w:sz w:val="17"/>
                <w:szCs w:val="17"/>
                <w:color w:val="auto"/>
              </w:rPr>
            </w:pPr>
          </w:p>
        </w:tc>
        <w:tc>
          <w:tcPr>
            <w:tcW w:w="120" w:type="dxa"/>
            <w:vAlign w:val="bottom"/>
            <w:tcBorders>
              <w:bottom w:val="single" w:sz="8" w:color="888B8D"/>
            </w:tcBorders>
          </w:tcPr>
          <w:p>
            <w:pPr>
              <w:spacing w:after="0"/>
              <w:rPr>
                <w:sz w:val="17"/>
                <w:szCs w:val="17"/>
                <w:color w:val="auto"/>
              </w:rPr>
            </w:pPr>
          </w:p>
        </w:tc>
        <w:tc>
          <w:tcPr>
            <w:tcW w:w="880" w:type="dxa"/>
            <w:vAlign w:val="bottom"/>
            <w:tcBorders>
              <w:bottom w:val="single" w:sz="8" w:color="888B8D"/>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888B8D"/>
            </w:tcBorders>
          </w:tcPr>
          <w:p>
            <w:pPr>
              <w:spacing w:after="0"/>
              <w:rPr>
                <w:sz w:val="17"/>
                <w:szCs w:val="17"/>
                <w:color w:val="auto"/>
              </w:rPr>
            </w:pPr>
          </w:p>
        </w:tc>
        <w:tc>
          <w:tcPr>
            <w:tcW w:w="6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2,142</w:t>
            </w:r>
          </w:p>
        </w:tc>
        <w:tc>
          <w:tcPr>
            <w:tcW w:w="240" w:type="dxa"/>
            <w:vAlign w:val="bottom"/>
            <w:tcBorders>
              <w:bottom w:val="single" w:sz="8" w:color="888B8D"/>
            </w:tcBorders>
          </w:tcPr>
          <w:p>
            <w:pPr>
              <w:spacing w:after="0"/>
              <w:rPr>
                <w:sz w:val="17"/>
                <w:szCs w:val="17"/>
                <w:color w:val="auto"/>
              </w:rPr>
            </w:pPr>
          </w:p>
        </w:tc>
        <w:tc>
          <w:tcPr>
            <w:tcW w:w="100" w:type="dxa"/>
            <w:vAlign w:val="bottom"/>
            <w:tcBorders>
              <w:bottom w:val="single" w:sz="8" w:color="888B8D"/>
            </w:tcBorders>
          </w:tcPr>
          <w:p>
            <w:pPr>
              <w:spacing w:after="0"/>
              <w:rPr>
                <w:sz w:val="17"/>
                <w:szCs w:val="17"/>
                <w:color w:val="auto"/>
              </w:rPr>
            </w:pPr>
          </w:p>
        </w:tc>
        <w:tc>
          <w:tcPr>
            <w:tcW w:w="6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748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Corporate bonds</w:t>
            </w:r>
          </w:p>
        </w:tc>
        <w:tc>
          <w:tcPr>
            <w:tcW w:w="16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5,104</w:t>
            </w:r>
          </w:p>
        </w:tc>
        <w:tc>
          <w:tcPr>
            <w:tcW w:w="240" w:type="dxa"/>
            <w:vAlign w:val="bottom"/>
            <w:tcBorders>
              <w:bottom w:val="single" w:sz="8" w:color="888B8D"/>
            </w:tcBorders>
          </w:tcPr>
          <w:p>
            <w:pPr>
              <w:spacing w:after="0"/>
              <w:rPr>
                <w:sz w:val="17"/>
                <w:szCs w:val="17"/>
                <w:color w:val="auto"/>
              </w:rPr>
            </w:pPr>
          </w:p>
        </w:tc>
        <w:tc>
          <w:tcPr>
            <w:tcW w:w="120" w:type="dxa"/>
            <w:vAlign w:val="bottom"/>
            <w:tcBorders>
              <w:bottom w:val="single" w:sz="8" w:color="888B8D"/>
            </w:tcBorders>
          </w:tcPr>
          <w:p>
            <w:pPr>
              <w:spacing w:after="0"/>
              <w:rPr>
                <w:sz w:val="17"/>
                <w:szCs w:val="17"/>
                <w:color w:val="auto"/>
              </w:rPr>
            </w:pPr>
          </w:p>
        </w:tc>
        <w:tc>
          <w:tcPr>
            <w:tcW w:w="6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230</w:t>
            </w:r>
          </w:p>
        </w:tc>
        <w:tc>
          <w:tcPr>
            <w:tcW w:w="240" w:type="dxa"/>
            <w:vAlign w:val="bottom"/>
            <w:tcBorders>
              <w:bottom w:val="single" w:sz="8" w:color="888B8D"/>
            </w:tcBorders>
          </w:tcPr>
          <w:p>
            <w:pPr>
              <w:spacing w:after="0"/>
              <w:rPr>
                <w:sz w:val="17"/>
                <w:szCs w:val="17"/>
                <w:color w:val="auto"/>
              </w:rPr>
            </w:pPr>
          </w:p>
        </w:tc>
        <w:tc>
          <w:tcPr>
            <w:tcW w:w="120" w:type="dxa"/>
            <w:vAlign w:val="bottom"/>
            <w:tcBorders>
              <w:bottom w:val="single" w:sz="8" w:color="888B8D"/>
            </w:tcBorders>
          </w:tcPr>
          <w:p>
            <w:pPr>
              <w:spacing w:after="0"/>
              <w:rPr>
                <w:sz w:val="17"/>
                <w:szCs w:val="17"/>
                <w:color w:val="auto"/>
              </w:rPr>
            </w:pPr>
          </w:p>
        </w:tc>
        <w:tc>
          <w:tcPr>
            <w:tcW w:w="6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4,874</w:t>
            </w:r>
          </w:p>
        </w:tc>
        <w:tc>
          <w:tcPr>
            <w:tcW w:w="240" w:type="dxa"/>
            <w:vAlign w:val="bottom"/>
            <w:tcBorders>
              <w:bottom w:val="single" w:sz="8" w:color="888B8D"/>
            </w:tcBorders>
          </w:tcPr>
          <w:p>
            <w:pPr>
              <w:spacing w:after="0"/>
              <w:rPr>
                <w:sz w:val="17"/>
                <w:szCs w:val="17"/>
                <w:color w:val="auto"/>
              </w:rPr>
            </w:pPr>
          </w:p>
        </w:tc>
        <w:tc>
          <w:tcPr>
            <w:tcW w:w="100" w:type="dxa"/>
            <w:vAlign w:val="bottom"/>
            <w:tcBorders>
              <w:bottom w:val="single" w:sz="8" w:color="888B8D"/>
            </w:tcBorders>
          </w:tcPr>
          <w:p>
            <w:pPr>
              <w:spacing w:after="0"/>
              <w:rPr>
                <w:sz w:val="17"/>
                <w:szCs w:val="17"/>
                <w:color w:val="auto"/>
              </w:rPr>
            </w:pPr>
          </w:p>
        </w:tc>
        <w:tc>
          <w:tcPr>
            <w:tcW w:w="6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748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Mortgage/Asset-backed securities</w:t>
            </w:r>
          </w:p>
        </w:tc>
        <w:tc>
          <w:tcPr>
            <w:tcW w:w="16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790</w:t>
            </w:r>
          </w:p>
        </w:tc>
        <w:tc>
          <w:tcPr>
            <w:tcW w:w="240" w:type="dxa"/>
            <w:vAlign w:val="bottom"/>
            <w:tcBorders>
              <w:bottom w:val="single" w:sz="8" w:color="888B8D"/>
            </w:tcBorders>
          </w:tcPr>
          <w:p>
            <w:pPr>
              <w:spacing w:after="0"/>
              <w:rPr>
                <w:sz w:val="17"/>
                <w:szCs w:val="17"/>
                <w:color w:val="auto"/>
              </w:rPr>
            </w:pPr>
          </w:p>
        </w:tc>
        <w:tc>
          <w:tcPr>
            <w:tcW w:w="120" w:type="dxa"/>
            <w:vAlign w:val="bottom"/>
            <w:tcBorders>
              <w:bottom w:val="single" w:sz="8" w:color="888B8D"/>
            </w:tcBorders>
          </w:tcPr>
          <w:p>
            <w:pPr>
              <w:spacing w:after="0"/>
              <w:rPr>
                <w:sz w:val="17"/>
                <w:szCs w:val="17"/>
                <w:color w:val="auto"/>
              </w:rPr>
            </w:pPr>
          </w:p>
        </w:tc>
        <w:tc>
          <w:tcPr>
            <w:tcW w:w="880" w:type="dxa"/>
            <w:vAlign w:val="bottom"/>
            <w:tcBorders>
              <w:bottom w:val="single" w:sz="8" w:color="888B8D"/>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888B8D"/>
            </w:tcBorders>
          </w:tcPr>
          <w:p>
            <w:pPr>
              <w:spacing w:after="0"/>
              <w:rPr>
                <w:sz w:val="17"/>
                <w:szCs w:val="17"/>
                <w:color w:val="auto"/>
              </w:rPr>
            </w:pPr>
          </w:p>
        </w:tc>
        <w:tc>
          <w:tcPr>
            <w:tcW w:w="6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790</w:t>
            </w:r>
          </w:p>
        </w:tc>
        <w:tc>
          <w:tcPr>
            <w:tcW w:w="240" w:type="dxa"/>
            <w:vAlign w:val="bottom"/>
            <w:tcBorders>
              <w:bottom w:val="single" w:sz="8" w:color="888B8D"/>
            </w:tcBorders>
          </w:tcPr>
          <w:p>
            <w:pPr>
              <w:spacing w:after="0"/>
              <w:rPr>
                <w:sz w:val="17"/>
                <w:szCs w:val="17"/>
                <w:color w:val="auto"/>
              </w:rPr>
            </w:pPr>
          </w:p>
        </w:tc>
        <w:tc>
          <w:tcPr>
            <w:tcW w:w="100" w:type="dxa"/>
            <w:vAlign w:val="bottom"/>
            <w:tcBorders>
              <w:bottom w:val="single" w:sz="8" w:color="888B8D"/>
            </w:tcBorders>
          </w:tcPr>
          <w:p>
            <w:pPr>
              <w:spacing w:after="0"/>
              <w:rPr>
                <w:sz w:val="17"/>
                <w:szCs w:val="17"/>
                <w:color w:val="auto"/>
              </w:rPr>
            </w:pPr>
          </w:p>
        </w:tc>
        <w:tc>
          <w:tcPr>
            <w:tcW w:w="6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748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Insurance contracts</w:t>
            </w:r>
          </w:p>
        </w:tc>
        <w:tc>
          <w:tcPr>
            <w:tcW w:w="16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7</w:t>
            </w:r>
          </w:p>
        </w:tc>
        <w:tc>
          <w:tcPr>
            <w:tcW w:w="240" w:type="dxa"/>
            <w:vAlign w:val="bottom"/>
            <w:tcBorders>
              <w:bottom w:val="single" w:sz="8" w:color="888B8D"/>
            </w:tcBorders>
          </w:tcPr>
          <w:p>
            <w:pPr>
              <w:spacing w:after="0"/>
              <w:rPr>
                <w:sz w:val="17"/>
                <w:szCs w:val="17"/>
                <w:color w:val="auto"/>
              </w:rPr>
            </w:pPr>
          </w:p>
        </w:tc>
        <w:tc>
          <w:tcPr>
            <w:tcW w:w="120" w:type="dxa"/>
            <w:vAlign w:val="bottom"/>
            <w:tcBorders>
              <w:bottom w:val="single" w:sz="8" w:color="888B8D"/>
            </w:tcBorders>
          </w:tcPr>
          <w:p>
            <w:pPr>
              <w:spacing w:after="0"/>
              <w:rPr>
                <w:sz w:val="17"/>
                <w:szCs w:val="17"/>
                <w:color w:val="auto"/>
              </w:rPr>
            </w:pPr>
          </w:p>
        </w:tc>
        <w:tc>
          <w:tcPr>
            <w:tcW w:w="880" w:type="dxa"/>
            <w:vAlign w:val="bottom"/>
            <w:tcBorders>
              <w:bottom w:val="single" w:sz="8" w:color="888B8D"/>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888B8D"/>
            </w:tcBorders>
          </w:tcPr>
          <w:p>
            <w:pPr>
              <w:spacing w:after="0"/>
              <w:rPr>
                <w:sz w:val="17"/>
                <w:szCs w:val="17"/>
                <w:color w:val="auto"/>
              </w:rPr>
            </w:pPr>
          </w:p>
        </w:tc>
        <w:tc>
          <w:tcPr>
            <w:tcW w:w="6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7</w:t>
            </w:r>
          </w:p>
        </w:tc>
        <w:tc>
          <w:tcPr>
            <w:tcW w:w="240" w:type="dxa"/>
            <w:vAlign w:val="bottom"/>
            <w:tcBorders>
              <w:bottom w:val="single" w:sz="8" w:color="888B8D"/>
            </w:tcBorders>
          </w:tcPr>
          <w:p>
            <w:pPr>
              <w:spacing w:after="0"/>
              <w:rPr>
                <w:sz w:val="17"/>
                <w:szCs w:val="17"/>
                <w:color w:val="auto"/>
              </w:rPr>
            </w:pPr>
          </w:p>
        </w:tc>
        <w:tc>
          <w:tcPr>
            <w:tcW w:w="100" w:type="dxa"/>
            <w:vAlign w:val="bottom"/>
            <w:tcBorders>
              <w:bottom w:val="single" w:sz="8" w:color="888B8D"/>
            </w:tcBorders>
          </w:tcPr>
          <w:p>
            <w:pPr>
              <w:spacing w:after="0"/>
              <w:rPr>
                <w:sz w:val="17"/>
                <w:szCs w:val="17"/>
                <w:color w:val="auto"/>
              </w:rPr>
            </w:pPr>
          </w:p>
        </w:tc>
        <w:tc>
          <w:tcPr>
            <w:tcW w:w="6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7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Direct investments</w:t>
            </w:r>
          </w:p>
        </w:tc>
        <w:tc>
          <w:tcPr>
            <w:tcW w:w="16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spacing w:after="0"/>
              <w:rPr>
                <w:sz w:val="17"/>
                <w:szCs w:val="17"/>
                <w:color w:val="auto"/>
              </w:rPr>
            </w:pPr>
          </w:p>
        </w:tc>
        <w:tc>
          <w:tcPr>
            <w:tcW w:w="240" w:type="dxa"/>
            <w:vAlign w:val="bottom"/>
            <w:tcBorders>
              <w:bottom w:val="single" w:sz="8" w:color="888B8D"/>
            </w:tcBorders>
          </w:tcPr>
          <w:p>
            <w:pPr>
              <w:spacing w:after="0"/>
              <w:rPr>
                <w:sz w:val="17"/>
                <w:szCs w:val="17"/>
                <w:color w:val="auto"/>
              </w:rPr>
            </w:pPr>
          </w:p>
        </w:tc>
        <w:tc>
          <w:tcPr>
            <w:tcW w:w="120" w:type="dxa"/>
            <w:vAlign w:val="bottom"/>
            <w:tcBorders>
              <w:bottom w:val="single" w:sz="8" w:color="888B8D"/>
            </w:tcBorders>
          </w:tcPr>
          <w:p>
            <w:pPr>
              <w:spacing w:after="0"/>
              <w:rPr>
                <w:sz w:val="17"/>
                <w:szCs w:val="17"/>
                <w:color w:val="auto"/>
              </w:rPr>
            </w:pPr>
          </w:p>
        </w:tc>
        <w:tc>
          <w:tcPr>
            <w:tcW w:w="640" w:type="dxa"/>
            <w:vAlign w:val="bottom"/>
            <w:tcBorders>
              <w:bottom w:val="single" w:sz="8" w:color="888B8D"/>
            </w:tcBorders>
          </w:tcPr>
          <w:p>
            <w:pPr>
              <w:spacing w:after="0"/>
              <w:rPr>
                <w:sz w:val="17"/>
                <w:szCs w:val="17"/>
                <w:color w:val="auto"/>
              </w:rPr>
            </w:pPr>
          </w:p>
        </w:tc>
        <w:tc>
          <w:tcPr>
            <w:tcW w:w="240" w:type="dxa"/>
            <w:vAlign w:val="bottom"/>
            <w:tcBorders>
              <w:bottom w:val="single" w:sz="8" w:color="888B8D"/>
            </w:tcBorders>
          </w:tcPr>
          <w:p>
            <w:pPr>
              <w:spacing w:after="0"/>
              <w:rPr>
                <w:sz w:val="17"/>
                <w:szCs w:val="17"/>
                <w:color w:val="auto"/>
              </w:rPr>
            </w:pPr>
          </w:p>
        </w:tc>
        <w:tc>
          <w:tcPr>
            <w:tcW w:w="120" w:type="dxa"/>
            <w:vAlign w:val="bottom"/>
            <w:tcBorders>
              <w:bottom w:val="single" w:sz="8" w:color="888B8D"/>
            </w:tcBorders>
          </w:tcPr>
          <w:p>
            <w:pPr>
              <w:spacing w:after="0"/>
              <w:rPr>
                <w:sz w:val="17"/>
                <w:szCs w:val="17"/>
                <w:color w:val="auto"/>
              </w:rPr>
            </w:pPr>
          </w:p>
        </w:tc>
        <w:tc>
          <w:tcPr>
            <w:tcW w:w="640" w:type="dxa"/>
            <w:vAlign w:val="bottom"/>
            <w:tcBorders>
              <w:bottom w:val="single" w:sz="8" w:color="888B8D"/>
            </w:tcBorders>
          </w:tcPr>
          <w:p>
            <w:pPr>
              <w:spacing w:after="0"/>
              <w:rPr>
                <w:sz w:val="17"/>
                <w:szCs w:val="17"/>
                <w:color w:val="auto"/>
              </w:rPr>
            </w:pPr>
          </w:p>
        </w:tc>
        <w:tc>
          <w:tcPr>
            <w:tcW w:w="240" w:type="dxa"/>
            <w:vAlign w:val="bottom"/>
            <w:tcBorders>
              <w:bottom w:val="single" w:sz="8" w:color="888B8D"/>
            </w:tcBorders>
          </w:tcPr>
          <w:p>
            <w:pPr>
              <w:spacing w:after="0"/>
              <w:rPr>
                <w:sz w:val="17"/>
                <w:szCs w:val="17"/>
                <w:color w:val="auto"/>
              </w:rPr>
            </w:pPr>
          </w:p>
        </w:tc>
        <w:tc>
          <w:tcPr>
            <w:tcW w:w="100" w:type="dxa"/>
            <w:vAlign w:val="bottom"/>
            <w:tcBorders>
              <w:bottom w:val="single" w:sz="8" w:color="888B8D"/>
            </w:tcBorders>
          </w:tcPr>
          <w:p>
            <w:pPr>
              <w:spacing w:after="0"/>
              <w:rPr>
                <w:sz w:val="17"/>
                <w:szCs w:val="17"/>
                <w:color w:val="auto"/>
              </w:rPr>
            </w:pPr>
          </w:p>
        </w:tc>
        <w:tc>
          <w:tcPr>
            <w:tcW w:w="660" w:type="dxa"/>
            <w:vAlign w:val="bottom"/>
            <w:tcBorders>
              <w:bottom w:val="single" w:sz="8" w:color="888B8D"/>
            </w:tcBorders>
          </w:tcPr>
          <w:p>
            <w:pPr>
              <w:spacing w:after="0"/>
              <w:rPr>
                <w:sz w:val="17"/>
                <w:szCs w:val="17"/>
                <w:color w:val="auto"/>
              </w:rPr>
            </w:pPr>
          </w:p>
        </w:tc>
      </w:tr>
      <w:tr>
        <w:trPr>
          <w:trHeight w:val="196"/>
        </w:trPr>
        <w:tc>
          <w:tcPr>
            <w:tcW w:w="748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Direct private investments</w:t>
            </w:r>
          </w:p>
        </w:tc>
        <w:tc>
          <w:tcPr>
            <w:tcW w:w="16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1,337</w:t>
            </w:r>
          </w:p>
        </w:tc>
        <w:tc>
          <w:tcPr>
            <w:tcW w:w="240" w:type="dxa"/>
            <w:vAlign w:val="bottom"/>
            <w:tcBorders>
              <w:bottom w:val="single" w:sz="8" w:color="888B8D"/>
            </w:tcBorders>
          </w:tcPr>
          <w:p>
            <w:pPr>
              <w:spacing w:after="0"/>
              <w:rPr>
                <w:sz w:val="17"/>
                <w:szCs w:val="17"/>
                <w:color w:val="auto"/>
              </w:rPr>
            </w:pPr>
          </w:p>
        </w:tc>
        <w:tc>
          <w:tcPr>
            <w:tcW w:w="120" w:type="dxa"/>
            <w:vAlign w:val="bottom"/>
            <w:tcBorders>
              <w:bottom w:val="single" w:sz="8" w:color="888B8D"/>
            </w:tcBorders>
          </w:tcPr>
          <w:p>
            <w:pPr>
              <w:spacing w:after="0"/>
              <w:rPr>
                <w:sz w:val="17"/>
                <w:szCs w:val="17"/>
                <w:color w:val="auto"/>
              </w:rPr>
            </w:pPr>
          </w:p>
        </w:tc>
        <w:tc>
          <w:tcPr>
            <w:tcW w:w="880" w:type="dxa"/>
            <w:vAlign w:val="bottom"/>
            <w:tcBorders>
              <w:bottom w:val="single" w:sz="8" w:color="888B8D"/>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888B8D"/>
            </w:tcBorders>
          </w:tcPr>
          <w:p>
            <w:pPr>
              <w:spacing w:after="0"/>
              <w:rPr>
                <w:sz w:val="17"/>
                <w:szCs w:val="17"/>
                <w:color w:val="auto"/>
              </w:rPr>
            </w:pPr>
          </w:p>
        </w:tc>
        <w:tc>
          <w:tcPr>
            <w:tcW w:w="880" w:type="dxa"/>
            <w:vAlign w:val="bottom"/>
            <w:tcBorders>
              <w:bottom w:val="single" w:sz="8" w:color="888B8D"/>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888B8D"/>
            </w:tcBorders>
          </w:tcPr>
          <w:p>
            <w:pPr>
              <w:spacing w:after="0"/>
              <w:rPr>
                <w:sz w:val="17"/>
                <w:szCs w:val="17"/>
                <w:color w:val="auto"/>
              </w:rPr>
            </w:pPr>
          </w:p>
        </w:tc>
        <w:tc>
          <w:tcPr>
            <w:tcW w:w="6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1,337</w:t>
            </w:r>
          </w:p>
        </w:tc>
      </w:tr>
      <w:tr>
        <w:trPr>
          <w:trHeight w:val="196"/>
        </w:trPr>
        <w:tc>
          <w:tcPr>
            <w:tcW w:w="7480" w:type="dxa"/>
            <w:vAlign w:val="bottom"/>
            <w:tcBorders>
              <w:bottom w:val="single" w:sz="8" w:color="DC202E"/>
            </w:tcBorders>
          </w:tcPr>
          <w:p>
            <w:pPr>
              <w:ind w:left="140"/>
              <w:spacing w:after="0"/>
              <w:rPr>
                <w:sz w:val="20"/>
                <w:szCs w:val="20"/>
                <w:color w:val="auto"/>
              </w:rPr>
            </w:pPr>
            <w:r>
              <w:rPr>
                <w:rFonts w:ascii="Arial" w:cs="Arial" w:eastAsia="Arial" w:hAnsi="Arial"/>
                <w:sz w:val="14"/>
                <w:szCs w:val="14"/>
                <w:color w:val="auto"/>
              </w:rPr>
              <w:t>Real estate properties</w:t>
            </w:r>
          </w:p>
        </w:tc>
        <w:tc>
          <w:tcPr>
            <w:tcW w:w="160" w:type="dxa"/>
            <w:vAlign w:val="bottom"/>
            <w:tcBorders>
              <w:bottom w:val="single" w:sz="8" w:color="DC202E"/>
            </w:tcBorders>
          </w:tcPr>
          <w:p>
            <w:pPr>
              <w:spacing w:after="0"/>
              <w:rPr>
                <w:sz w:val="17"/>
                <w:szCs w:val="17"/>
                <w:color w:val="auto"/>
              </w:rPr>
            </w:pPr>
          </w:p>
        </w:tc>
        <w:tc>
          <w:tcPr>
            <w:tcW w:w="600" w:type="dxa"/>
            <w:vAlign w:val="bottom"/>
            <w:tcBorders>
              <w:bottom w:val="single" w:sz="8" w:color="DC202E"/>
            </w:tcBorders>
          </w:tcPr>
          <w:p>
            <w:pPr>
              <w:jc w:val="right"/>
              <w:spacing w:after="0"/>
              <w:rPr>
                <w:sz w:val="20"/>
                <w:szCs w:val="20"/>
                <w:color w:val="auto"/>
              </w:rPr>
            </w:pPr>
            <w:r>
              <w:rPr>
                <w:rFonts w:ascii="Arial" w:cs="Arial" w:eastAsia="Arial" w:hAnsi="Arial"/>
                <w:sz w:val="14"/>
                <w:szCs w:val="14"/>
                <w:color w:val="auto"/>
              </w:rPr>
              <w:t>972</w:t>
            </w:r>
          </w:p>
        </w:tc>
        <w:tc>
          <w:tcPr>
            <w:tcW w:w="240" w:type="dxa"/>
            <w:vAlign w:val="bottom"/>
            <w:tcBorders>
              <w:bottom w:val="single" w:sz="8" w:color="DC202E"/>
            </w:tcBorders>
          </w:tcPr>
          <w:p>
            <w:pPr>
              <w:spacing w:after="0"/>
              <w:rPr>
                <w:sz w:val="17"/>
                <w:szCs w:val="17"/>
                <w:color w:val="auto"/>
              </w:rPr>
            </w:pPr>
          </w:p>
        </w:tc>
        <w:tc>
          <w:tcPr>
            <w:tcW w:w="120" w:type="dxa"/>
            <w:vAlign w:val="bottom"/>
            <w:tcBorders>
              <w:bottom w:val="single" w:sz="8" w:color="DC202E"/>
            </w:tcBorders>
          </w:tcPr>
          <w:p>
            <w:pPr>
              <w:spacing w:after="0"/>
              <w:rPr>
                <w:sz w:val="17"/>
                <w:szCs w:val="17"/>
                <w:color w:val="auto"/>
              </w:rPr>
            </w:pPr>
          </w:p>
        </w:tc>
        <w:tc>
          <w:tcPr>
            <w:tcW w:w="880" w:type="dxa"/>
            <w:vAlign w:val="bottom"/>
            <w:tcBorders>
              <w:bottom w:val="single" w:sz="8" w:color="DC202E"/>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DC202E"/>
            </w:tcBorders>
          </w:tcPr>
          <w:p>
            <w:pPr>
              <w:spacing w:after="0"/>
              <w:rPr>
                <w:sz w:val="17"/>
                <w:szCs w:val="17"/>
                <w:color w:val="auto"/>
              </w:rPr>
            </w:pPr>
          </w:p>
        </w:tc>
        <w:tc>
          <w:tcPr>
            <w:tcW w:w="880" w:type="dxa"/>
            <w:vAlign w:val="bottom"/>
            <w:tcBorders>
              <w:bottom w:val="single" w:sz="8" w:color="DC202E"/>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DC202E"/>
            </w:tcBorders>
          </w:tcPr>
          <w:p>
            <w:pPr>
              <w:spacing w:after="0"/>
              <w:rPr>
                <w:sz w:val="17"/>
                <w:szCs w:val="17"/>
                <w:color w:val="auto"/>
              </w:rPr>
            </w:pPr>
          </w:p>
        </w:tc>
        <w:tc>
          <w:tcPr>
            <w:tcW w:w="660" w:type="dxa"/>
            <w:vAlign w:val="bottom"/>
            <w:tcBorders>
              <w:bottom w:val="single" w:sz="8" w:color="DC202E"/>
            </w:tcBorders>
          </w:tcPr>
          <w:p>
            <w:pPr>
              <w:jc w:val="right"/>
              <w:spacing w:after="0"/>
              <w:rPr>
                <w:sz w:val="20"/>
                <w:szCs w:val="20"/>
                <w:color w:val="auto"/>
              </w:rPr>
            </w:pPr>
            <w:r>
              <w:rPr>
                <w:rFonts w:ascii="Arial" w:cs="Arial" w:eastAsia="Arial" w:hAnsi="Arial"/>
                <w:sz w:val="14"/>
                <w:szCs w:val="14"/>
                <w:color w:val="auto"/>
              </w:rPr>
              <w:t>972</w:t>
            </w:r>
          </w:p>
        </w:tc>
      </w:tr>
      <w:tr>
        <w:trPr>
          <w:trHeight w:val="199"/>
        </w:trPr>
        <w:tc>
          <w:tcPr>
            <w:tcW w:w="7480" w:type="dxa"/>
            <w:vAlign w:val="bottom"/>
            <w:tcBorders>
              <w:bottom w:val="single" w:sz="8" w:color="DC202E"/>
            </w:tcBorders>
          </w:tcPr>
          <w:p>
            <w:pPr>
              <w:ind w:left="240"/>
              <w:spacing w:after="0"/>
              <w:rPr>
                <w:sz w:val="20"/>
                <w:szCs w:val="20"/>
                <w:color w:val="auto"/>
              </w:rPr>
            </w:pPr>
            <w:r>
              <w:rPr>
                <w:rFonts w:ascii="Arial" w:cs="Arial" w:eastAsia="Arial" w:hAnsi="Arial"/>
                <w:sz w:val="14"/>
                <w:szCs w:val="14"/>
                <w:b w:val="1"/>
                <w:bCs w:val="1"/>
                <w:color w:val="auto"/>
              </w:rPr>
              <w:t>Total</w:t>
            </w:r>
          </w:p>
        </w:tc>
        <w:tc>
          <w:tcPr>
            <w:tcW w:w="160" w:type="dxa"/>
            <w:vAlign w:val="bottom"/>
            <w:tcBorders>
              <w:bottom w:val="single" w:sz="8" w:color="DC202E"/>
            </w:tcBorders>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DC202E"/>
            </w:tcBorders>
          </w:tcPr>
          <w:p>
            <w:pPr>
              <w:jc w:val="right"/>
              <w:spacing w:after="0"/>
              <w:rPr>
                <w:sz w:val="20"/>
                <w:szCs w:val="20"/>
                <w:color w:val="auto"/>
              </w:rPr>
            </w:pPr>
            <w:r>
              <w:rPr>
                <w:rFonts w:ascii="Arial" w:cs="Arial" w:eastAsia="Arial" w:hAnsi="Arial"/>
                <w:sz w:val="14"/>
                <w:szCs w:val="14"/>
                <w:b w:val="1"/>
                <w:bCs w:val="1"/>
                <w:color w:val="auto"/>
              </w:rPr>
              <w:t>15,230</w:t>
            </w:r>
          </w:p>
        </w:tc>
        <w:tc>
          <w:tcPr>
            <w:tcW w:w="240" w:type="dxa"/>
            <w:vAlign w:val="bottom"/>
            <w:tcBorders>
              <w:bottom w:val="single" w:sz="8" w:color="DC202E"/>
            </w:tcBorders>
          </w:tcPr>
          <w:p>
            <w:pPr>
              <w:spacing w:after="0"/>
              <w:rPr>
                <w:sz w:val="17"/>
                <w:szCs w:val="17"/>
                <w:color w:val="auto"/>
              </w:rPr>
            </w:pPr>
          </w:p>
        </w:tc>
        <w:tc>
          <w:tcPr>
            <w:tcW w:w="120" w:type="dxa"/>
            <w:vAlign w:val="bottom"/>
            <w:tcBorders>
              <w:bottom w:val="single" w:sz="8" w:color="DC202E"/>
            </w:tcBorders>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DC202E"/>
            </w:tcBorders>
          </w:tcPr>
          <w:p>
            <w:pPr>
              <w:jc w:val="right"/>
              <w:spacing w:after="0"/>
              <w:rPr>
                <w:sz w:val="20"/>
                <w:szCs w:val="20"/>
                <w:color w:val="auto"/>
              </w:rPr>
            </w:pPr>
            <w:r>
              <w:rPr>
                <w:rFonts w:ascii="Arial" w:cs="Arial" w:eastAsia="Arial" w:hAnsi="Arial"/>
                <w:sz w:val="14"/>
                <w:szCs w:val="14"/>
                <w:b w:val="1"/>
                <w:bCs w:val="1"/>
                <w:color w:val="auto"/>
              </w:rPr>
              <w:t>4,415</w:t>
            </w:r>
          </w:p>
        </w:tc>
        <w:tc>
          <w:tcPr>
            <w:tcW w:w="240" w:type="dxa"/>
            <w:vAlign w:val="bottom"/>
            <w:tcBorders>
              <w:bottom w:val="single" w:sz="8" w:color="DC202E"/>
            </w:tcBorders>
          </w:tcPr>
          <w:p>
            <w:pPr>
              <w:spacing w:after="0"/>
              <w:rPr>
                <w:sz w:val="17"/>
                <w:szCs w:val="17"/>
                <w:color w:val="auto"/>
              </w:rPr>
            </w:pPr>
          </w:p>
        </w:tc>
        <w:tc>
          <w:tcPr>
            <w:tcW w:w="120" w:type="dxa"/>
            <w:vAlign w:val="bottom"/>
            <w:tcBorders>
              <w:bottom w:val="single" w:sz="8" w:color="DC202E"/>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640" w:type="dxa"/>
            <w:vAlign w:val="bottom"/>
            <w:tcBorders>
              <w:bottom w:val="single" w:sz="8" w:color="DC202E"/>
            </w:tcBorders>
          </w:tcPr>
          <w:p>
            <w:pPr>
              <w:jc w:val="right"/>
              <w:spacing w:after="0"/>
              <w:rPr>
                <w:sz w:val="20"/>
                <w:szCs w:val="20"/>
                <w:color w:val="auto"/>
              </w:rPr>
            </w:pPr>
            <w:r>
              <w:rPr>
                <w:rFonts w:ascii="Arial" w:cs="Arial" w:eastAsia="Arial" w:hAnsi="Arial"/>
                <w:sz w:val="14"/>
                <w:szCs w:val="14"/>
                <w:b w:val="1"/>
                <w:bCs w:val="1"/>
                <w:color w:val="auto"/>
              </w:rPr>
              <w:t>8,506</w:t>
            </w:r>
          </w:p>
        </w:tc>
        <w:tc>
          <w:tcPr>
            <w:tcW w:w="240" w:type="dxa"/>
            <w:vAlign w:val="bottom"/>
            <w:tcBorders>
              <w:bottom w:val="single" w:sz="8" w:color="DC202E"/>
            </w:tcBorders>
          </w:tcPr>
          <w:p>
            <w:pPr>
              <w:spacing w:after="0"/>
              <w:rPr>
                <w:sz w:val="17"/>
                <w:szCs w:val="17"/>
                <w:color w:val="auto"/>
              </w:rPr>
            </w:pPr>
          </w:p>
        </w:tc>
        <w:tc>
          <w:tcPr>
            <w:tcW w:w="100" w:type="dxa"/>
            <w:vAlign w:val="bottom"/>
            <w:tcBorders>
              <w:bottom w:val="single" w:sz="8" w:color="DC202E"/>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660" w:type="dxa"/>
            <w:vAlign w:val="bottom"/>
            <w:tcBorders>
              <w:bottom w:val="single" w:sz="8" w:color="DC202E"/>
            </w:tcBorders>
          </w:tcPr>
          <w:p>
            <w:pPr>
              <w:jc w:val="right"/>
              <w:spacing w:after="0"/>
              <w:rPr>
                <w:sz w:val="20"/>
                <w:szCs w:val="20"/>
                <w:color w:val="auto"/>
              </w:rPr>
            </w:pPr>
            <w:r>
              <w:rPr>
                <w:rFonts w:ascii="Arial" w:cs="Arial" w:eastAsia="Arial" w:hAnsi="Arial"/>
                <w:sz w:val="14"/>
                <w:szCs w:val="14"/>
                <w:b w:val="1"/>
                <w:bCs w:val="1"/>
                <w:color w:val="auto"/>
              </w:rPr>
              <w:t>2,309</w:t>
            </w:r>
          </w:p>
        </w:tc>
      </w:tr>
      <w:tr>
        <w:trPr>
          <w:trHeight w:val="193"/>
        </w:trPr>
        <w:tc>
          <w:tcPr>
            <w:tcW w:w="7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Investments measured at NAV</w:t>
            </w:r>
          </w:p>
        </w:tc>
        <w:tc>
          <w:tcPr>
            <w:tcW w:w="160" w:type="dxa"/>
            <w:vAlign w:val="bottom"/>
            <w:tcBorders>
              <w:bottom w:val="single" w:sz="8" w:color="888B8D"/>
            </w:tcBorders>
          </w:tcPr>
          <w:p>
            <w:pPr>
              <w:spacing w:after="0"/>
              <w:rPr>
                <w:sz w:val="16"/>
                <w:szCs w:val="16"/>
                <w:color w:val="auto"/>
              </w:rPr>
            </w:pPr>
          </w:p>
        </w:tc>
        <w:tc>
          <w:tcPr>
            <w:tcW w:w="600" w:type="dxa"/>
            <w:vAlign w:val="bottom"/>
            <w:tcBorders>
              <w:bottom w:val="single" w:sz="8" w:color="888B8D"/>
            </w:tcBorders>
          </w:tcPr>
          <w:p>
            <w:pPr>
              <w:spacing w:after="0"/>
              <w:rPr>
                <w:sz w:val="16"/>
                <w:szCs w:val="16"/>
                <w:color w:val="auto"/>
              </w:rPr>
            </w:pPr>
          </w:p>
        </w:tc>
        <w:tc>
          <w:tcPr>
            <w:tcW w:w="240" w:type="dxa"/>
            <w:vAlign w:val="bottom"/>
            <w:tcBorders>
              <w:bottom w:val="single" w:sz="8" w:color="888B8D"/>
            </w:tcBorders>
          </w:tcPr>
          <w:p>
            <w:pPr>
              <w:spacing w:after="0"/>
              <w:rPr>
                <w:sz w:val="16"/>
                <w:szCs w:val="16"/>
                <w:color w:val="auto"/>
              </w:rPr>
            </w:pPr>
          </w:p>
        </w:tc>
        <w:tc>
          <w:tcPr>
            <w:tcW w:w="120" w:type="dxa"/>
            <w:vAlign w:val="bottom"/>
            <w:tcBorders>
              <w:bottom w:val="single" w:sz="8" w:color="888B8D"/>
            </w:tcBorders>
          </w:tcPr>
          <w:p>
            <w:pPr>
              <w:spacing w:after="0"/>
              <w:rPr>
                <w:sz w:val="16"/>
                <w:szCs w:val="16"/>
                <w:color w:val="auto"/>
              </w:rPr>
            </w:pPr>
          </w:p>
        </w:tc>
        <w:tc>
          <w:tcPr>
            <w:tcW w:w="640" w:type="dxa"/>
            <w:vAlign w:val="bottom"/>
            <w:tcBorders>
              <w:bottom w:val="single" w:sz="8" w:color="888B8D"/>
            </w:tcBorders>
          </w:tcPr>
          <w:p>
            <w:pPr>
              <w:spacing w:after="0"/>
              <w:rPr>
                <w:sz w:val="16"/>
                <w:szCs w:val="16"/>
                <w:color w:val="auto"/>
              </w:rPr>
            </w:pPr>
          </w:p>
        </w:tc>
        <w:tc>
          <w:tcPr>
            <w:tcW w:w="240" w:type="dxa"/>
            <w:vAlign w:val="bottom"/>
            <w:tcBorders>
              <w:bottom w:val="single" w:sz="8" w:color="888B8D"/>
            </w:tcBorders>
          </w:tcPr>
          <w:p>
            <w:pPr>
              <w:spacing w:after="0"/>
              <w:rPr>
                <w:sz w:val="16"/>
                <w:szCs w:val="16"/>
                <w:color w:val="auto"/>
              </w:rPr>
            </w:pPr>
          </w:p>
        </w:tc>
        <w:tc>
          <w:tcPr>
            <w:tcW w:w="120" w:type="dxa"/>
            <w:vAlign w:val="bottom"/>
            <w:tcBorders>
              <w:bottom w:val="single" w:sz="8" w:color="888B8D"/>
            </w:tcBorders>
          </w:tcPr>
          <w:p>
            <w:pPr>
              <w:spacing w:after="0"/>
              <w:rPr>
                <w:sz w:val="16"/>
                <w:szCs w:val="16"/>
                <w:color w:val="auto"/>
              </w:rPr>
            </w:pPr>
          </w:p>
        </w:tc>
        <w:tc>
          <w:tcPr>
            <w:tcW w:w="640" w:type="dxa"/>
            <w:vAlign w:val="bottom"/>
            <w:tcBorders>
              <w:bottom w:val="single" w:sz="8" w:color="888B8D"/>
            </w:tcBorders>
          </w:tcPr>
          <w:p>
            <w:pPr>
              <w:spacing w:after="0"/>
              <w:rPr>
                <w:sz w:val="16"/>
                <w:szCs w:val="16"/>
                <w:color w:val="auto"/>
              </w:rPr>
            </w:pPr>
          </w:p>
        </w:tc>
        <w:tc>
          <w:tcPr>
            <w:tcW w:w="240" w:type="dxa"/>
            <w:vAlign w:val="bottom"/>
            <w:tcBorders>
              <w:bottom w:val="single" w:sz="8" w:color="888B8D"/>
            </w:tcBorders>
          </w:tcPr>
          <w:p>
            <w:pPr>
              <w:spacing w:after="0"/>
              <w:rPr>
                <w:sz w:val="16"/>
                <w:szCs w:val="16"/>
                <w:color w:val="auto"/>
              </w:rPr>
            </w:pPr>
          </w:p>
        </w:tc>
        <w:tc>
          <w:tcPr>
            <w:tcW w:w="100" w:type="dxa"/>
            <w:vAlign w:val="bottom"/>
            <w:tcBorders>
              <w:bottom w:val="single" w:sz="8" w:color="888B8D"/>
            </w:tcBorders>
          </w:tcPr>
          <w:p>
            <w:pPr>
              <w:spacing w:after="0"/>
              <w:rPr>
                <w:sz w:val="16"/>
                <w:szCs w:val="16"/>
                <w:color w:val="auto"/>
              </w:rPr>
            </w:pPr>
          </w:p>
        </w:tc>
        <w:tc>
          <w:tcPr>
            <w:tcW w:w="660" w:type="dxa"/>
            <w:vAlign w:val="bottom"/>
            <w:tcBorders>
              <w:bottom w:val="single" w:sz="8" w:color="888B8D"/>
            </w:tcBorders>
          </w:tcPr>
          <w:p>
            <w:pPr>
              <w:spacing w:after="0"/>
              <w:rPr>
                <w:sz w:val="16"/>
                <w:szCs w:val="16"/>
                <w:color w:val="auto"/>
              </w:rPr>
            </w:pPr>
          </w:p>
        </w:tc>
      </w:tr>
      <w:tr>
        <w:trPr>
          <w:trHeight w:val="196"/>
        </w:trPr>
        <w:tc>
          <w:tcPr>
            <w:tcW w:w="748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Private funds</w:t>
            </w:r>
          </w:p>
        </w:tc>
        <w:tc>
          <w:tcPr>
            <w:tcW w:w="16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1,327</w:t>
            </w:r>
          </w:p>
        </w:tc>
        <w:tc>
          <w:tcPr>
            <w:tcW w:w="240" w:type="dxa"/>
            <w:vAlign w:val="bottom"/>
            <w:tcBorders>
              <w:bottom w:val="single" w:sz="8" w:color="888B8D"/>
            </w:tcBorders>
          </w:tcPr>
          <w:p>
            <w:pPr>
              <w:spacing w:after="0"/>
              <w:rPr>
                <w:sz w:val="17"/>
                <w:szCs w:val="17"/>
                <w:color w:val="auto"/>
              </w:rPr>
            </w:pPr>
          </w:p>
        </w:tc>
        <w:tc>
          <w:tcPr>
            <w:tcW w:w="120" w:type="dxa"/>
            <w:vAlign w:val="bottom"/>
            <w:tcBorders>
              <w:bottom w:val="single" w:sz="8" w:color="888B8D"/>
            </w:tcBorders>
          </w:tcPr>
          <w:p>
            <w:pPr>
              <w:spacing w:after="0"/>
              <w:rPr>
                <w:sz w:val="17"/>
                <w:szCs w:val="17"/>
                <w:color w:val="auto"/>
              </w:rPr>
            </w:pPr>
          </w:p>
        </w:tc>
        <w:tc>
          <w:tcPr>
            <w:tcW w:w="640" w:type="dxa"/>
            <w:vAlign w:val="bottom"/>
            <w:tcBorders>
              <w:bottom w:val="single" w:sz="8" w:color="888B8D"/>
            </w:tcBorders>
          </w:tcPr>
          <w:p>
            <w:pPr>
              <w:spacing w:after="0"/>
              <w:rPr>
                <w:sz w:val="17"/>
                <w:szCs w:val="17"/>
                <w:color w:val="auto"/>
              </w:rPr>
            </w:pPr>
          </w:p>
        </w:tc>
        <w:tc>
          <w:tcPr>
            <w:tcW w:w="240" w:type="dxa"/>
            <w:vAlign w:val="bottom"/>
            <w:tcBorders>
              <w:bottom w:val="single" w:sz="8" w:color="888B8D"/>
            </w:tcBorders>
          </w:tcPr>
          <w:p>
            <w:pPr>
              <w:spacing w:after="0"/>
              <w:rPr>
                <w:sz w:val="17"/>
                <w:szCs w:val="17"/>
                <w:color w:val="auto"/>
              </w:rPr>
            </w:pPr>
          </w:p>
        </w:tc>
        <w:tc>
          <w:tcPr>
            <w:tcW w:w="120" w:type="dxa"/>
            <w:vAlign w:val="bottom"/>
            <w:tcBorders>
              <w:bottom w:val="single" w:sz="8" w:color="888B8D"/>
            </w:tcBorders>
          </w:tcPr>
          <w:p>
            <w:pPr>
              <w:spacing w:after="0"/>
              <w:rPr>
                <w:sz w:val="17"/>
                <w:szCs w:val="17"/>
                <w:color w:val="auto"/>
              </w:rPr>
            </w:pPr>
          </w:p>
        </w:tc>
        <w:tc>
          <w:tcPr>
            <w:tcW w:w="640" w:type="dxa"/>
            <w:vAlign w:val="bottom"/>
            <w:tcBorders>
              <w:bottom w:val="single" w:sz="8" w:color="888B8D"/>
            </w:tcBorders>
          </w:tcPr>
          <w:p>
            <w:pPr>
              <w:spacing w:after="0"/>
              <w:rPr>
                <w:sz w:val="17"/>
                <w:szCs w:val="17"/>
                <w:color w:val="auto"/>
              </w:rPr>
            </w:pPr>
          </w:p>
        </w:tc>
        <w:tc>
          <w:tcPr>
            <w:tcW w:w="240" w:type="dxa"/>
            <w:vAlign w:val="bottom"/>
            <w:tcBorders>
              <w:bottom w:val="single" w:sz="8" w:color="888B8D"/>
            </w:tcBorders>
          </w:tcPr>
          <w:p>
            <w:pPr>
              <w:spacing w:after="0"/>
              <w:rPr>
                <w:sz w:val="17"/>
                <w:szCs w:val="17"/>
                <w:color w:val="auto"/>
              </w:rPr>
            </w:pPr>
          </w:p>
        </w:tc>
        <w:tc>
          <w:tcPr>
            <w:tcW w:w="100" w:type="dxa"/>
            <w:vAlign w:val="bottom"/>
            <w:tcBorders>
              <w:bottom w:val="single" w:sz="8" w:color="888B8D"/>
            </w:tcBorders>
          </w:tcPr>
          <w:p>
            <w:pPr>
              <w:spacing w:after="0"/>
              <w:rPr>
                <w:sz w:val="17"/>
                <w:szCs w:val="17"/>
                <w:color w:val="auto"/>
              </w:rPr>
            </w:pPr>
          </w:p>
        </w:tc>
        <w:tc>
          <w:tcPr>
            <w:tcW w:w="660" w:type="dxa"/>
            <w:vAlign w:val="bottom"/>
            <w:tcBorders>
              <w:bottom w:val="single" w:sz="8" w:color="888B8D"/>
            </w:tcBorders>
          </w:tcPr>
          <w:p>
            <w:pPr>
              <w:spacing w:after="0"/>
              <w:rPr>
                <w:sz w:val="17"/>
                <w:szCs w:val="17"/>
                <w:color w:val="auto"/>
              </w:rPr>
            </w:pPr>
          </w:p>
        </w:tc>
      </w:tr>
      <w:tr>
        <w:trPr>
          <w:trHeight w:val="196"/>
        </w:trPr>
        <w:tc>
          <w:tcPr>
            <w:tcW w:w="748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Real estate funds</w:t>
            </w:r>
          </w:p>
        </w:tc>
        <w:tc>
          <w:tcPr>
            <w:tcW w:w="16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8</w:t>
            </w:r>
          </w:p>
        </w:tc>
        <w:tc>
          <w:tcPr>
            <w:tcW w:w="240" w:type="dxa"/>
            <w:vAlign w:val="bottom"/>
            <w:tcBorders>
              <w:bottom w:val="single" w:sz="8" w:color="D7282F"/>
            </w:tcBorders>
          </w:tcPr>
          <w:p>
            <w:pPr>
              <w:spacing w:after="0"/>
              <w:rPr>
                <w:sz w:val="17"/>
                <w:szCs w:val="17"/>
                <w:color w:val="auto"/>
              </w:rPr>
            </w:pPr>
          </w:p>
        </w:tc>
        <w:tc>
          <w:tcPr>
            <w:tcW w:w="120" w:type="dxa"/>
            <w:vAlign w:val="bottom"/>
            <w:tcBorders>
              <w:bottom w:val="single" w:sz="8" w:color="D7282F"/>
            </w:tcBorders>
          </w:tcPr>
          <w:p>
            <w:pPr>
              <w:spacing w:after="0"/>
              <w:rPr>
                <w:sz w:val="17"/>
                <w:szCs w:val="17"/>
                <w:color w:val="auto"/>
              </w:rPr>
            </w:pPr>
          </w:p>
        </w:tc>
        <w:tc>
          <w:tcPr>
            <w:tcW w:w="640" w:type="dxa"/>
            <w:vAlign w:val="bottom"/>
            <w:tcBorders>
              <w:bottom w:val="single" w:sz="8" w:color="D7282F"/>
            </w:tcBorders>
          </w:tcPr>
          <w:p>
            <w:pPr>
              <w:spacing w:after="0"/>
              <w:rPr>
                <w:sz w:val="17"/>
                <w:szCs w:val="17"/>
                <w:color w:val="auto"/>
              </w:rPr>
            </w:pPr>
          </w:p>
        </w:tc>
        <w:tc>
          <w:tcPr>
            <w:tcW w:w="240" w:type="dxa"/>
            <w:vAlign w:val="bottom"/>
            <w:tcBorders>
              <w:bottom w:val="single" w:sz="8" w:color="D7282F"/>
            </w:tcBorders>
          </w:tcPr>
          <w:p>
            <w:pPr>
              <w:spacing w:after="0"/>
              <w:rPr>
                <w:sz w:val="17"/>
                <w:szCs w:val="17"/>
                <w:color w:val="auto"/>
              </w:rPr>
            </w:pPr>
          </w:p>
        </w:tc>
        <w:tc>
          <w:tcPr>
            <w:tcW w:w="120" w:type="dxa"/>
            <w:vAlign w:val="bottom"/>
            <w:tcBorders>
              <w:bottom w:val="single" w:sz="8" w:color="D7282F"/>
            </w:tcBorders>
          </w:tcPr>
          <w:p>
            <w:pPr>
              <w:spacing w:after="0"/>
              <w:rPr>
                <w:sz w:val="17"/>
                <w:szCs w:val="17"/>
                <w:color w:val="auto"/>
              </w:rPr>
            </w:pPr>
          </w:p>
        </w:tc>
        <w:tc>
          <w:tcPr>
            <w:tcW w:w="640" w:type="dxa"/>
            <w:vAlign w:val="bottom"/>
            <w:tcBorders>
              <w:bottom w:val="single" w:sz="8" w:color="D7282F"/>
            </w:tcBorders>
          </w:tcPr>
          <w:p>
            <w:pPr>
              <w:spacing w:after="0"/>
              <w:rPr>
                <w:sz w:val="17"/>
                <w:szCs w:val="17"/>
                <w:color w:val="auto"/>
              </w:rPr>
            </w:pPr>
          </w:p>
        </w:tc>
        <w:tc>
          <w:tcPr>
            <w:tcW w:w="240" w:type="dxa"/>
            <w:vAlign w:val="bottom"/>
            <w:tcBorders>
              <w:bottom w:val="single" w:sz="8" w:color="D7282F"/>
            </w:tcBorders>
          </w:tcPr>
          <w:p>
            <w:pPr>
              <w:spacing w:after="0"/>
              <w:rPr>
                <w:sz w:val="17"/>
                <w:szCs w:val="17"/>
                <w:color w:val="auto"/>
              </w:rPr>
            </w:pPr>
          </w:p>
        </w:tc>
        <w:tc>
          <w:tcPr>
            <w:tcW w:w="10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spacing w:after="0"/>
              <w:rPr>
                <w:sz w:val="17"/>
                <w:szCs w:val="17"/>
                <w:color w:val="auto"/>
              </w:rPr>
            </w:pPr>
          </w:p>
        </w:tc>
      </w:tr>
      <w:tr>
        <w:trPr>
          <w:trHeight w:val="199"/>
        </w:trPr>
        <w:tc>
          <w:tcPr>
            <w:tcW w:w="7480" w:type="dxa"/>
            <w:vAlign w:val="bottom"/>
            <w:tcBorders>
              <w:bottom w:val="single" w:sz="8" w:color="D7282F"/>
            </w:tcBorders>
          </w:tcPr>
          <w:p>
            <w:pPr>
              <w:ind w:left="360"/>
              <w:spacing w:after="0"/>
              <w:rPr>
                <w:sz w:val="20"/>
                <w:szCs w:val="20"/>
                <w:color w:val="auto"/>
              </w:rPr>
            </w:pPr>
            <w:r>
              <w:rPr>
                <w:rFonts w:ascii="Arial" w:cs="Arial" w:eastAsia="Arial" w:hAnsi="Arial"/>
                <w:sz w:val="14"/>
                <w:szCs w:val="14"/>
                <w:b w:val="1"/>
                <w:bCs w:val="1"/>
                <w:color w:val="auto"/>
              </w:rPr>
              <w:t>Total assets at fair value</w:t>
            </w: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16,565</w:t>
            </w:r>
          </w:p>
        </w:tc>
        <w:tc>
          <w:tcPr>
            <w:tcW w:w="240" w:type="dxa"/>
            <w:vAlign w:val="bottom"/>
            <w:tcBorders>
              <w:bottom w:val="single" w:sz="8" w:color="D7282F"/>
            </w:tcBorders>
          </w:tcPr>
          <w:p>
            <w:pPr>
              <w:spacing w:after="0"/>
              <w:rPr>
                <w:sz w:val="17"/>
                <w:szCs w:val="17"/>
                <w:color w:val="auto"/>
              </w:rPr>
            </w:pPr>
          </w:p>
        </w:tc>
        <w:tc>
          <w:tcPr>
            <w:tcW w:w="120" w:type="dxa"/>
            <w:vAlign w:val="bottom"/>
            <w:tcBorders>
              <w:bottom w:val="single" w:sz="8" w:color="D7282F"/>
            </w:tcBorders>
          </w:tcPr>
          <w:p>
            <w:pPr>
              <w:spacing w:after="0"/>
              <w:rPr>
                <w:sz w:val="17"/>
                <w:szCs w:val="17"/>
                <w:color w:val="auto"/>
              </w:rPr>
            </w:pPr>
          </w:p>
        </w:tc>
        <w:tc>
          <w:tcPr>
            <w:tcW w:w="640" w:type="dxa"/>
            <w:vAlign w:val="bottom"/>
            <w:tcBorders>
              <w:bottom w:val="single" w:sz="8" w:color="D7282F"/>
            </w:tcBorders>
          </w:tcPr>
          <w:p>
            <w:pPr>
              <w:spacing w:after="0"/>
              <w:rPr>
                <w:sz w:val="17"/>
                <w:szCs w:val="17"/>
                <w:color w:val="auto"/>
              </w:rPr>
            </w:pPr>
          </w:p>
        </w:tc>
        <w:tc>
          <w:tcPr>
            <w:tcW w:w="240" w:type="dxa"/>
            <w:vAlign w:val="bottom"/>
            <w:tcBorders>
              <w:bottom w:val="single" w:sz="8" w:color="D7282F"/>
            </w:tcBorders>
          </w:tcPr>
          <w:p>
            <w:pPr>
              <w:spacing w:after="0"/>
              <w:rPr>
                <w:sz w:val="17"/>
                <w:szCs w:val="17"/>
                <w:color w:val="auto"/>
              </w:rPr>
            </w:pPr>
          </w:p>
        </w:tc>
        <w:tc>
          <w:tcPr>
            <w:tcW w:w="120" w:type="dxa"/>
            <w:vAlign w:val="bottom"/>
            <w:tcBorders>
              <w:bottom w:val="single" w:sz="8" w:color="D7282F"/>
            </w:tcBorders>
          </w:tcPr>
          <w:p>
            <w:pPr>
              <w:spacing w:after="0"/>
              <w:rPr>
                <w:sz w:val="17"/>
                <w:szCs w:val="17"/>
                <w:color w:val="auto"/>
              </w:rPr>
            </w:pPr>
          </w:p>
        </w:tc>
        <w:tc>
          <w:tcPr>
            <w:tcW w:w="640" w:type="dxa"/>
            <w:vAlign w:val="bottom"/>
            <w:tcBorders>
              <w:bottom w:val="single" w:sz="8" w:color="D7282F"/>
            </w:tcBorders>
          </w:tcPr>
          <w:p>
            <w:pPr>
              <w:spacing w:after="0"/>
              <w:rPr>
                <w:sz w:val="17"/>
                <w:szCs w:val="17"/>
                <w:color w:val="auto"/>
              </w:rPr>
            </w:pPr>
          </w:p>
        </w:tc>
        <w:tc>
          <w:tcPr>
            <w:tcW w:w="240" w:type="dxa"/>
            <w:vAlign w:val="bottom"/>
            <w:tcBorders>
              <w:bottom w:val="single" w:sz="8" w:color="D7282F"/>
            </w:tcBorders>
          </w:tcPr>
          <w:p>
            <w:pPr>
              <w:spacing w:after="0"/>
              <w:rPr>
                <w:sz w:val="17"/>
                <w:szCs w:val="17"/>
                <w:color w:val="auto"/>
              </w:rPr>
            </w:pPr>
          </w:p>
        </w:tc>
        <w:tc>
          <w:tcPr>
            <w:tcW w:w="10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spacing w:after="0"/>
              <w:rPr>
                <w:sz w:val="17"/>
                <w:szCs w:val="17"/>
                <w:color w:val="auto"/>
              </w:rPr>
            </w:pPr>
          </w:p>
        </w:tc>
      </w:tr>
      <w:tr>
        <w:trPr>
          <w:trHeight w:val="474"/>
        </w:trPr>
        <w:tc>
          <w:tcPr>
            <w:tcW w:w="7480" w:type="dxa"/>
            <w:vAlign w:val="bottom"/>
          </w:tcPr>
          <w:p>
            <w:pPr>
              <w:spacing w:after="0"/>
              <w:rPr>
                <w:sz w:val="24"/>
                <w:szCs w:val="24"/>
                <w:color w:val="auto"/>
              </w:rPr>
            </w:pPr>
          </w:p>
        </w:tc>
        <w:tc>
          <w:tcPr>
            <w:tcW w:w="160" w:type="dxa"/>
            <w:vAlign w:val="bottom"/>
            <w:tcBorders>
              <w:bottom w:val="single" w:sz="8" w:color="D7282F"/>
            </w:tcBorders>
          </w:tcPr>
          <w:p>
            <w:pPr>
              <w:spacing w:after="0"/>
              <w:rPr>
                <w:sz w:val="24"/>
                <w:szCs w:val="24"/>
                <w:color w:val="auto"/>
              </w:rPr>
            </w:pPr>
          </w:p>
        </w:tc>
        <w:tc>
          <w:tcPr>
            <w:tcW w:w="600" w:type="dxa"/>
            <w:vAlign w:val="bottom"/>
            <w:tcBorders>
              <w:bottom w:val="single" w:sz="8" w:color="D7282F"/>
            </w:tcBorders>
          </w:tcPr>
          <w:p>
            <w:pPr>
              <w:spacing w:after="0"/>
              <w:rPr>
                <w:sz w:val="24"/>
                <w:szCs w:val="24"/>
                <w:color w:val="auto"/>
              </w:rPr>
            </w:pPr>
          </w:p>
        </w:tc>
        <w:tc>
          <w:tcPr>
            <w:tcW w:w="240" w:type="dxa"/>
            <w:vAlign w:val="bottom"/>
            <w:tcBorders>
              <w:bottom w:val="single" w:sz="8" w:color="D7282F"/>
            </w:tcBorders>
          </w:tcPr>
          <w:p>
            <w:pPr>
              <w:spacing w:after="0"/>
              <w:rPr>
                <w:sz w:val="24"/>
                <w:szCs w:val="24"/>
                <w:color w:val="auto"/>
              </w:rPr>
            </w:pPr>
          </w:p>
        </w:tc>
        <w:tc>
          <w:tcPr>
            <w:tcW w:w="120" w:type="dxa"/>
            <w:vAlign w:val="bottom"/>
            <w:tcBorders>
              <w:bottom w:val="single" w:sz="8" w:color="D7282F"/>
            </w:tcBorders>
          </w:tcPr>
          <w:p>
            <w:pPr>
              <w:spacing w:after="0"/>
              <w:rPr>
                <w:sz w:val="24"/>
                <w:szCs w:val="24"/>
                <w:color w:val="auto"/>
              </w:rPr>
            </w:pPr>
          </w:p>
        </w:tc>
        <w:tc>
          <w:tcPr>
            <w:tcW w:w="1880" w:type="dxa"/>
            <w:vAlign w:val="bottom"/>
            <w:tcBorders>
              <w:bottom w:val="single" w:sz="8" w:color="D7282F"/>
            </w:tcBorders>
            <w:gridSpan w:val="5"/>
          </w:tcPr>
          <w:p>
            <w:pPr>
              <w:jc w:val="center"/>
              <w:ind w:right="380"/>
              <w:spacing w:after="0"/>
              <w:rPr>
                <w:sz w:val="20"/>
                <w:szCs w:val="20"/>
                <w:color w:val="auto"/>
              </w:rPr>
            </w:pPr>
            <w:r>
              <w:rPr>
                <w:rFonts w:ascii="Arial" w:cs="Arial" w:eastAsia="Arial" w:hAnsi="Arial"/>
                <w:sz w:val="14"/>
                <w:szCs w:val="14"/>
                <w:b w:val="1"/>
                <w:bCs w:val="1"/>
                <w:color w:val="auto"/>
              </w:rPr>
              <w:t>U.S. Plans</w:t>
            </w:r>
          </w:p>
        </w:tc>
        <w:tc>
          <w:tcPr>
            <w:tcW w:w="100" w:type="dxa"/>
            <w:vAlign w:val="bottom"/>
            <w:tcBorders>
              <w:bottom w:val="single" w:sz="8" w:color="D7282F"/>
            </w:tcBorders>
          </w:tcPr>
          <w:p>
            <w:pPr>
              <w:spacing w:after="0"/>
              <w:rPr>
                <w:sz w:val="24"/>
                <w:szCs w:val="24"/>
                <w:color w:val="auto"/>
              </w:rPr>
            </w:pPr>
          </w:p>
        </w:tc>
        <w:tc>
          <w:tcPr>
            <w:tcW w:w="660" w:type="dxa"/>
            <w:vAlign w:val="bottom"/>
            <w:tcBorders>
              <w:bottom w:val="single" w:sz="8" w:color="D7282F"/>
            </w:tcBorders>
          </w:tcPr>
          <w:p>
            <w:pPr>
              <w:spacing w:after="0"/>
              <w:rPr>
                <w:sz w:val="24"/>
                <w:szCs w:val="24"/>
                <w:color w:val="auto"/>
              </w:rPr>
            </w:pPr>
          </w:p>
        </w:tc>
      </w:tr>
      <w:tr>
        <w:trPr>
          <w:trHeight w:val="236"/>
        </w:trPr>
        <w:tc>
          <w:tcPr>
            <w:tcW w:w="7480" w:type="dxa"/>
            <w:vAlign w:val="bottom"/>
          </w:tcPr>
          <w:p>
            <w:pPr>
              <w:spacing w:after="0"/>
              <w:rPr>
                <w:sz w:val="20"/>
                <w:szCs w:val="20"/>
                <w:color w:val="auto"/>
              </w:rPr>
            </w:pPr>
          </w:p>
        </w:tc>
        <w:tc>
          <w:tcPr>
            <w:tcW w:w="160" w:type="dxa"/>
            <w:vAlign w:val="bottom"/>
            <w:tcBorders>
              <w:bottom w:val="single" w:sz="8" w:color="D7282F"/>
            </w:tcBorders>
          </w:tcPr>
          <w:p>
            <w:pPr>
              <w:spacing w:after="0"/>
              <w:rPr>
                <w:sz w:val="20"/>
                <w:szCs w:val="20"/>
                <w:color w:val="auto"/>
              </w:rPr>
            </w:pPr>
          </w:p>
        </w:tc>
        <w:tc>
          <w:tcPr>
            <w:tcW w:w="600" w:type="dxa"/>
            <w:vAlign w:val="bottom"/>
            <w:tcBorders>
              <w:bottom w:val="single" w:sz="8" w:color="D7282F"/>
            </w:tcBorders>
          </w:tcPr>
          <w:p>
            <w:pPr>
              <w:spacing w:after="0"/>
              <w:rPr>
                <w:sz w:val="20"/>
                <w:szCs w:val="20"/>
                <w:color w:val="auto"/>
              </w:rPr>
            </w:pPr>
          </w:p>
        </w:tc>
        <w:tc>
          <w:tcPr>
            <w:tcW w:w="240" w:type="dxa"/>
            <w:vAlign w:val="bottom"/>
            <w:tcBorders>
              <w:bottom w:val="single" w:sz="8" w:color="D7282F"/>
            </w:tcBorders>
          </w:tcPr>
          <w:p>
            <w:pPr>
              <w:spacing w:after="0"/>
              <w:rPr>
                <w:sz w:val="20"/>
                <w:szCs w:val="20"/>
                <w:color w:val="auto"/>
              </w:rPr>
            </w:pPr>
          </w:p>
        </w:tc>
        <w:tc>
          <w:tcPr>
            <w:tcW w:w="120" w:type="dxa"/>
            <w:vAlign w:val="bottom"/>
            <w:tcBorders>
              <w:bottom w:val="single" w:sz="8" w:color="D7282F"/>
            </w:tcBorders>
          </w:tcPr>
          <w:p>
            <w:pPr>
              <w:spacing w:after="0"/>
              <w:rPr>
                <w:sz w:val="20"/>
                <w:szCs w:val="20"/>
                <w:color w:val="auto"/>
              </w:rPr>
            </w:pPr>
          </w:p>
        </w:tc>
        <w:tc>
          <w:tcPr>
            <w:tcW w:w="1880" w:type="dxa"/>
            <w:vAlign w:val="bottom"/>
            <w:tcBorders>
              <w:bottom w:val="single" w:sz="8" w:color="D7282F"/>
            </w:tcBorders>
            <w:gridSpan w:val="5"/>
          </w:tcPr>
          <w:p>
            <w:pPr>
              <w:jc w:val="center"/>
              <w:ind w:right="380"/>
              <w:spacing w:after="0"/>
              <w:rPr>
                <w:sz w:val="20"/>
                <w:szCs w:val="20"/>
                <w:color w:val="auto"/>
              </w:rPr>
            </w:pPr>
            <w:r>
              <w:rPr>
                <w:rFonts w:ascii="Arial" w:cs="Arial" w:eastAsia="Arial" w:hAnsi="Arial"/>
                <w:sz w:val="14"/>
                <w:szCs w:val="14"/>
                <w:b w:val="1"/>
                <w:bCs w:val="1"/>
                <w:color w:val="auto"/>
              </w:rPr>
              <w:t>December 31, 2023</w:t>
            </w:r>
          </w:p>
        </w:tc>
        <w:tc>
          <w:tcPr>
            <w:tcW w:w="100" w:type="dxa"/>
            <w:vAlign w:val="bottom"/>
            <w:tcBorders>
              <w:bottom w:val="single" w:sz="8" w:color="D7282F"/>
            </w:tcBorders>
          </w:tcPr>
          <w:p>
            <w:pPr>
              <w:spacing w:after="0"/>
              <w:rPr>
                <w:sz w:val="20"/>
                <w:szCs w:val="20"/>
                <w:color w:val="auto"/>
              </w:rPr>
            </w:pPr>
          </w:p>
        </w:tc>
        <w:tc>
          <w:tcPr>
            <w:tcW w:w="660" w:type="dxa"/>
            <w:vAlign w:val="bottom"/>
            <w:tcBorders>
              <w:bottom w:val="single" w:sz="8" w:color="D7282F"/>
            </w:tcBorders>
          </w:tcPr>
          <w:p>
            <w:pPr>
              <w:spacing w:after="0"/>
              <w:rPr>
                <w:sz w:val="20"/>
                <w:szCs w:val="20"/>
                <w:color w:val="auto"/>
              </w:rPr>
            </w:pPr>
          </w:p>
        </w:tc>
      </w:tr>
      <w:tr>
        <w:trPr>
          <w:trHeight w:val="237"/>
        </w:trPr>
        <w:tc>
          <w:tcPr>
            <w:tcW w:w="7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20"/>
                <w:szCs w:val="20"/>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20"/>
                <w:szCs w:val="20"/>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20"/>
                <w:szCs w:val="20"/>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b w:val="1"/>
                <w:bCs w:val="1"/>
                <w:color w:val="auto"/>
              </w:rPr>
              <w:t>Level 3</w:t>
            </w:r>
          </w:p>
        </w:tc>
      </w:tr>
      <w:tr>
        <w:trPr>
          <w:trHeight w:val="198"/>
        </w:trPr>
        <w:tc>
          <w:tcPr>
            <w:tcW w:w="7480" w:type="dxa"/>
            <w:vAlign w:val="bottom"/>
            <w:tcBorders>
              <w:top w:val="single" w:sz="8" w:color="D7282F"/>
              <w:bottom w:val="single" w:sz="8" w:color="888B8D"/>
            </w:tcBorders>
          </w:tcPr>
          <w:p>
            <w:pPr>
              <w:ind w:left="20"/>
              <w:spacing w:after="0"/>
              <w:rPr>
                <w:sz w:val="20"/>
                <w:szCs w:val="20"/>
                <w:color w:val="auto"/>
              </w:rPr>
            </w:pPr>
            <w:r>
              <w:rPr>
                <w:rFonts w:ascii="Arial" w:cs="Arial" w:eastAsia="Arial" w:hAnsi="Arial"/>
                <w:sz w:val="14"/>
                <w:szCs w:val="14"/>
                <w:color w:val="auto"/>
              </w:rPr>
              <w:t>Equities</w:t>
            </w:r>
          </w:p>
        </w:tc>
        <w:tc>
          <w:tcPr>
            <w:tcW w:w="160" w:type="dxa"/>
            <w:vAlign w:val="bottom"/>
            <w:tcBorders>
              <w:top w:val="single" w:sz="8" w:color="D7282F"/>
              <w:bottom w:val="single" w:sz="8" w:color="888B8D"/>
            </w:tcBorders>
          </w:tcPr>
          <w:p>
            <w:pPr>
              <w:spacing w:after="0"/>
              <w:rPr>
                <w:sz w:val="17"/>
                <w:szCs w:val="17"/>
                <w:color w:val="auto"/>
              </w:rPr>
            </w:pPr>
          </w:p>
        </w:tc>
        <w:tc>
          <w:tcPr>
            <w:tcW w:w="600" w:type="dxa"/>
            <w:vAlign w:val="bottom"/>
            <w:tcBorders>
              <w:top w:val="single" w:sz="8" w:color="D7282F"/>
              <w:bottom w:val="single" w:sz="8" w:color="888B8D"/>
            </w:tcBorders>
          </w:tcPr>
          <w:p>
            <w:pPr>
              <w:spacing w:after="0"/>
              <w:rPr>
                <w:sz w:val="17"/>
                <w:szCs w:val="17"/>
                <w:color w:val="auto"/>
              </w:rPr>
            </w:pPr>
          </w:p>
        </w:tc>
        <w:tc>
          <w:tcPr>
            <w:tcW w:w="240" w:type="dxa"/>
            <w:vAlign w:val="bottom"/>
            <w:tcBorders>
              <w:top w:val="single" w:sz="8" w:color="DC202E"/>
              <w:bottom w:val="single" w:sz="8" w:color="888B8D"/>
            </w:tcBorders>
          </w:tcPr>
          <w:p>
            <w:pPr>
              <w:spacing w:after="0"/>
              <w:rPr>
                <w:sz w:val="17"/>
                <w:szCs w:val="17"/>
                <w:color w:val="auto"/>
              </w:rPr>
            </w:pPr>
          </w:p>
        </w:tc>
        <w:tc>
          <w:tcPr>
            <w:tcW w:w="120" w:type="dxa"/>
            <w:vAlign w:val="bottom"/>
            <w:tcBorders>
              <w:top w:val="single" w:sz="8" w:color="D7282F"/>
              <w:bottom w:val="single" w:sz="8" w:color="888B8D"/>
            </w:tcBorders>
          </w:tcPr>
          <w:p>
            <w:pPr>
              <w:spacing w:after="0"/>
              <w:rPr>
                <w:sz w:val="17"/>
                <w:szCs w:val="17"/>
                <w:color w:val="auto"/>
              </w:rPr>
            </w:pPr>
          </w:p>
        </w:tc>
        <w:tc>
          <w:tcPr>
            <w:tcW w:w="640" w:type="dxa"/>
            <w:vAlign w:val="bottom"/>
            <w:tcBorders>
              <w:top w:val="single" w:sz="8" w:color="D7282F"/>
              <w:bottom w:val="single" w:sz="8" w:color="888B8D"/>
            </w:tcBorders>
          </w:tcPr>
          <w:p>
            <w:pPr>
              <w:spacing w:after="0"/>
              <w:rPr>
                <w:sz w:val="17"/>
                <w:szCs w:val="17"/>
                <w:color w:val="auto"/>
              </w:rPr>
            </w:pPr>
          </w:p>
        </w:tc>
        <w:tc>
          <w:tcPr>
            <w:tcW w:w="240" w:type="dxa"/>
            <w:vAlign w:val="bottom"/>
            <w:tcBorders>
              <w:top w:val="single" w:sz="8" w:color="DC202E"/>
              <w:bottom w:val="single" w:sz="8" w:color="888B8D"/>
            </w:tcBorders>
          </w:tcPr>
          <w:p>
            <w:pPr>
              <w:spacing w:after="0"/>
              <w:rPr>
                <w:sz w:val="17"/>
                <w:szCs w:val="17"/>
                <w:color w:val="auto"/>
              </w:rPr>
            </w:pPr>
          </w:p>
        </w:tc>
        <w:tc>
          <w:tcPr>
            <w:tcW w:w="120" w:type="dxa"/>
            <w:vAlign w:val="bottom"/>
            <w:tcBorders>
              <w:top w:val="single" w:sz="8" w:color="D7282F"/>
              <w:bottom w:val="single" w:sz="8" w:color="888B8D"/>
            </w:tcBorders>
          </w:tcPr>
          <w:p>
            <w:pPr>
              <w:spacing w:after="0"/>
              <w:rPr>
                <w:sz w:val="17"/>
                <w:szCs w:val="17"/>
                <w:color w:val="auto"/>
              </w:rPr>
            </w:pPr>
          </w:p>
        </w:tc>
        <w:tc>
          <w:tcPr>
            <w:tcW w:w="640" w:type="dxa"/>
            <w:vAlign w:val="bottom"/>
            <w:tcBorders>
              <w:top w:val="single" w:sz="8" w:color="D7282F"/>
              <w:bottom w:val="single" w:sz="8" w:color="888B8D"/>
            </w:tcBorders>
          </w:tcPr>
          <w:p>
            <w:pPr>
              <w:spacing w:after="0"/>
              <w:rPr>
                <w:sz w:val="17"/>
                <w:szCs w:val="17"/>
                <w:color w:val="auto"/>
              </w:rPr>
            </w:pPr>
          </w:p>
        </w:tc>
        <w:tc>
          <w:tcPr>
            <w:tcW w:w="240" w:type="dxa"/>
            <w:vAlign w:val="bottom"/>
            <w:tcBorders>
              <w:top w:val="single" w:sz="8" w:color="DC202E"/>
              <w:bottom w:val="single" w:sz="8" w:color="888B8D"/>
            </w:tcBorders>
          </w:tcPr>
          <w:p>
            <w:pPr>
              <w:spacing w:after="0"/>
              <w:rPr>
                <w:sz w:val="17"/>
                <w:szCs w:val="17"/>
                <w:color w:val="auto"/>
              </w:rPr>
            </w:pPr>
          </w:p>
        </w:tc>
        <w:tc>
          <w:tcPr>
            <w:tcW w:w="100" w:type="dxa"/>
            <w:vAlign w:val="bottom"/>
            <w:tcBorders>
              <w:top w:val="single" w:sz="8" w:color="D7282F"/>
              <w:bottom w:val="single" w:sz="8" w:color="888B8D"/>
            </w:tcBorders>
          </w:tcPr>
          <w:p>
            <w:pPr>
              <w:spacing w:after="0"/>
              <w:rPr>
                <w:sz w:val="17"/>
                <w:szCs w:val="17"/>
                <w:color w:val="auto"/>
              </w:rPr>
            </w:pPr>
          </w:p>
        </w:tc>
        <w:tc>
          <w:tcPr>
            <w:tcW w:w="660" w:type="dxa"/>
            <w:vAlign w:val="bottom"/>
            <w:tcBorders>
              <w:top w:val="single" w:sz="8" w:color="D7282F"/>
              <w:bottom w:val="single" w:sz="8" w:color="888B8D"/>
            </w:tcBorders>
          </w:tcPr>
          <w:p>
            <w:pPr>
              <w:spacing w:after="0"/>
              <w:rPr>
                <w:sz w:val="17"/>
                <w:szCs w:val="17"/>
                <w:color w:val="auto"/>
              </w:rPr>
            </w:pPr>
          </w:p>
        </w:tc>
      </w:tr>
      <w:tr>
        <w:trPr>
          <w:trHeight w:val="196"/>
        </w:trPr>
        <w:tc>
          <w:tcPr>
            <w:tcW w:w="748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Honeywell common stock</w:t>
            </w:r>
          </w:p>
        </w:tc>
        <w:tc>
          <w:tcPr>
            <w:tcW w:w="1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3,049</w:t>
            </w:r>
          </w:p>
        </w:tc>
        <w:tc>
          <w:tcPr>
            <w:tcW w:w="240" w:type="dxa"/>
            <w:vAlign w:val="bottom"/>
            <w:tcBorders>
              <w:bottom w:val="single" w:sz="8" w:color="888B8D"/>
            </w:tcBorders>
          </w:tcPr>
          <w:p>
            <w:pPr>
              <w:spacing w:after="0"/>
              <w:rPr>
                <w:sz w:val="17"/>
                <w:szCs w:val="17"/>
                <w:color w:val="auto"/>
              </w:rPr>
            </w:pPr>
          </w:p>
        </w:tc>
        <w:tc>
          <w:tcPr>
            <w:tcW w:w="12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3,049</w:t>
            </w:r>
          </w:p>
        </w:tc>
        <w:tc>
          <w:tcPr>
            <w:tcW w:w="240" w:type="dxa"/>
            <w:vAlign w:val="bottom"/>
            <w:tcBorders>
              <w:bottom w:val="single" w:sz="8" w:color="888B8D"/>
            </w:tcBorders>
          </w:tcPr>
          <w:p>
            <w:pPr>
              <w:spacing w:after="0"/>
              <w:rPr>
                <w:sz w:val="17"/>
                <w:szCs w:val="17"/>
                <w:color w:val="auto"/>
              </w:rPr>
            </w:pPr>
          </w:p>
        </w:tc>
        <w:tc>
          <w:tcPr>
            <w:tcW w:w="12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888B8D"/>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748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U.S. equities</w:t>
            </w:r>
          </w:p>
        </w:tc>
        <w:tc>
          <w:tcPr>
            <w:tcW w:w="160" w:type="dxa"/>
            <w:vAlign w:val="bottom"/>
            <w:tcBorders>
              <w:bottom w:val="single" w:sz="8" w:color="888B8D"/>
            </w:tcBorders>
          </w:tcPr>
          <w:p>
            <w:pPr>
              <w:spacing w:after="0"/>
              <w:rPr>
                <w:sz w:val="17"/>
                <w:szCs w:val="17"/>
                <w:color w:val="auto"/>
              </w:rPr>
            </w:pPr>
          </w:p>
        </w:tc>
        <w:tc>
          <w:tcPr>
            <w:tcW w:w="840" w:type="dxa"/>
            <w:vAlign w:val="bottom"/>
            <w:tcBorders>
              <w:bottom w:val="single" w:sz="8" w:color="888B8D"/>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888B8D"/>
            </w:tcBorders>
          </w:tcPr>
          <w:p>
            <w:pPr>
              <w:spacing w:after="0"/>
              <w:rPr>
                <w:sz w:val="17"/>
                <w:szCs w:val="17"/>
                <w:color w:val="auto"/>
              </w:rPr>
            </w:pPr>
          </w:p>
        </w:tc>
        <w:tc>
          <w:tcPr>
            <w:tcW w:w="880" w:type="dxa"/>
            <w:vAlign w:val="bottom"/>
            <w:tcBorders>
              <w:bottom w:val="single" w:sz="8" w:color="888B8D"/>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888B8D"/>
            </w:tcBorders>
          </w:tcPr>
          <w:p>
            <w:pPr>
              <w:spacing w:after="0"/>
              <w:rPr>
                <w:sz w:val="17"/>
                <w:szCs w:val="17"/>
                <w:color w:val="auto"/>
              </w:rPr>
            </w:pPr>
          </w:p>
        </w:tc>
        <w:tc>
          <w:tcPr>
            <w:tcW w:w="880" w:type="dxa"/>
            <w:vAlign w:val="bottom"/>
            <w:tcBorders>
              <w:bottom w:val="single" w:sz="8" w:color="888B8D"/>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888B8D"/>
            </w:tcBorders>
          </w:tcPr>
          <w:p>
            <w:pPr>
              <w:spacing w:after="0"/>
              <w:rPr>
                <w:sz w:val="17"/>
                <w:szCs w:val="17"/>
                <w:color w:val="auto"/>
              </w:rPr>
            </w:pPr>
          </w:p>
        </w:tc>
        <w:tc>
          <w:tcPr>
            <w:tcW w:w="6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7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Fixed income</w:t>
            </w:r>
          </w:p>
        </w:tc>
        <w:tc>
          <w:tcPr>
            <w:tcW w:w="16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spacing w:after="0"/>
              <w:rPr>
                <w:sz w:val="17"/>
                <w:szCs w:val="17"/>
                <w:color w:val="auto"/>
              </w:rPr>
            </w:pPr>
          </w:p>
        </w:tc>
        <w:tc>
          <w:tcPr>
            <w:tcW w:w="240" w:type="dxa"/>
            <w:vAlign w:val="bottom"/>
            <w:tcBorders>
              <w:bottom w:val="single" w:sz="8" w:color="888B8D"/>
            </w:tcBorders>
          </w:tcPr>
          <w:p>
            <w:pPr>
              <w:spacing w:after="0"/>
              <w:rPr>
                <w:sz w:val="17"/>
                <w:szCs w:val="17"/>
                <w:color w:val="auto"/>
              </w:rPr>
            </w:pPr>
          </w:p>
        </w:tc>
        <w:tc>
          <w:tcPr>
            <w:tcW w:w="120" w:type="dxa"/>
            <w:vAlign w:val="bottom"/>
            <w:tcBorders>
              <w:bottom w:val="single" w:sz="8" w:color="888B8D"/>
            </w:tcBorders>
          </w:tcPr>
          <w:p>
            <w:pPr>
              <w:spacing w:after="0"/>
              <w:rPr>
                <w:sz w:val="17"/>
                <w:szCs w:val="17"/>
                <w:color w:val="auto"/>
              </w:rPr>
            </w:pPr>
          </w:p>
        </w:tc>
        <w:tc>
          <w:tcPr>
            <w:tcW w:w="640" w:type="dxa"/>
            <w:vAlign w:val="bottom"/>
            <w:tcBorders>
              <w:bottom w:val="single" w:sz="8" w:color="888B8D"/>
            </w:tcBorders>
          </w:tcPr>
          <w:p>
            <w:pPr>
              <w:spacing w:after="0"/>
              <w:rPr>
                <w:sz w:val="17"/>
                <w:szCs w:val="17"/>
                <w:color w:val="auto"/>
              </w:rPr>
            </w:pPr>
          </w:p>
        </w:tc>
        <w:tc>
          <w:tcPr>
            <w:tcW w:w="240" w:type="dxa"/>
            <w:vAlign w:val="bottom"/>
            <w:tcBorders>
              <w:bottom w:val="single" w:sz="8" w:color="888B8D"/>
            </w:tcBorders>
          </w:tcPr>
          <w:p>
            <w:pPr>
              <w:spacing w:after="0"/>
              <w:rPr>
                <w:sz w:val="17"/>
                <w:szCs w:val="17"/>
                <w:color w:val="auto"/>
              </w:rPr>
            </w:pPr>
          </w:p>
        </w:tc>
        <w:tc>
          <w:tcPr>
            <w:tcW w:w="120" w:type="dxa"/>
            <w:vAlign w:val="bottom"/>
            <w:tcBorders>
              <w:bottom w:val="single" w:sz="8" w:color="888B8D"/>
            </w:tcBorders>
          </w:tcPr>
          <w:p>
            <w:pPr>
              <w:spacing w:after="0"/>
              <w:rPr>
                <w:sz w:val="17"/>
                <w:szCs w:val="17"/>
                <w:color w:val="auto"/>
              </w:rPr>
            </w:pPr>
          </w:p>
        </w:tc>
        <w:tc>
          <w:tcPr>
            <w:tcW w:w="640" w:type="dxa"/>
            <w:vAlign w:val="bottom"/>
            <w:tcBorders>
              <w:bottom w:val="single" w:sz="8" w:color="888B8D"/>
            </w:tcBorders>
          </w:tcPr>
          <w:p>
            <w:pPr>
              <w:spacing w:after="0"/>
              <w:rPr>
                <w:sz w:val="17"/>
                <w:szCs w:val="17"/>
                <w:color w:val="auto"/>
              </w:rPr>
            </w:pPr>
          </w:p>
        </w:tc>
        <w:tc>
          <w:tcPr>
            <w:tcW w:w="240" w:type="dxa"/>
            <w:vAlign w:val="bottom"/>
            <w:tcBorders>
              <w:bottom w:val="single" w:sz="8" w:color="888B8D"/>
            </w:tcBorders>
          </w:tcPr>
          <w:p>
            <w:pPr>
              <w:spacing w:after="0"/>
              <w:rPr>
                <w:sz w:val="17"/>
                <w:szCs w:val="17"/>
                <w:color w:val="auto"/>
              </w:rPr>
            </w:pPr>
          </w:p>
        </w:tc>
        <w:tc>
          <w:tcPr>
            <w:tcW w:w="100" w:type="dxa"/>
            <w:vAlign w:val="bottom"/>
            <w:tcBorders>
              <w:bottom w:val="single" w:sz="8" w:color="888B8D"/>
            </w:tcBorders>
          </w:tcPr>
          <w:p>
            <w:pPr>
              <w:spacing w:after="0"/>
              <w:rPr>
                <w:sz w:val="17"/>
                <w:szCs w:val="17"/>
                <w:color w:val="auto"/>
              </w:rPr>
            </w:pPr>
          </w:p>
        </w:tc>
        <w:tc>
          <w:tcPr>
            <w:tcW w:w="660" w:type="dxa"/>
            <w:vAlign w:val="bottom"/>
            <w:tcBorders>
              <w:bottom w:val="single" w:sz="8" w:color="888B8D"/>
            </w:tcBorders>
          </w:tcPr>
          <w:p>
            <w:pPr>
              <w:spacing w:after="0"/>
              <w:rPr>
                <w:sz w:val="17"/>
                <w:szCs w:val="17"/>
                <w:color w:val="auto"/>
              </w:rPr>
            </w:pPr>
          </w:p>
        </w:tc>
      </w:tr>
      <w:tr>
        <w:trPr>
          <w:trHeight w:val="196"/>
        </w:trPr>
        <w:tc>
          <w:tcPr>
            <w:tcW w:w="748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Short-term investments</w:t>
            </w:r>
          </w:p>
        </w:tc>
        <w:tc>
          <w:tcPr>
            <w:tcW w:w="16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2,942</w:t>
            </w:r>
          </w:p>
        </w:tc>
        <w:tc>
          <w:tcPr>
            <w:tcW w:w="240" w:type="dxa"/>
            <w:vAlign w:val="bottom"/>
            <w:tcBorders>
              <w:bottom w:val="single" w:sz="8" w:color="888B8D"/>
            </w:tcBorders>
          </w:tcPr>
          <w:p>
            <w:pPr>
              <w:spacing w:after="0"/>
              <w:rPr>
                <w:sz w:val="17"/>
                <w:szCs w:val="17"/>
                <w:color w:val="auto"/>
              </w:rPr>
            </w:pPr>
          </w:p>
        </w:tc>
        <w:tc>
          <w:tcPr>
            <w:tcW w:w="120" w:type="dxa"/>
            <w:vAlign w:val="bottom"/>
            <w:tcBorders>
              <w:bottom w:val="single" w:sz="8" w:color="888B8D"/>
            </w:tcBorders>
          </w:tcPr>
          <w:p>
            <w:pPr>
              <w:spacing w:after="0"/>
              <w:rPr>
                <w:sz w:val="17"/>
                <w:szCs w:val="17"/>
                <w:color w:val="auto"/>
              </w:rPr>
            </w:pPr>
          </w:p>
        </w:tc>
        <w:tc>
          <w:tcPr>
            <w:tcW w:w="6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283</w:t>
            </w:r>
          </w:p>
        </w:tc>
        <w:tc>
          <w:tcPr>
            <w:tcW w:w="240" w:type="dxa"/>
            <w:vAlign w:val="bottom"/>
            <w:tcBorders>
              <w:bottom w:val="single" w:sz="8" w:color="888B8D"/>
            </w:tcBorders>
          </w:tcPr>
          <w:p>
            <w:pPr>
              <w:spacing w:after="0"/>
              <w:rPr>
                <w:sz w:val="17"/>
                <w:szCs w:val="17"/>
                <w:color w:val="auto"/>
              </w:rPr>
            </w:pPr>
          </w:p>
        </w:tc>
        <w:tc>
          <w:tcPr>
            <w:tcW w:w="120" w:type="dxa"/>
            <w:vAlign w:val="bottom"/>
            <w:tcBorders>
              <w:bottom w:val="single" w:sz="8" w:color="888B8D"/>
            </w:tcBorders>
          </w:tcPr>
          <w:p>
            <w:pPr>
              <w:spacing w:after="0"/>
              <w:rPr>
                <w:sz w:val="17"/>
                <w:szCs w:val="17"/>
                <w:color w:val="auto"/>
              </w:rPr>
            </w:pPr>
          </w:p>
        </w:tc>
        <w:tc>
          <w:tcPr>
            <w:tcW w:w="6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2,659</w:t>
            </w:r>
          </w:p>
        </w:tc>
        <w:tc>
          <w:tcPr>
            <w:tcW w:w="240" w:type="dxa"/>
            <w:vAlign w:val="bottom"/>
            <w:tcBorders>
              <w:bottom w:val="single" w:sz="8" w:color="888B8D"/>
            </w:tcBorders>
          </w:tcPr>
          <w:p>
            <w:pPr>
              <w:spacing w:after="0"/>
              <w:rPr>
                <w:sz w:val="17"/>
                <w:szCs w:val="17"/>
                <w:color w:val="auto"/>
              </w:rPr>
            </w:pPr>
          </w:p>
        </w:tc>
        <w:tc>
          <w:tcPr>
            <w:tcW w:w="100" w:type="dxa"/>
            <w:vAlign w:val="bottom"/>
            <w:tcBorders>
              <w:bottom w:val="single" w:sz="8" w:color="888B8D"/>
            </w:tcBorders>
          </w:tcPr>
          <w:p>
            <w:pPr>
              <w:spacing w:after="0"/>
              <w:rPr>
                <w:sz w:val="17"/>
                <w:szCs w:val="17"/>
                <w:color w:val="auto"/>
              </w:rPr>
            </w:pPr>
          </w:p>
        </w:tc>
        <w:tc>
          <w:tcPr>
            <w:tcW w:w="6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748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Government securities</w:t>
            </w:r>
          </w:p>
        </w:tc>
        <w:tc>
          <w:tcPr>
            <w:tcW w:w="16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532</w:t>
            </w:r>
          </w:p>
        </w:tc>
        <w:tc>
          <w:tcPr>
            <w:tcW w:w="240" w:type="dxa"/>
            <w:vAlign w:val="bottom"/>
            <w:tcBorders>
              <w:bottom w:val="single" w:sz="8" w:color="888B8D"/>
            </w:tcBorders>
          </w:tcPr>
          <w:p>
            <w:pPr>
              <w:spacing w:after="0"/>
              <w:rPr>
                <w:sz w:val="17"/>
                <w:szCs w:val="17"/>
                <w:color w:val="auto"/>
              </w:rPr>
            </w:pPr>
          </w:p>
        </w:tc>
        <w:tc>
          <w:tcPr>
            <w:tcW w:w="120" w:type="dxa"/>
            <w:vAlign w:val="bottom"/>
            <w:tcBorders>
              <w:bottom w:val="single" w:sz="8" w:color="888B8D"/>
            </w:tcBorders>
          </w:tcPr>
          <w:p>
            <w:pPr>
              <w:spacing w:after="0"/>
              <w:rPr>
                <w:sz w:val="17"/>
                <w:szCs w:val="17"/>
                <w:color w:val="auto"/>
              </w:rPr>
            </w:pPr>
          </w:p>
        </w:tc>
        <w:tc>
          <w:tcPr>
            <w:tcW w:w="880" w:type="dxa"/>
            <w:vAlign w:val="bottom"/>
            <w:tcBorders>
              <w:bottom w:val="single" w:sz="8" w:color="888B8D"/>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888B8D"/>
            </w:tcBorders>
          </w:tcPr>
          <w:p>
            <w:pPr>
              <w:spacing w:after="0"/>
              <w:rPr>
                <w:sz w:val="17"/>
                <w:szCs w:val="17"/>
                <w:color w:val="auto"/>
              </w:rPr>
            </w:pPr>
          </w:p>
        </w:tc>
        <w:tc>
          <w:tcPr>
            <w:tcW w:w="6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532</w:t>
            </w:r>
          </w:p>
        </w:tc>
        <w:tc>
          <w:tcPr>
            <w:tcW w:w="240" w:type="dxa"/>
            <w:vAlign w:val="bottom"/>
            <w:tcBorders>
              <w:bottom w:val="single" w:sz="8" w:color="888B8D"/>
            </w:tcBorders>
          </w:tcPr>
          <w:p>
            <w:pPr>
              <w:spacing w:after="0"/>
              <w:rPr>
                <w:sz w:val="17"/>
                <w:szCs w:val="17"/>
                <w:color w:val="auto"/>
              </w:rPr>
            </w:pPr>
          </w:p>
        </w:tc>
        <w:tc>
          <w:tcPr>
            <w:tcW w:w="100" w:type="dxa"/>
            <w:vAlign w:val="bottom"/>
            <w:tcBorders>
              <w:bottom w:val="single" w:sz="8" w:color="888B8D"/>
            </w:tcBorders>
          </w:tcPr>
          <w:p>
            <w:pPr>
              <w:spacing w:after="0"/>
              <w:rPr>
                <w:sz w:val="17"/>
                <w:szCs w:val="17"/>
                <w:color w:val="auto"/>
              </w:rPr>
            </w:pPr>
          </w:p>
        </w:tc>
        <w:tc>
          <w:tcPr>
            <w:tcW w:w="6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748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Corporate bonds</w:t>
            </w:r>
          </w:p>
        </w:tc>
        <w:tc>
          <w:tcPr>
            <w:tcW w:w="16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5,733</w:t>
            </w:r>
          </w:p>
        </w:tc>
        <w:tc>
          <w:tcPr>
            <w:tcW w:w="240" w:type="dxa"/>
            <w:vAlign w:val="bottom"/>
            <w:tcBorders>
              <w:bottom w:val="single" w:sz="8" w:color="888B8D"/>
            </w:tcBorders>
          </w:tcPr>
          <w:p>
            <w:pPr>
              <w:spacing w:after="0"/>
              <w:rPr>
                <w:sz w:val="17"/>
                <w:szCs w:val="17"/>
                <w:color w:val="auto"/>
              </w:rPr>
            </w:pPr>
          </w:p>
        </w:tc>
        <w:tc>
          <w:tcPr>
            <w:tcW w:w="120" w:type="dxa"/>
            <w:vAlign w:val="bottom"/>
            <w:tcBorders>
              <w:bottom w:val="single" w:sz="8" w:color="888B8D"/>
            </w:tcBorders>
          </w:tcPr>
          <w:p>
            <w:pPr>
              <w:spacing w:after="0"/>
              <w:rPr>
                <w:sz w:val="17"/>
                <w:szCs w:val="17"/>
                <w:color w:val="auto"/>
              </w:rPr>
            </w:pPr>
          </w:p>
        </w:tc>
        <w:tc>
          <w:tcPr>
            <w:tcW w:w="880" w:type="dxa"/>
            <w:vAlign w:val="bottom"/>
            <w:tcBorders>
              <w:bottom w:val="single" w:sz="8" w:color="888B8D"/>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888B8D"/>
            </w:tcBorders>
          </w:tcPr>
          <w:p>
            <w:pPr>
              <w:spacing w:after="0"/>
              <w:rPr>
                <w:sz w:val="17"/>
                <w:szCs w:val="17"/>
                <w:color w:val="auto"/>
              </w:rPr>
            </w:pPr>
          </w:p>
        </w:tc>
        <w:tc>
          <w:tcPr>
            <w:tcW w:w="6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5,733</w:t>
            </w:r>
          </w:p>
        </w:tc>
        <w:tc>
          <w:tcPr>
            <w:tcW w:w="240" w:type="dxa"/>
            <w:vAlign w:val="bottom"/>
            <w:tcBorders>
              <w:bottom w:val="single" w:sz="8" w:color="888B8D"/>
            </w:tcBorders>
          </w:tcPr>
          <w:p>
            <w:pPr>
              <w:spacing w:after="0"/>
              <w:rPr>
                <w:sz w:val="17"/>
                <w:szCs w:val="17"/>
                <w:color w:val="auto"/>
              </w:rPr>
            </w:pPr>
          </w:p>
        </w:tc>
        <w:tc>
          <w:tcPr>
            <w:tcW w:w="100" w:type="dxa"/>
            <w:vAlign w:val="bottom"/>
            <w:tcBorders>
              <w:bottom w:val="single" w:sz="8" w:color="888B8D"/>
            </w:tcBorders>
          </w:tcPr>
          <w:p>
            <w:pPr>
              <w:spacing w:after="0"/>
              <w:rPr>
                <w:sz w:val="17"/>
                <w:szCs w:val="17"/>
                <w:color w:val="auto"/>
              </w:rPr>
            </w:pPr>
          </w:p>
        </w:tc>
        <w:tc>
          <w:tcPr>
            <w:tcW w:w="6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748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Mortgage/Asset-backed securities</w:t>
            </w:r>
          </w:p>
        </w:tc>
        <w:tc>
          <w:tcPr>
            <w:tcW w:w="16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676</w:t>
            </w:r>
          </w:p>
        </w:tc>
        <w:tc>
          <w:tcPr>
            <w:tcW w:w="240" w:type="dxa"/>
            <w:vAlign w:val="bottom"/>
            <w:tcBorders>
              <w:bottom w:val="single" w:sz="8" w:color="888B8D"/>
            </w:tcBorders>
          </w:tcPr>
          <w:p>
            <w:pPr>
              <w:spacing w:after="0"/>
              <w:rPr>
                <w:sz w:val="17"/>
                <w:szCs w:val="17"/>
                <w:color w:val="auto"/>
              </w:rPr>
            </w:pPr>
          </w:p>
        </w:tc>
        <w:tc>
          <w:tcPr>
            <w:tcW w:w="120" w:type="dxa"/>
            <w:vAlign w:val="bottom"/>
            <w:tcBorders>
              <w:bottom w:val="single" w:sz="8" w:color="888B8D"/>
            </w:tcBorders>
          </w:tcPr>
          <w:p>
            <w:pPr>
              <w:spacing w:after="0"/>
              <w:rPr>
                <w:sz w:val="17"/>
                <w:szCs w:val="17"/>
                <w:color w:val="auto"/>
              </w:rPr>
            </w:pPr>
          </w:p>
        </w:tc>
        <w:tc>
          <w:tcPr>
            <w:tcW w:w="880" w:type="dxa"/>
            <w:vAlign w:val="bottom"/>
            <w:tcBorders>
              <w:bottom w:val="single" w:sz="8" w:color="888B8D"/>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888B8D"/>
            </w:tcBorders>
          </w:tcPr>
          <w:p>
            <w:pPr>
              <w:spacing w:after="0"/>
              <w:rPr>
                <w:sz w:val="17"/>
                <w:szCs w:val="17"/>
                <w:color w:val="auto"/>
              </w:rPr>
            </w:pPr>
          </w:p>
        </w:tc>
        <w:tc>
          <w:tcPr>
            <w:tcW w:w="6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676</w:t>
            </w:r>
          </w:p>
        </w:tc>
        <w:tc>
          <w:tcPr>
            <w:tcW w:w="240" w:type="dxa"/>
            <w:vAlign w:val="bottom"/>
            <w:tcBorders>
              <w:bottom w:val="single" w:sz="8" w:color="888B8D"/>
            </w:tcBorders>
          </w:tcPr>
          <w:p>
            <w:pPr>
              <w:spacing w:after="0"/>
              <w:rPr>
                <w:sz w:val="17"/>
                <w:szCs w:val="17"/>
                <w:color w:val="auto"/>
              </w:rPr>
            </w:pPr>
          </w:p>
        </w:tc>
        <w:tc>
          <w:tcPr>
            <w:tcW w:w="100" w:type="dxa"/>
            <w:vAlign w:val="bottom"/>
            <w:tcBorders>
              <w:bottom w:val="single" w:sz="8" w:color="888B8D"/>
            </w:tcBorders>
          </w:tcPr>
          <w:p>
            <w:pPr>
              <w:spacing w:after="0"/>
              <w:rPr>
                <w:sz w:val="17"/>
                <w:szCs w:val="17"/>
                <w:color w:val="auto"/>
              </w:rPr>
            </w:pPr>
          </w:p>
        </w:tc>
        <w:tc>
          <w:tcPr>
            <w:tcW w:w="6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748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Insurance contracts</w:t>
            </w:r>
          </w:p>
        </w:tc>
        <w:tc>
          <w:tcPr>
            <w:tcW w:w="16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7</w:t>
            </w:r>
          </w:p>
        </w:tc>
        <w:tc>
          <w:tcPr>
            <w:tcW w:w="240" w:type="dxa"/>
            <w:vAlign w:val="bottom"/>
            <w:tcBorders>
              <w:bottom w:val="single" w:sz="8" w:color="888B8D"/>
            </w:tcBorders>
          </w:tcPr>
          <w:p>
            <w:pPr>
              <w:spacing w:after="0"/>
              <w:rPr>
                <w:sz w:val="17"/>
                <w:szCs w:val="17"/>
                <w:color w:val="auto"/>
              </w:rPr>
            </w:pPr>
          </w:p>
        </w:tc>
        <w:tc>
          <w:tcPr>
            <w:tcW w:w="120" w:type="dxa"/>
            <w:vAlign w:val="bottom"/>
            <w:tcBorders>
              <w:bottom w:val="single" w:sz="8" w:color="888B8D"/>
            </w:tcBorders>
          </w:tcPr>
          <w:p>
            <w:pPr>
              <w:spacing w:after="0"/>
              <w:rPr>
                <w:sz w:val="17"/>
                <w:szCs w:val="17"/>
                <w:color w:val="auto"/>
              </w:rPr>
            </w:pPr>
          </w:p>
        </w:tc>
        <w:tc>
          <w:tcPr>
            <w:tcW w:w="880" w:type="dxa"/>
            <w:vAlign w:val="bottom"/>
            <w:tcBorders>
              <w:bottom w:val="single" w:sz="8" w:color="888B8D"/>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888B8D"/>
            </w:tcBorders>
          </w:tcPr>
          <w:p>
            <w:pPr>
              <w:spacing w:after="0"/>
              <w:rPr>
                <w:sz w:val="17"/>
                <w:szCs w:val="17"/>
                <w:color w:val="auto"/>
              </w:rPr>
            </w:pPr>
          </w:p>
        </w:tc>
        <w:tc>
          <w:tcPr>
            <w:tcW w:w="6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7</w:t>
            </w:r>
          </w:p>
        </w:tc>
        <w:tc>
          <w:tcPr>
            <w:tcW w:w="240" w:type="dxa"/>
            <w:vAlign w:val="bottom"/>
            <w:tcBorders>
              <w:bottom w:val="single" w:sz="8" w:color="888B8D"/>
            </w:tcBorders>
          </w:tcPr>
          <w:p>
            <w:pPr>
              <w:spacing w:after="0"/>
              <w:rPr>
                <w:sz w:val="17"/>
                <w:szCs w:val="17"/>
                <w:color w:val="auto"/>
              </w:rPr>
            </w:pPr>
          </w:p>
        </w:tc>
        <w:tc>
          <w:tcPr>
            <w:tcW w:w="100" w:type="dxa"/>
            <w:vAlign w:val="bottom"/>
            <w:tcBorders>
              <w:bottom w:val="single" w:sz="8" w:color="888B8D"/>
            </w:tcBorders>
          </w:tcPr>
          <w:p>
            <w:pPr>
              <w:spacing w:after="0"/>
              <w:rPr>
                <w:sz w:val="17"/>
                <w:szCs w:val="17"/>
                <w:color w:val="auto"/>
              </w:rPr>
            </w:pPr>
          </w:p>
        </w:tc>
        <w:tc>
          <w:tcPr>
            <w:tcW w:w="6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7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Direct investments</w:t>
            </w:r>
          </w:p>
        </w:tc>
        <w:tc>
          <w:tcPr>
            <w:tcW w:w="16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spacing w:after="0"/>
              <w:rPr>
                <w:sz w:val="17"/>
                <w:szCs w:val="17"/>
                <w:color w:val="auto"/>
              </w:rPr>
            </w:pPr>
          </w:p>
        </w:tc>
        <w:tc>
          <w:tcPr>
            <w:tcW w:w="240" w:type="dxa"/>
            <w:vAlign w:val="bottom"/>
            <w:tcBorders>
              <w:bottom w:val="single" w:sz="8" w:color="888B8D"/>
            </w:tcBorders>
          </w:tcPr>
          <w:p>
            <w:pPr>
              <w:spacing w:after="0"/>
              <w:rPr>
                <w:sz w:val="17"/>
                <w:szCs w:val="17"/>
                <w:color w:val="auto"/>
              </w:rPr>
            </w:pPr>
          </w:p>
        </w:tc>
        <w:tc>
          <w:tcPr>
            <w:tcW w:w="120" w:type="dxa"/>
            <w:vAlign w:val="bottom"/>
            <w:tcBorders>
              <w:bottom w:val="single" w:sz="8" w:color="888B8D"/>
            </w:tcBorders>
          </w:tcPr>
          <w:p>
            <w:pPr>
              <w:spacing w:after="0"/>
              <w:rPr>
                <w:sz w:val="17"/>
                <w:szCs w:val="17"/>
                <w:color w:val="auto"/>
              </w:rPr>
            </w:pPr>
          </w:p>
        </w:tc>
        <w:tc>
          <w:tcPr>
            <w:tcW w:w="640" w:type="dxa"/>
            <w:vAlign w:val="bottom"/>
            <w:tcBorders>
              <w:bottom w:val="single" w:sz="8" w:color="888B8D"/>
            </w:tcBorders>
          </w:tcPr>
          <w:p>
            <w:pPr>
              <w:spacing w:after="0"/>
              <w:rPr>
                <w:sz w:val="17"/>
                <w:szCs w:val="17"/>
                <w:color w:val="auto"/>
              </w:rPr>
            </w:pPr>
          </w:p>
        </w:tc>
        <w:tc>
          <w:tcPr>
            <w:tcW w:w="240" w:type="dxa"/>
            <w:vAlign w:val="bottom"/>
            <w:tcBorders>
              <w:bottom w:val="single" w:sz="8" w:color="888B8D"/>
            </w:tcBorders>
          </w:tcPr>
          <w:p>
            <w:pPr>
              <w:spacing w:after="0"/>
              <w:rPr>
                <w:sz w:val="17"/>
                <w:szCs w:val="17"/>
                <w:color w:val="auto"/>
              </w:rPr>
            </w:pPr>
          </w:p>
        </w:tc>
        <w:tc>
          <w:tcPr>
            <w:tcW w:w="120" w:type="dxa"/>
            <w:vAlign w:val="bottom"/>
            <w:tcBorders>
              <w:bottom w:val="single" w:sz="8" w:color="888B8D"/>
            </w:tcBorders>
          </w:tcPr>
          <w:p>
            <w:pPr>
              <w:spacing w:after="0"/>
              <w:rPr>
                <w:sz w:val="17"/>
                <w:szCs w:val="17"/>
                <w:color w:val="auto"/>
              </w:rPr>
            </w:pPr>
          </w:p>
        </w:tc>
        <w:tc>
          <w:tcPr>
            <w:tcW w:w="640" w:type="dxa"/>
            <w:vAlign w:val="bottom"/>
            <w:tcBorders>
              <w:bottom w:val="single" w:sz="8" w:color="888B8D"/>
            </w:tcBorders>
          </w:tcPr>
          <w:p>
            <w:pPr>
              <w:spacing w:after="0"/>
              <w:rPr>
                <w:sz w:val="17"/>
                <w:szCs w:val="17"/>
                <w:color w:val="auto"/>
              </w:rPr>
            </w:pPr>
          </w:p>
        </w:tc>
        <w:tc>
          <w:tcPr>
            <w:tcW w:w="240" w:type="dxa"/>
            <w:vAlign w:val="bottom"/>
            <w:tcBorders>
              <w:bottom w:val="single" w:sz="8" w:color="888B8D"/>
            </w:tcBorders>
          </w:tcPr>
          <w:p>
            <w:pPr>
              <w:spacing w:after="0"/>
              <w:rPr>
                <w:sz w:val="17"/>
                <w:szCs w:val="17"/>
                <w:color w:val="auto"/>
              </w:rPr>
            </w:pPr>
          </w:p>
        </w:tc>
        <w:tc>
          <w:tcPr>
            <w:tcW w:w="100" w:type="dxa"/>
            <w:vAlign w:val="bottom"/>
            <w:tcBorders>
              <w:bottom w:val="single" w:sz="8" w:color="888B8D"/>
            </w:tcBorders>
          </w:tcPr>
          <w:p>
            <w:pPr>
              <w:spacing w:after="0"/>
              <w:rPr>
                <w:sz w:val="17"/>
                <w:szCs w:val="17"/>
                <w:color w:val="auto"/>
              </w:rPr>
            </w:pPr>
          </w:p>
        </w:tc>
        <w:tc>
          <w:tcPr>
            <w:tcW w:w="660" w:type="dxa"/>
            <w:vAlign w:val="bottom"/>
            <w:tcBorders>
              <w:bottom w:val="single" w:sz="8" w:color="888B8D"/>
            </w:tcBorders>
          </w:tcPr>
          <w:p>
            <w:pPr>
              <w:spacing w:after="0"/>
              <w:rPr>
                <w:sz w:val="17"/>
                <w:szCs w:val="17"/>
                <w:color w:val="auto"/>
              </w:rPr>
            </w:pPr>
          </w:p>
        </w:tc>
      </w:tr>
      <w:tr>
        <w:trPr>
          <w:trHeight w:val="196"/>
        </w:trPr>
        <w:tc>
          <w:tcPr>
            <w:tcW w:w="748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Direct private investments</w:t>
            </w:r>
          </w:p>
        </w:tc>
        <w:tc>
          <w:tcPr>
            <w:tcW w:w="16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1,293</w:t>
            </w:r>
          </w:p>
        </w:tc>
        <w:tc>
          <w:tcPr>
            <w:tcW w:w="240" w:type="dxa"/>
            <w:vAlign w:val="bottom"/>
            <w:tcBorders>
              <w:bottom w:val="single" w:sz="8" w:color="888B8D"/>
            </w:tcBorders>
          </w:tcPr>
          <w:p>
            <w:pPr>
              <w:spacing w:after="0"/>
              <w:rPr>
                <w:sz w:val="17"/>
                <w:szCs w:val="17"/>
                <w:color w:val="auto"/>
              </w:rPr>
            </w:pPr>
          </w:p>
        </w:tc>
        <w:tc>
          <w:tcPr>
            <w:tcW w:w="120" w:type="dxa"/>
            <w:vAlign w:val="bottom"/>
            <w:tcBorders>
              <w:bottom w:val="single" w:sz="8" w:color="888B8D"/>
            </w:tcBorders>
          </w:tcPr>
          <w:p>
            <w:pPr>
              <w:spacing w:after="0"/>
              <w:rPr>
                <w:sz w:val="17"/>
                <w:szCs w:val="17"/>
                <w:color w:val="auto"/>
              </w:rPr>
            </w:pPr>
          </w:p>
        </w:tc>
        <w:tc>
          <w:tcPr>
            <w:tcW w:w="880" w:type="dxa"/>
            <w:vAlign w:val="bottom"/>
            <w:tcBorders>
              <w:bottom w:val="single" w:sz="8" w:color="888B8D"/>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888B8D"/>
            </w:tcBorders>
          </w:tcPr>
          <w:p>
            <w:pPr>
              <w:spacing w:after="0"/>
              <w:rPr>
                <w:sz w:val="17"/>
                <w:szCs w:val="17"/>
                <w:color w:val="auto"/>
              </w:rPr>
            </w:pPr>
          </w:p>
        </w:tc>
        <w:tc>
          <w:tcPr>
            <w:tcW w:w="880" w:type="dxa"/>
            <w:vAlign w:val="bottom"/>
            <w:tcBorders>
              <w:bottom w:val="single" w:sz="8" w:color="888B8D"/>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888B8D"/>
            </w:tcBorders>
          </w:tcPr>
          <w:p>
            <w:pPr>
              <w:spacing w:after="0"/>
              <w:rPr>
                <w:sz w:val="17"/>
                <w:szCs w:val="17"/>
                <w:color w:val="auto"/>
              </w:rPr>
            </w:pPr>
          </w:p>
        </w:tc>
        <w:tc>
          <w:tcPr>
            <w:tcW w:w="6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1,293</w:t>
            </w:r>
          </w:p>
        </w:tc>
      </w:tr>
      <w:tr>
        <w:trPr>
          <w:trHeight w:val="196"/>
        </w:trPr>
        <w:tc>
          <w:tcPr>
            <w:tcW w:w="748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Real estate properties</w:t>
            </w:r>
          </w:p>
        </w:tc>
        <w:tc>
          <w:tcPr>
            <w:tcW w:w="16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977</w:t>
            </w:r>
          </w:p>
        </w:tc>
        <w:tc>
          <w:tcPr>
            <w:tcW w:w="240" w:type="dxa"/>
            <w:vAlign w:val="bottom"/>
            <w:tcBorders>
              <w:bottom w:val="single" w:sz="8" w:color="D7282F"/>
            </w:tcBorders>
          </w:tcPr>
          <w:p>
            <w:pPr>
              <w:spacing w:after="0"/>
              <w:rPr>
                <w:sz w:val="17"/>
                <w:szCs w:val="17"/>
                <w:color w:val="auto"/>
              </w:rPr>
            </w:pPr>
          </w:p>
        </w:tc>
        <w:tc>
          <w:tcPr>
            <w:tcW w:w="120" w:type="dxa"/>
            <w:vAlign w:val="bottom"/>
            <w:tcBorders>
              <w:bottom w:val="single" w:sz="8" w:color="D7282F"/>
            </w:tcBorders>
          </w:tcPr>
          <w:p>
            <w:pPr>
              <w:spacing w:after="0"/>
              <w:rPr>
                <w:sz w:val="17"/>
                <w:szCs w:val="17"/>
                <w:color w:val="auto"/>
              </w:rPr>
            </w:pPr>
          </w:p>
        </w:tc>
        <w:tc>
          <w:tcPr>
            <w:tcW w:w="880" w:type="dxa"/>
            <w:vAlign w:val="bottom"/>
            <w:tcBorders>
              <w:bottom w:val="single" w:sz="8" w:color="D7282F"/>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D7282F"/>
            </w:tcBorders>
          </w:tcPr>
          <w:p>
            <w:pPr>
              <w:spacing w:after="0"/>
              <w:rPr>
                <w:sz w:val="17"/>
                <w:szCs w:val="17"/>
                <w:color w:val="auto"/>
              </w:rPr>
            </w:pPr>
          </w:p>
        </w:tc>
        <w:tc>
          <w:tcPr>
            <w:tcW w:w="880" w:type="dxa"/>
            <w:vAlign w:val="bottom"/>
            <w:tcBorders>
              <w:bottom w:val="single" w:sz="8" w:color="D7282F"/>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977</w:t>
            </w:r>
          </w:p>
        </w:tc>
      </w:tr>
      <w:tr>
        <w:trPr>
          <w:trHeight w:val="199"/>
        </w:trPr>
        <w:tc>
          <w:tcPr>
            <w:tcW w:w="748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w:t>
            </w: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15,209</w:t>
            </w:r>
          </w:p>
        </w:tc>
        <w:tc>
          <w:tcPr>
            <w:tcW w:w="240" w:type="dxa"/>
            <w:vAlign w:val="bottom"/>
            <w:tcBorders>
              <w:bottom w:val="single" w:sz="8" w:color="D7282F"/>
            </w:tcBorders>
          </w:tcPr>
          <w:p>
            <w:pPr>
              <w:spacing w:after="0"/>
              <w:rPr>
                <w:sz w:val="17"/>
                <w:szCs w:val="17"/>
                <w:color w:val="auto"/>
              </w:rPr>
            </w:pPr>
          </w:p>
        </w:tc>
        <w:tc>
          <w:tcPr>
            <w:tcW w:w="1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3,332</w:t>
            </w:r>
          </w:p>
        </w:tc>
        <w:tc>
          <w:tcPr>
            <w:tcW w:w="240" w:type="dxa"/>
            <w:vAlign w:val="bottom"/>
            <w:tcBorders>
              <w:bottom w:val="single" w:sz="8" w:color="D7282F"/>
            </w:tcBorders>
          </w:tcPr>
          <w:p>
            <w:pPr>
              <w:spacing w:after="0"/>
              <w:rPr>
                <w:sz w:val="17"/>
                <w:szCs w:val="17"/>
                <w:color w:val="auto"/>
              </w:rPr>
            </w:pPr>
          </w:p>
        </w:tc>
        <w:tc>
          <w:tcPr>
            <w:tcW w:w="1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6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9,607</w:t>
            </w:r>
          </w:p>
        </w:tc>
        <w:tc>
          <w:tcPr>
            <w:tcW w:w="240" w:type="dxa"/>
            <w:vAlign w:val="bottom"/>
            <w:tcBorders>
              <w:bottom w:val="single" w:sz="8" w:color="D7282F"/>
            </w:tcBorders>
          </w:tcPr>
          <w:p>
            <w:pPr>
              <w:spacing w:after="0"/>
              <w:rPr>
                <w:sz w:val="17"/>
                <w:szCs w:val="17"/>
                <w:color w:val="auto"/>
              </w:rPr>
            </w:pPr>
          </w:p>
        </w:tc>
        <w:tc>
          <w:tcPr>
            <w:tcW w:w="1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2,270</w:t>
            </w:r>
          </w:p>
        </w:tc>
      </w:tr>
      <w:tr>
        <w:trPr>
          <w:trHeight w:val="193"/>
        </w:trPr>
        <w:tc>
          <w:tcPr>
            <w:tcW w:w="7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Investments measured at NAV</w:t>
            </w:r>
          </w:p>
        </w:tc>
        <w:tc>
          <w:tcPr>
            <w:tcW w:w="160" w:type="dxa"/>
            <w:vAlign w:val="bottom"/>
            <w:tcBorders>
              <w:bottom w:val="single" w:sz="8" w:color="888B8D"/>
            </w:tcBorders>
          </w:tcPr>
          <w:p>
            <w:pPr>
              <w:spacing w:after="0"/>
              <w:rPr>
                <w:sz w:val="16"/>
                <w:szCs w:val="16"/>
                <w:color w:val="auto"/>
              </w:rPr>
            </w:pPr>
          </w:p>
        </w:tc>
        <w:tc>
          <w:tcPr>
            <w:tcW w:w="600" w:type="dxa"/>
            <w:vAlign w:val="bottom"/>
            <w:tcBorders>
              <w:bottom w:val="single" w:sz="8" w:color="888B8D"/>
            </w:tcBorders>
          </w:tcPr>
          <w:p>
            <w:pPr>
              <w:spacing w:after="0"/>
              <w:rPr>
                <w:sz w:val="16"/>
                <w:szCs w:val="16"/>
                <w:color w:val="auto"/>
              </w:rPr>
            </w:pPr>
          </w:p>
        </w:tc>
        <w:tc>
          <w:tcPr>
            <w:tcW w:w="240" w:type="dxa"/>
            <w:vAlign w:val="bottom"/>
            <w:tcBorders>
              <w:bottom w:val="single" w:sz="8" w:color="888B8D"/>
            </w:tcBorders>
          </w:tcPr>
          <w:p>
            <w:pPr>
              <w:spacing w:after="0"/>
              <w:rPr>
                <w:sz w:val="16"/>
                <w:szCs w:val="16"/>
                <w:color w:val="auto"/>
              </w:rPr>
            </w:pPr>
          </w:p>
        </w:tc>
        <w:tc>
          <w:tcPr>
            <w:tcW w:w="120" w:type="dxa"/>
            <w:vAlign w:val="bottom"/>
            <w:tcBorders>
              <w:bottom w:val="single" w:sz="8" w:color="888B8D"/>
            </w:tcBorders>
          </w:tcPr>
          <w:p>
            <w:pPr>
              <w:spacing w:after="0"/>
              <w:rPr>
                <w:sz w:val="16"/>
                <w:szCs w:val="16"/>
                <w:color w:val="auto"/>
              </w:rPr>
            </w:pPr>
          </w:p>
        </w:tc>
        <w:tc>
          <w:tcPr>
            <w:tcW w:w="640" w:type="dxa"/>
            <w:vAlign w:val="bottom"/>
            <w:tcBorders>
              <w:bottom w:val="single" w:sz="8" w:color="888B8D"/>
            </w:tcBorders>
          </w:tcPr>
          <w:p>
            <w:pPr>
              <w:spacing w:after="0"/>
              <w:rPr>
                <w:sz w:val="16"/>
                <w:szCs w:val="16"/>
                <w:color w:val="auto"/>
              </w:rPr>
            </w:pPr>
          </w:p>
        </w:tc>
        <w:tc>
          <w:tcPr>
            <w:tcW w:w="240" w:type="dxa"/>
            <w:vAlign w:val="bottom"/>
            <w:tcBorders>
              <w:bottom w:val="single" w:sz="8" w:color="888B8D"/>
            </w:tcBorders>
          </w:tcPr>
          <w:p>
            <w:pPr>
              <w:spacing w:after="0"/>
              <w:rPr>
                <w:sz w:val="16"/>
                <w:szCs w:val="16"/>
                <w:color w:val="auto"/>
              </w:rPr>
            </w:pPr>
          </w:p>
        </w:tc>
        <w:tc>
          <w:tcPr>
            <w:tcW w:w="120" w:type="dxa"/>
            <w:vAlign w:val="bottom"/>
            <w:tcBorders>
              <w:bottom w:val="single" w:sz="8" w:color="888B8D"/>
            </w:tcBorders>
          </w:tcPr>
          <w:p>
            <w:pPr>
              <w:spacing w:after="0"/>
              <w:rPr>
                <w:sz w:val="16"/>
                <w:szCs w:val="16"/>
                <w:color w:val="auto"/>
              </w:rPr>
            </w:pPr>
          </w:p>
        </w:tc>
        <w:tc>
          <w:tcPr>
            <w:tcW w:w="640" w:type="dxa"/>
            <w:vAlign w:val="bottom"/>
            <w:tcBorders>
              <w:bottom w:val="single" w:sz="8" w:color="888B8D"/>
            </w:tcBorders>
          </w:tcPr>
          <w:p>
            <w:pPr>
              <w:spacing w:after="0"/>
              <w:rPr>
                <w:sz w:val="16"/>
                <w:szCs w:val="16"/>
                <w:color w:val="auto"/>
              </w:rPr>
            </w:pPr>
          </w:p>
        </w:tc>
        <w:tc>
          <w:tcPr>
            <w:tcW w:w="240" w:type="dxa"/>
            <w:vAlign w:val="bottom"/>
            <w:tcBorders>
              <w:bottom w:val="single" w:sz="8" w:color="888B8D"/>
            </w:tcBorders>
          </w:tcPr>
          <w:p>
            <w:pPr>
              <w:spacing w:after="0"/>
              <w:rPr>
                <w:sz w:val="16"/>
                <w:szCs w:val="16"/>
                <w:color w:val="auto"/>
              </w:rPr>
            </w:pPr>
          </w:p>
        </w:tc>
        <w:tc>
          <w:tcPr>
            <w:tcW w:w="100" w:type="dxa"/>
            <w:vAlign w:val="bottom"/>
            <w:tcBorders>
              <w:bottom w:val="single" w:sz="8" w:color="888B8D"/>
            </w:tcBorders>
          </w:tcPr>
          <w:p>
            <w:pPr>
              <w:spacing w:after="0"/>
              <w:rPr>
                <w:sz w:val="16"/>
                <w:szCs w:val="16"/>
                <w:color w:val="auto"/>
              </w:rPr>
            </w:pPr>
          </w:p>
        </w:tc>
        <w:tc>
          <w:tcPr>
            <w:tcW w:w="660" w:type="dxa"/>
            <w:vAlign w:val="bottom"/>
            <w:tcBorders>
              <w:bottom w:val="single" w:sz="8" w:color="888B8D"/>
            </w:tcBorders>
          </w:tcPr>
          <w:p>
            <w:pPr>
              <w:spacing w:after="0"/>
              <w:rPr>
                <w:sz w:val="16"/>
                <w:szCs w:val="16"/>
                <w:color w:val="auto"/>
              </w:rPr>
            </w:pPr>
          </w:p>
        </w:tc>
      </w:tr>
      <w:tr>
        <w:trPr>
          <w:trHeight w:val="196"/>
        </w:trPr>
        <w:tc>
          <w:tcPr>
            <w:tcW w:w="748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Private funds</w:t>
            </w:r>
          </w:p>
        </w:tc>
        <w:tc>
          <w:tcPr>
            <w:tcW w:w="16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1,265</w:t>
            </w:r>
          </w:p>
        </w:tc>
        <w:tc>
          <w:tcPr>
            <w:tcW w:w="240" w:type="dxa"/>
            <w:vAlign w:val="bottom"/>
            <w:tcBorders>
              <w:bottom w:val="single" w:sz="8" w:color="888B8D"/>
            </w:tcBorders>
          </w:tcPr>
          <w:p>
            <w:pPr>
              <w:spacing w:after="0"/>
              <w:rPr>
                <w:sz w:val="17"/>
                <w:szCs w:val="17"/>
                <w:color w:val="auto"/>
              </w:rPr>
            </w:pPr>
          </w:p>
        </w:tc>
        <w:tc>
          <w:tcPr>
            <w:tcW w:w="120" w:type="dxa"/>
            <w:vAlign w:val="bottom"/>
            <w:tcBorders>
              <w:bottom w:val="single" w:sz="8" w:color="888B8D"/>
            </w:tcBorders>
          </w:tcPr>
          <w:p>
            <w:pPr>
              <w:spacing w:after="0"/>
              <w:rPr>
                <w:sz w:val="17"/>
                <w:szCs w:val="17"/>
                <w:color w:val="auto"/>
              </w:rPr>
            </w:pPr>
          </w:p>
        </w:tc>
        <w:tc>
          <w:tcPr>
            <w:tcW w:w="640" w:type="dxa"/>
            <w:vAlign w:val="bottom"/>
            <w:tcBorders>
              <w:bottom w:val="single" w:sz="8" w:color="888B8D"/>
            </w:tcBorders>
          </w:tcPr>
          <w:p>
            <w:pPr>
              <w:spacing w:after="0"/>
              <w:rPr>
                <w:sz w:val="17"/>
                <w:szCs w:val="17"/>
                <w:color w:val="auto"/>
              </w:rPr>
            </w:pPr>
          </w:p>
        </w:tc>
        <w:tc>
          <w:tcPr>
            <w:tcW w:w="240" w:type="dxa"/>
            <w:vAlign w:val="bottom"/>
            <w:tcBorders>
              <w:bottom w:val="single" w:sz="8" w:color="888B8D"/>
            </w:tcBorders>
          </w:tcPr>
          <w:p>
            <w:pPr>
              <w:spacing w:after="0"/>
              <w:rPr>
                <w:sz w:val="17"/>
                <w:szCs w:val="17"/>
                <w:color w:val="auto"/>
              </w:rPr>
            </w:pPr>
          </w:p>
        </w:tc>
        <w:tc>
          <w:tcPr>
            <w:tcW w:w="120" w:type="dxa"/>
            <w:vAlign w:val="bottom"/>
            <w:tcBorders>
              <w:bottom w:val="single" w:sz="8" w:color="888B8D"/>
            </w:tcBorders>
          </w:tcPr>
          <w:p>
            <w:pPr>
              <w:spacing w:after="0"/>
              <w:rPr>
                <w:sz w:val="17"/>
                <w:szCs w:val="17"/>
                <w:color w:val="auto"/>
              </w:rPr>
            </w:pPr>
          </w:p>
        </w:tc>
        <w:tc>
          <w:tcPr>
            <w:tcW w:w="640" w:type="dxa"/>
            <w:vAlign w:val="bottom"/>
            <w:tcBorders>
              <w:bottom w:val="single" w:sz="8" w:color="888B8D"/>
            </w:tcBorders>
          </w:tcPr>
          <w:p>
            <w:pPr>
              <w:spacing w:after="0"/>
              <w:rPr>
                <w:sz w:val="17"/>
                <w:szCs w:val="17"/>
                <w:color w:val="auto"/>
              </w:rPr>
            </w:pPr>
          </w:p>
        </w:tc>
        <w:tc>
          <w:tcPr>
            <w:tcW w:w="240" w:type="dxa"/>
            <w:vAlign w:val="bottom"/>
            <w:tcBorders>
              <w:bottom w:val="single" w:sz="8" w:color="888B8D"/>
            </w:tcBorders>
          </w:tcPr>
          <w:p>
            <w:pPr>
              <w:spacing w:after="0"/>
              <w:rPr>
                <w:sz w:val="17"/>
                <w:szCs w:val="17"/>
                <w:color w:val="auto"/>
              </w:rPr>
            </w:pPr>
          </w:p>
        </w:tc>
        <w:tc>
          <w:tcPr>
            <w:tcW w:w="100" w:type="dxa"/>
            <w:vAlign w:val="bottom"/>
            <w:tcBorders>
              <w:bottom w:val="single" w:sz="8" w:color="888B8D"/>
            </w:tcBorders>
          </w:tcPr>
          <w:p>
            <w:pPr>
              <w:spacing w:after="0"/>
              <w:rPr>
                <w:sz w:val="17"/>
                <w:szCs w:val="17"/>
                <w:color w:val="auto"/>
              </w:rPr>
            </w:pPr>
          </w:p>
        </w:tc>
        <w:tc>
          <w:tcPr>
            <w:tcW w:w="660" w:type="dxa"/>
            <w:vAlign w:val="bottom"/>
            <w:tcBorders>
              <w:bottom w:val="single" w:sz="8" w:color="888B8D"/>
            </w:tcBorders>
          </w:tcPr>
          <w:p>
            <w:pPr>
              <w:spacing w:after="0"/>
              <w:rPr>
                <w:sz w:val="17"/>
                <w:szCs w:val="17"/>
                <w:color w:val="auto"/>
              </w:rPr>
            </w:pPr>
          </w:p>
        </w:tc>
      </w:tr>
      <w:tr>
        <w:trPr>
          <w:trHeight w:val="196"/>
        </w:trPr>
        <w:tc>
          <w:tcPr>
            <w:tcW w:w="748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Real estate funds</w:t>
            </w:r>
          </w:p>
        </w:tc>
        <w:tc>
          <w:tcPr>
            <w:tcW w:w="16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8</w:t>
            </w:r>
          </w:p>
        </w:tc>
        <w:tc>
          <w:tcPr>
            <w:tcW w:w="240" w:type="dxa"/>
            <w:vAlign w:val="bottom"/>
            <w:tcBorders>
              <w:bottom w:val="single" w:sz="8" w:color="888B8D"/>
            </w:tcBorders>
          </w:tcPr>
          <w:p>
            <w:pPr>
              <w:spacing w:after="0"/>
              <w:rPr>
                <w:sz w:val="17"/>
                <w:szCs w:val="17"/>
                <w:color w:val="auto"/>
              </w:rPr>
            </w:pPr>
          </w:p>
        </w:tc>
        <w:tc>
          <w:tcPr>
            <w:tcW w:w="120" w:type="dxa"/>
            <w:vAlign w:val="bottom"/>
            <w:tcBorders>
              <w:bottom w:val="single" w:sz="8" w:color="888B8D"/>
            </w:tcBorders>
          </w:tcPr>
          <w:p>
            <w:pPr>
              <w:spacing w:after="0"/>
              <w:rPr>
                <w:sz w:val="17"/>
                <w:szCs w:val="17"/>
                <w:color w:val="auto"/>
              </w:rPr>
            </w:pPr>
          </w:p>
        </w:tc>
        <w:tc>
          <w:tcPr>
            <w:tcW w:w="640" w:type="dxa"/>
            <w:vAlign w:val="bottom"/>
            <w:tcBorders>
              <w:bottom w:val="single" w:sz="8" w:color="888B8D"/>
            </w:tcBorders>
          </w:tcPr>
          <w:p>
            <w:pPr>
              <w:spacing w:after="0"/>
              <w:rPr>
                <w:sz w:val="17"/>
                <w:szCs w:val="17"/>
                <w:color w:val="auto"/>
              </w:rPr>
            </w:pPr>
          </w:p>
        </w:tc>
        <w:tc>
          <w:tcPr>
            <w:tcW w:w="240" w:type="dxa"/>
            <w:vAlign w:val="bottom"/>
            <w:tcBorders>
              <w:bottom w:val="single" w:sz="8" w:color="888B8D"/>
            </w:tcBorders>
          </w:tcPr>
          <w:p>
            <w:pPr>
              <w:spacing w:after="0"/>
              <w:rPr>
                <w:sz w:val="17"/>
                <w:szCs w:val="17"/>
                <w:color w:val="auto"/>
              </w:rPr>
            </w:pPr>
          </w:p>
        </w:tc>
        <w:tc>
          <w:tcPr>
            <w:tcW w:w="120" w:type="dxa"/>
            <w:vAlign w:val="bottom"/>
            <w:tcBorders>
              <w:bottom w:val="single" w:sz="8" w:color="888B8D"/>
            </w:tcBorders>
          </w:tcPr>
          <w:p>
            <w:pPr>
              <w:spacing w:after="0"/>
              <w:rPr>
                <w:sz w:val="17"/>
                <w:szCs w:val="17"/>
                <w:color w:val="auto"/>
              </w:rPr>
            </w:pPr>
          </w:p>
        </w:tc>
        <w:tc>
          <w:tcPr>
            <w:tcW w:w="640" w:type="dxa"/>
            <w:vAlign w:val="bottom"/>
            <w:tcBorders>
              <w:bottom w:val="single" w:sz="8" w:color="888B8D"/>
            </w:tcBorders>
          </w:tcPr>
          <w:p>
            <w:pPr>
              <w:spacing w:after="0"/>
              <w:rPr>
                <w:sz w:val="17"/>
                <w:szCs w:val="17"/>
                <w:color w:val="auto"/>
              </w:rPr>
            </w:pPr>
          </w:p>
        </w:tc>
        <w:tc>
          <w:tcPr>
            <w:tcW w:w="240" w:type="dxa"/>
            <w:vAlign w:val="bottom"/>
            <w:tcBorders>
              <w:bottom w:val="single" w:sz="8" w:color="888B8D"/>
            </w:tcBorders>
          </w:tcPr>
          <w:p>
            <w:pPr>
              <w:spacing w:after="0"/>
              <w:rPr>
                <w:sz w:val="17"/>
                <w:szCs w:val="17"/>
                <w:color w:val="auto"/>
              </w:rPr>
            </w:pPr>
          </w:p>
        </w:tc>
        <w:tc>
          <w:tcPr>
            <w:tcW w:w="100" w:type="dxa"/>
            <w:vAlign w:val="bottom"/>
            <w:tcBorders>
              <w:bottom w:val="single" w:sz="8" w:color="888B8D"/>
            </w:tcBorders>
          </w:tcPr>
          <w:p>
            <w:pPr>
              <w:spacing w:after="0"/>
              <w:rPr>
                <w:sz w:val="17"/>
                <w:szCs w:val="17"/>
                <w:color w:val="auto"/>
              </w:rPr>
            </w:pPr>
          </w:p>
        </w:tc>
        <w:tc>
          <w:tcPr>
            <w:tcW w:w="660" w:type="dxa"/>
            <w:vAlign w:val="bottom"/>
            <w:tcBorders>
              <w:bottom w:val="single" w:sz="8" w:color="888B8D"/>
            </w:tcBorders>
          </w:tcPr>
          <w:p>
            <w:pPr>
              <w:spacing w:after="0"/>
              <w:rPr>
                <w:sz w:val="17"/>
                <w:szCs w:val="17"/>
                <w:color w:val="auto"/>
              </w:rPr>
            </w:pPr>
          </w:p>
        </w:tc>
      </w:tr>
      <w:tr>
        <w:trPr>
          <w:trHeight w:val="196"/>
        </w:trPr>
        <w:tc>
          <w:tcPr>
            <w:tcW w:w="748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Commingled funds</w:t>
            </w:r>
          </w:p>
        </w:tc>
        <w:tc>
          <w:tcPr>
            <w:tcW w:w="16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112</w:t>
            </w:r>
          </w:p>
        </w:tc>
        <w:tc>
          <w:tcPr>
            <w:tcW w:w="240" w:type="dxa"/>
            <w:vAlign w:val="bottom"/>
            <w:tcBorders>
              <w:bottom w:val="single" w:sz="8" w:color="D7282F"/>
            </w:tcBorders>
          </w:tcPr>
          <w:p>
            <w:pPr>
              <w:spacing w:after="0"/>
              <w:rPr>
                <w:sz w:val="17"/>
                <w:szCs w:val="17"/>
                <w:color w:val="auto"/>
              </w:rPr>
            </w:pPr>
          </w:p>
        </w:tc>
        <w:tc>
          <w:tcPr>
            <w:tcW w:w="120" w:type="dxa"/>
            <w:vAlign w:val="bottom"/>
            <w:tcBorders>
              <w:bottom w:val="single" w:sz="8" w:color="D7282F"/>
            </w:tcBorders>
          </w:tcPr>
          <w:p>
            <w:pPr>
              <w:spacing w:after="0"/>
              <w:rPr>
                <w:sz w:val="17"/>
                <w:szCs w:val="17"/>
                <w:color w:val="auto"/>
              </w:rPr>
            </w:pPr>
          </w:p>
        </w:tc>
        <w:tc>
          <w:tcPr>
            <w:tcW w:w="640" w:type="dxa"/>
            <w:vAlign w:val="bottom"/>
            <w:tcBorders>
              <w:bottom w:val="single" w:sz="8" w:color="D7282F"/>
            </w:tcBorders>
          </w:tcPr>
          <w:p>
            <w:pPr>
              <w:spacing w:after="0"/>
              <w:rPr>
                <w:sz w:val="17"/>
                <w:szCs w:val="17"/>
                <w:color w:val="auto"/>
              </w:rPr>
            </w:pPr>
          </w:p>
        </w:tc>
        <w:tc>
          <w:tcPr>
            <w:tcW w:w="240" w:type="dxa"/>
            <w:vAlign w:val="bottom"/>
            <w:tcBorders>
              <w:bottom w:val="single" w:sz="8" w:color="D7282F"/>
            </w:tcBorders>
          </w:tcPr>
          <w:p>
            <w:pPr>
              <w:spacing w:after="0"/>
              <w:rPr>
                <w:sz w:val="17"/>
                <w:szCs w:val="17"/>
                <w:color w:val="auto"/>
              </w:rPr>
            </w:pPr>
          </w:p>
        </w:tc>
        <w:tc>
          <w:tcPr>
            <w:tcW w:w="120" w:type="dxa"/>
            <w:vAlign w:val="bottom"/>
            <w:tcBorders>
              <w:bottom w:val="single" w:sz="8" w:color="D7282F"/>
            </w:tcBorders>
          </w:tcPr>
          <w:p>
            <w:pPr>
              <w:spacing w:after="0"/>
              <w:rPr>
                <w:sz w:val="17"/>
                <w:szCs w:val="17"/>
                <w:color w:val="auto"/>
              </w:rPr>
            </w:pPr>
          </w:p>
        </w:tc>
        <w:tc>
          <w:tcPr>
            <w:tcW w:w="640" w:type="dxa"/>
            <w:vAlign w:val="bottom"/>
            <w:tcBorders>
              <w:bottom w:val="single" w:sz="8" w:color="D7282F"/>
            </w:tcBorders>
          </w:tcPr>
          <w:p>
            <w:pPr>
              <w:spacing w:after="0"/>
              <w:rPr>
                <w:sz w:val="17"/>
                <w:szCs w:val="17"/>
                <w:color w:val="auto"/>
              </w:rPr>
            </w:pPr>
          </w:p>
        </w:tc>
        <w:tc>
          <w:tcPr>
            <w:tcW w:w="240" w:type="dxa"/>
            <w:vAlign w:val="bottom"/>
            <w:tcBorders>
              <w:bottom w:val="single" w:sz="8" w:color="D7282F"/>
            </w:tcBorders>
          </w:tcPr>
          <w:p>
            <w:pPr>
              <w:spacing w:after="0"/>
              <w:rPr>
                <w:sz w:val="17"/>
                <w:szCs w:val="17"/>
                <w:color w:val="auto"/>
              </w:rPr>
            </w:pPr>
          </w:p>
        </w:tc>
        <w:tc>
          <w:tcPr>
            <w:tcW w:w="10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spacing w:after="0"/>
              <w:rPr>
                <w:sz w:val="17"/>
                <w:szCs w:val="17"/>
                <w:color w:val="auto"/>
              </w:rPr>
            </w:pPr>
          </w:p>
        </w:tc>
      </w:tr>
      <w:tr>
        <w:trPr>
          <w:trHeight w:val="199"/>
        </w:trPr>
        <w:tc>
          <w:tcPr>
            <w:tcW w:w="7480" w:type="dxa"/>
            <w:vAlign w:val="bottom"/>
            <w:tcBorders>
              <w:bottom w:val="single" w:sz="8" w:color="D7282F"/>
            </w:tcBorders>
          </w:tcPr>
          <w:p>
            <w:pPr>
              <w:ind w:left="360"/>
              <w:spacing w:after="0"/>
              <w:rPr>
                <w:sz w:val="20"/>
                <w:szCs w:val="20"/>
                <w:color w:val="auto"/>
              </w:rPr>
            </w:pPr>
            <w:r>
              <w:rPr>
                <w:rFonts w:ascii="Arial" w:cs="Arial" w:eastAsia="Arial" w:hAnsi="Arial"/>
                <w:sz w:val="14"/>
                <w:szCs w:val="14"/>
                <w:b w:val="1"/>
                <w:bCs w:val="1"/>
                <w:color w:val="auto"/>
              </w:rPr>
              <w:t>Total assets at fair value</w:t>
            </w: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16,594</w:t>
            </w:r>
          </w:p>
        </w:tc>
        <w:tc>
          <w:tcPr>
            <w:tcW w:w="240" w:type="dxa"/>
            <w:vAlign w:val="bottom"/>
            <w:tcBorders>
              <w:bottom w:val="single" w:sz="8" w:color="D7282F"/>
            </w:tcBorders>
          </w:tcPr>
          <w:p>
            <w:pPr>
              <w:spacing w:after="0"/>
              <w:rPr>
                <w:sz w:val="17"/>
                <w:szCs w:val="17"/>
                <w:color w:val="auto"/>
              </w:rPr>
            </w:pPr>
          </w:p>
        </w:tc>
        <w:tc>
          <w:tcPr>
            <w:tcW w:w="120" w:type="dxa"/>
            <w:vAlign w:val="bottom"/>
            <w:tcBorders>
              <w:bottom w:val="single" w:sz="8" w:color="D7282F"/>
            </w:tcBorders>
          </w:tcPr>
          <w:p>
            <w:pPr>
              <w:spacing w:after="0"/>
              <w:rPr>
                <w:sz w:val="17"/>
                <w:szCs w:val="17"/>
                <w:color w:val="auto"/>
              </w:rPr>
            </w:pPr>
          </w:p>
        </w:tc>
        <w:tc>
          <w:tcPr>
            <w:tcW w:w="640" w:type="dxa"/>
            <w:vAlign w:val="bottom"/>
            <w:tcBorders>
              <w:bottom w:val="single" w:sz="8" w:color="D7282F"/>
            </w:tcBorders>
          </w:tcPr>
          <w:p>
            <w:pPr>
              <w:spacing w:after="0"/>
              <w:rPr>
                <w:sz w:val="17"/>
                <w:szCs w:val="17"/>
                <w:color w:val="auto"/>
              </w:rPr>
            </w:pPr>
          </w:p>
        </w:tc>
        <w:tc>
          <w:tcPr>
            <w:tcW w:w="240" w:type="dxa"/>
            <w:vAlign w:val="bottom"/>
            <w:tcBorders>
              <w:bottom w:val="single" w:sz="8" w:color="D7282F"/>
            </w:tcBorders>
          </w:tcPr>
          <w:p>
            <w:pPr>
              <w:spacing w:after="0"/>
              <w:rPr>
                <w:sz w:val="17"/>
                <w:szCs w:val="17"/>
                <w:color w:val="auto"/>
              </w:rPr>
            </w:pPr>
          </w:p>
        </w:tc>
        <w:tc>
          <w:tcPr>
            <w:tcW w:w="120" w:type="dxa"/>
            <w:vAlign w:val="bottom"/>
            <w:tcBorders>
              <w:bottom w:val="single" w:sz="8" w:color="D7282F"/>
            </w:tcBorders>
          </w:tcPr>
          <w:p>
            <w:pPr>
              <w:spacing w:after="0"/>
              <w:rPr>
                <w:sz w:val="17"/>
                <w:szCs w:val="17"/>
                <w:color w:val="auto"/>
              </w:rPr>
            </w:pPr>
          </w:p>
        </w:tc>
        <w:tc>
          <w:tcPr>
            <w:tcW w:w="640" w:type="dxa"/>
            <w:vAlign w:val="bottom"/>
            <w:tcBorders>
              <w:bottom w:val="single" w:sz="8" w:color="D7282F"/>
            </w:tcBorders>
          </w:tcPr>
          <w:p>
            <w:pPr>
              <w:spacing w:after="0"/>
              <w:rPr>
                <w:sz w:val="17"/>
                <w:szCs w:val="17"/>
                <w:color w:val="auto"/>
              </w:rPr>
            </w:pPr>
          </w:p>
        </w:tc>
        <w:tc>
          <w:tcPr>
            <w:tcW w:w="240" w:type="dxa"/>
            <w:vAlign w:val="bottom"/>
            <w:tcBorders>
              <w:bottom w:val="single" w:sz="8" w:color="D7282F"/>
            </w:tcBorders>
          </w:tcPr>
          <w:p>
            <w:pPr>
              <w:spacing w:after="0"/>
              <w:rPr>
                <w:sz w:val="17"/>
                <w:szCs w:val="17"/>
                <w:color w:val="auto"/>
              </w:rPr>
            </w:pPr>
          </w:p>
        </w:tc>
        <w:tc>
          <w:tcPr>
            <w:tcW w:w="10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spacing w:after="0"/>
              <w:rPr>
                <w:sz w:val="17"/>
                <w:szCs w:val="17"/>
                <w:color w:val="auto"/>
              </w:rPr>
            </w:pPr>
          </w:p>
        </w:tc>
      </w:tr>
    </w:tbl>
    <w:p>
      <w:pPr>
        <w:spacing w:after="0" w:line="200" w:lineRule="exact"/>
        <w:rPr>
          <w:sz w:val="20"/>
          <w:szCs w:val="20"/>
          <w:color w:val="auto"/>
        </w:rPr>
      </w:pPr>
    </w:p>
    <w:p>
      <w:pPr>
        <w:spacing w:after="0" w:line="308"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D7282F"/>
        </w:rPr>
        <w:t>106</w:t>
      </w:r>
      <w:r>
        <w:rPr>
          <w:sz w:val="20"/>
          <w:szCs w:val="20"/>
          <w:color w:val="auto"/>
        </w:rPr>
        <w:tab/>
      </w: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08" w:name="page109"/>
    <w:bookmarkEnd w:id="108"/>
    <w:p>
      <w:pPr>
        <w:ind w:left="20"/>
        <w:spacing w:after="0"/>
        <w:tabs>
          <w:tab w:leader="none" w:pos="784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FINANCIAL STATEMENTS AND SUPPLEMENTARY DATA</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480" w:type="dxa"/>
            <w:vAlign w:val="bottom"/>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spacing w:after="0"/>
              <w:rPr>
                <w:sz w:val="17"/>
                <w:szCs w:val="17"/>
                <w:color w:val="auto"/>
              </w:rPr>
            </w:pPr>
          </w:p>
        </w:tc>
        <w:tc>
          <w:tcPr>
            <w:tcW w:w="260" w:type="dxa"/>
            <w:vAlign w:val="bottom"/>
            <w:tcBorders>
              <w:bottom w:val="single" w:sz="8" w:color="D7282F"/>
            </w:tcBorders>
          </w:tcPr>
          <w:p>
            <w:pPr>
              <w:spacing w:after="0"/>
              <w:rPr>
                <w:sz w:val="17"/>
                <w:szCs w:val="17"/>
                <w:color w:val="auto"/>
              </w:rPr>
            </w:pPr>
          </w:p>
        </w:tc>
        <w:tc>
          <w:tcPr>
            <w:tcW w:w="1740" w:type="dxa"/>
            <w:vAlign w:val="bottom"/>
            <w:tcBorders>
              <w:bottom w:val="single" w:sz="8" w:color="D7282F"/>
            </w:tcBorders>
            <w:gridSpan w:val="3"/>
          </w:tcPr>
          <w:p>
            <w:pPr>
              <w:jc w:val="center"/>
              <w:ind w:right="148"/>
              <w:spacing w:after="0"/>
              <w:rPr>
                <w:sz w:val="20"/>
                <w:szCs w:val="20"/>
                <w:color w:val="auto"/>
              </w:rPr>
            </w:pPr>
            <w:r>
              <w:rPr>
                <w:rFonts w:ascii="Arial" w:cs="Arial" w:eastAsia="Arial" w:hAnsi="Arial"/>
                <w:sz w:val="14"/>
                <w:szCs w:val="14"/>
                <w:b w:val="1"/>
                <w:bCs w:val="1"/>
                <w:color w:val="auto"/>
              </w:rPr>
              <w:t>Non-U.S. Plans</w:t>
            </w:r>
          </w:p>
        </w:tc>
        <w:tc>
          <w:tcPr>
            <w:tcW w:w="24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spacing w:after="0"/>
              <w:rPr>
                <w:sz w:val="17"/>
                <w:szCs w:val="17"/>
                <w:color w:val="auto"/>
              </w:rPr>
            </w:pPr>
          </w:p>
        </w:tc>
      </w:tr>
      <w:tr>
        <w:trPr>
          <w:trHeight w:val="236"/>
        </w:trPr>
        <w:tc>
          <w:tcPr>
            <w:tcW w:w="7480" w:type="dxa"/>
            <w:vAlign w:val="bottom"/>
          </w:tcPr>
          <w:p>
            <w:pPr>
              <w:spacing w:after="0"/>
              <w:rPr>
                <w:sz w:val="20"/>
                <w:szCs w:val="20"/>
                <w:color w:val="auto"/>
              </w:rPr>
            </w:pPr>
          </w:p>
        </w:tc>
        <w:tc>
          <w:tcPr>
            <w:tcW w:w="160" w:type="dxa"/>
            <w:vAlign w:val="bottom"/>
            <w:tcBorders>
              <w:bottom w:val="single" w:sz="8" w:color="D7282F"/>
            </w:tcBorders>
          </w:tcPr>
          <w:p>
            <w:pPr>
              <w:spacing w:after="0"/>
              <w:rPr>
                <w:sz w:val="20"/>
                <w:szCs w:val="20"/>
                <w:color w:val="auto"/>
              </w:rPr>
            </w:pPr>
          </w:p>
        </w:tc>
        <w:tc>
          <w:tcPr>
            <w:tcW w:w="700" w:type="dxa"/>
            <w:vAlign w:val="bottom"/>
            <w:tcBorders>
              <w:bottom w:val="single" w:sz="8" w:color="D7282F"/>
            </w:tcBorders>
          </w:tcPr>
          <w:p>
            <w:pPr>
              <w:spacing w:after="0"/>
              <w:rPr>
                <w:sz w:val="20"/>
                <w:szCs w:val="20"/>
                <w:color w:val="auto"/>
              </w:rPr>
            </w:pPr>
          </w:p>
        </w:tc>
        <w:tc>
          <w:tcPr>
            <w:tcW w:w="260" w:type="dxa"/>
            <w:vAlign w:val="bottom"/>
            <w:tcBorders>
              <w:bottom w:val="single" w:sz="8" w:color="D7282F"/>
            </w:tcBorders>
          </w:tcPr>
          <w:p>
            <w:pPr>
              <w:spacing w:after="0"/>
              <w:rPr>
                <w:sz w:val="20"/>
                <w:szCs w:val="20"/>
                <w:color w:val="auto"/>
              </w:rPr>
            </w:pPr>
          </w:p>
        </w:tc>
        <w:tc>
          <w:tcPr>
            <w:tcW w:w="1740" w:type="dxa"/>
            <w:vAlign w:val="bottom"/>
            <w:tcBorders>
              <w:bottom w:val="single" w:sz="8" w:color="D7282F"/>
            </w:tcBorders>
            <w:gridSpan w:val="3"/>
          </w:tcPr>
          <w:p>
            <w:pPr>
              <w:jc w:val="center"/>
              <w:ind w:right="168"/>
              <w:spacing w:after="0"/>
              <w:rPr>
                <w:sz w:val="20"/>
                <w:szCs w:val="20"/>
                <w:color w:val="auto"/>
              </w:rPr>
            </w:pPr>
            <w:r>
              <w:rPr>
                <w:rFonts w:ascii="Arial" w:cs="Arial" w:eastAsia="Arial" w:hAnsi="Arial"/>
                <w:sz w:val="14"/>
                <w:szCs w:val="14"/>
                <w:b w:val="1"/>
                <w:bCs w:val="1"/>
                <w:color w:val="auto"/>
              </w:rPr>
              <w:t>December 31, 2024</w:t>
            </w:r>
          </w:p>
        </w:tc>
        <w:tc>
          <w:tcPr>
            <w:tcW w:w="240" w:type="dxa"/>
            <w:vAlign w:val="bottom"/>
            <w:tcBorders>
              <w:bottom w:val="single" w:sz="8" w:color="D7282F"/>
            </w:tcBorders>
          </w:tcPr>
          <w:p>
            <w:pPr>
              <w:spacing w:after="0"/>
              <w:rPr>
                <w:sz w:val="20"/>
                <w:szCs w:val="20"/>
                <w:color w:val="auto"/>
              </w:rPr>
            </w:pPr>
          </w:p>
        </w:tc>
        <w:tc>
          <w:tcPr>
            <w:tcW w:w="660" w:type="dxa"/>
            <w:vAlign w:val="bottom"/>
            <w:tcBorders>
              <w:bottom w:val="single" w:sz="8" w:color="D7282F"/>
            </w:tcBorders>
          </w:tcPr>
          <w:p>
            <w:pPr>
              <w:spacing w:after="0"/>
              <w:rPr>
                <w:sz w:val="20"/>
                <w:szCs w:val="20"/>
                <w:color w:val="auto"/>
              </w:rPr>
            </w:pPr>
          </w:p>
        </w:tc>
      </w:tr>
      <w:tr>
        <w:trPr>
          <w:trHeight w:val="237"/>
        </w:trPr>
        <w:tc>
          <w:tcPr>
            <w:tcW w:w="7480" w:type="dxa"/>
            <w:vAlign w:val="bottom"/>
            <w:tcBorders>
              <w:bottom w:val="single" w:sz="8" w:color="D7282F"/>
            </w:tcBorders>
          </w:tcPr>
          <w:p>
            <w:pPr>
              <w:spacing w:after="0"/>
              <w:rPr>
                <w:sz w:val="20"/>
                <w:szCs w:val="20"/>
                <w:color w:val="auto"/>
              </w:rPr>
            </w:pPr>
          </w:p>
        </w:tc>
        <w:tc>
          <w:tcPr>
            <w:tcW w:w="160" w:type="dxa"/>
            <w:vAlign w:val="bottom"/>
            <w:tcBorders>
              <w:bottom w:val="single" w:sz="8" w:color="D7282F"/>
            </w:tcBorders>
          </w:tcPr>
          <w:p>
            <w:pPr>
              <w:spacing w:after="0"/>
              <w:rPr>
                <w:sz w:val="20"/>
                <w:szCs w:val="20"/>
                <w:color w:val="auto"/>
              </w:rPr>
            </w:pPr>
          </w:p>
        </w:tc>
        <w:tc>
          <w:tcPr>
            <w:tcW w:w="700" w:type="dxa"/>
            <w:vAlign w:val="bottom"/>
            <w:tcBorders>
              <w:bottom w:val="single" w:sz="8" w:color="D7282F"/>
            </w:tcBorders>
          </w:tcPr>
          <w:p>
            <w:pPr>
              <w:jc w:val="right"/>
              <w:ind w:right="248"/>
              <w:spacing w:after="0"/>
              <w:rPr>
                <w:sz w:val="20"/>
                <w:szCs w:val="20"/>
                <w:color w:val="auto"/>
              </w:rPr>
            </w:pPr>
            <w:r>
              <w:rPr>
                <w:rFonts w:ascii="Arial" w:cs="Arial" w:eastAsia="Arial" w:hAnsi="Arial"/>
                <w:sz w:val="14"/>
                <w:szCs w:val="14"/>
                <w:b w:val="1"/>
                <w:bCs w:val="1"/>
                <w:color w:val="auto"/>
              </w:rPr>
              <w:t>Total</w:t>
            </w:r>
          </w:p>
        </w:tc>
        <w:tc>
          <w:tcPr>
            <w:tcW w:w="260" w:type="dxa"/>
            <w:vAlign w:val="bottom"/>
            <w:tcBorders>
              <w:bottom w:val="single" w:sz="8" w:color="D7282F"/>
            </w:tcBorders>
          </w:tcPr>
          <w:p>
            <w:pPr>
              <w:spacing w:after="0"/>
              <w:rPr>
                <w:sz w:val="20"/>
                <w:szCs w:val="20"/>
                <w:color w:val="auto"/>
              </w:rPr>
            </w:pPr>
          </w:p>
        </w:tc>
        <w:tc>
          <w:tcPr>
            <w:tcW w:w="74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Level 1</w:t>
            </w:r>
          </w:p>
        </w:tc>
        <w:tc>
          <w:tcPr>
            <w:tcW w:w="260" w:type="dxa"/>
            <w:vAlign w:val="bottom"/>
            <w:tcBorders>
              <w:bottom w:val="single" w:sz="8" w:color="D7282F"/>
            </w:tcBorders>
          </w:tcPr>
          <w:p>
            <w:pPr>
              <w:spacing w:after="0"/>
              <w:rPr>
                <w:sz w:val="20"/>
                <w:szCs w:val="20"/>
                <w:color w:val="auto"/>
              </w:rPr>
            </w:pPr>
          </w:p>
        </w:tc>
        <w:tc>
          <w:tcPr>
            <w:tcW w:w="74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Level 2</w:t>
            </w:r>
          </w:p>
        </w:tc>
        <w:tc>
          <w:tcPr>
            <w:tcW w:w="240" w:type="dxa"/>
            <w:vAlign w:val="bottom"/>
            <w:tcBorders>
              <w:bottom w:val="single" w:sz="8" w:color="D7282F"/>
            </w:tcBorders>
          </w:tcPr>
          <w:p>
            <w:pPr>
              <w:spacing w:after="0"/>
              <w:rPr>
                <w:sz w:val="20"/>
                <w:szCs w:val="20"/>
                <w:color w:val="auto"/>
              </w:rPr>
            </w:pPr>
          </w:p>
        </w:tc>
        <w:tc>
          <w:tcPr>
            <w:tcW w:w="6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Level 3</w:t>
            </w:r>
          </w:p>
        </w:tc>
      </w:tr>
      <w:tr>
        <w:trPr>
          <w:trHeight w:val="198"/>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Equities</w:t>
            </w:r>
          </w:p>
        </w:tc>
        <w:tc>
          <w:tcPr>
            <w:tcW w:w="160" w:type="dxa"/>
            <w:vAlign w:val="bottom"/>
            <w:tcBorders>
              <w:bottom w:val="single" w:sz="8" w:color="61656A"/>
            </w:tcBorders>
          </w:tcPr>
          <w:p>
            <w:pPr>
              <w:spacing w:after="0"/>
              <w:rPr>
                <w:sz w:val="17"/>
                <w:szCs w:val="17"/>
                <w:color w:val="auto"/>
              </w:rPr>
            </w:pPr>
          </w:p>
        </w:tc>
        <w:tc>
          <w:tcPr>
            <w:tcW w:w="700" w:type="dxa"/>
            <w:vAlign w:val="bottom"/>
            <w:tcBorders>
              <w:bottom w:val="single" w:sz="8" w:color="61656A"/>
            </w:tcBorders>
          </w:tcPr>
          <w:p>
            <w:pPr>
              <w:spacing w:after="0"/>
              <w:rPr>
                <w:sz w:val="17"/>
                <w:szCs w:val="17"/>
                <w:color w:val="auto"/>
              </w:rPr>
            </w:pP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spacing w:after="0"/>
              <w:rPr>
                <w:sz w:val="17"/>
                <w:szCs w:val="17"/>
                <w:color w:val="auto"/>
              </w:rPr>
            </w:pP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660" w:type="dxa"/>
            <w:vAlign w:val="bottom"/>
            <w:tcBorders>
              <w:bottom w:val="single" w:sz="8" w:color="61656A"/>
            </w:tcBorders>
          </w:tcPr>
          <w:p>
            <w:pPr>
              <w:spacing w:after="0"/>
              <w:rPr>
                <w:sz w:val="17"/>
                <w:szCs w:val="17"/>
                <w:color w:val="auto"/>
              </w:rPr>
            </w:pPr>
          </w:p>
        </w:tc>
      </w:tr>
      <w:tr>
        <w:trPr>
          <w:trHeight w:val="196"/>
        </w:trPr>
        <w:tc>
          <w:tcPr>
            <w:tcW w:w="74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U.S. equities</w:t>
            </w:r>
          </w:p>
        </w:tc>
        <w:tc>
          <w:tcPr>
            <w:tcW w:w="1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209</w:t>
            </w:r>
          </w:p>
        </w:tc>
        <w:tc>
          <w:tcPr>
            <w:tcW w:w="2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209</w:t>
            </w:r>
          </w:p>
        </w:tc>
        <w:tc>
          <w:tcPr>
            <w:tcW w:w="2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74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Non-U.S. equities</w:t>
            </w:r>
          </w:p>
        </w:tc>
        <w:tc>
          <w:tcPr>
            <w:tcW w:w="160" w:type="dxa"/>
            <w:vAlign w:val="bottom"/>
            <w:tcBorders>
              <w:bottom w:val="single" w:sz="8" w:color="61656A"/>
            </w:tcBorders>
          </w:tcPr>
          <w:p>
            <w:pPr>
              <w:spacing w:after="0"/>
              <w:rPr>
                <w:sz w:val="17"/>
                <w:szCs w:val="17"/>
                <w:color w:val="auto"/>
              </w:rPr>
            </w:pPr>
          </w:p>
        </w:tc>
        <w:tc>
          <w:tcPr>
            <w:tcW w:w="70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436</w:t>
            </w: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436</w:t>
            </w:r>
          </w:p>
        </w:tc>
        <w:tc>
          <w:tcPr>
            <w:tcW w:w="240" w:type="dxa"/>
            <w:vAlign w:val="bottom"/>
            <w:tcBorders>
              <w:bottom w:val="single" w:sz="8" w:color="61656A"/>
            </w:tcBorders>
          </w:tcPr>
          <w:p>
            <w:pPr>
              <w:spacing w:after="0"/>
              <w:rPr>
                <w:sz w:val="17"/>
                <w:szCs w:val="17"/>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Fixed income</w:t>
            </w:r>
          </w:p>
        </w:tc>
        <w:tc>
          <w:tcPr>
            <w:tcW w:w="160" w:type="dxa"/>
            <w:vAlign w:val="bottom"/>
            <w:tcBorders>
              <w:bottom w:val="single" w:sz="8" w:color="61656A"/>
            </w:tcBorders>
          </w:tcPr>
          <w:p>
            <w:pPr>
              <w:spacing w:after="0"/>
              <w:rPr>
                <w:sz w:val="17"/>
                <w:szCs w:val="17"/>
                <w:color w:val="auto"/>
              </w:rPr>
            </w:pPr>
          </w:p>
        </w:tc>
        <w:tc>
          <w:tcPr>
            <w:tcW w:w="700" w:type="dxa"/>
            <w:vAlign w:val="bottom"/>
            <w:tcBorders>
              <w:bottom w:val="single" w:sz="8" w:color="61656A"/>
            </w:tcBorders>
          </w:tcPr>
          <w:p>
            <w:pPr>
              <w:spacing w:after="0"/>
              <w:rPr>
                <w:sz w:val="17"/>
                <w:szCs w:val="17"/>
                <w:color w:val="auto"/>
              </w:rPr>
            </w:pP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spacing w:after="0"/>
              <w:rPr>
                <w:sz w:val="17"/>
                <w:szCs w:val="17"/>
                <w:color w:val="auto"/>
              </w:rPr>
            </w:pP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660" w:type="dxa"/>
            <w:vAlign w:val="bottom"/>
            <w:tcBorders>
              <w:bottom w:val="single" w:sz="8" w:color="61656A"/>
            </w:tcBorders>
          </w:tcPr>
          <w:p>
            <w:pPr>
              <w:spacing w:after="0"/>
              <w:rPr>
                <w:sz w:val="17"/>
                <w:szCs w:val="17"/>
                <w:color w:val="auto"/>
              </w:rPr>
            </w:pPr>
          </w:p>
        </w:tc>
      </w:tr>
      <w:tr>
        <w:trPr>
          <w:trHeight w:val="196"/>
        </w:trPr>
        <w:tc>
          <w:tcPr>
            <w:tcW w:w="74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Short-term investments</w:t>
            </w:r>
          </w:p>
        </w:tc>
        <w:tc>
          <w:tcPr>
            <w:tcW w:w="160" w:type="dxa"/>
            <w:vAlign w:val="bottom"/>
            <w:tcBorders>
              <w:bottom w:val="single" w:sz="8" w:color="61656A"/>
            </w:tcBorders>
          </w:tcPr>
          <w:p>
            <w:pPr>
              <w:spacing w:after="0"/>
              <w:rPr>
                <w:sz w:val="17"/>
                <w:szCs w:val="17"/>
                <w:color w:val="auto"/>
              </w:rPr>
            </w:pPr>
          </w:p>
        </w:tc>
        <w:tc>
          <w:tcPr>
            <w:tcW w:w="70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385</w:t>
            </w: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68</w:t>
            </w: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317</w:t>
            </w:r>
          </w:p>
        </w:tc>
        <w:tc>
          <w:tcPr>
            <w:tcW w:w="240" w:type="dxa"/>
            <w:vAlign w:val="bottom"/>
            <w:tcBorders>
              <w:bottom w:val="single" w:sz="8" w:color="61656A"/>
            </w:tcBorders>
          </w:tcPr>
          <w:p>
            <w:pPr>
              <w:spacing w:after="0"/>
              <w:rPr>
                <w:sz w:val="17"/>
                <w:szCs w:val="17"/>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74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Government securities</w:t>
            </w:r>
          </w:p>
        </w:tc>
        <w:tc>
          <w:tcPr>
            <w:tcW w:w="160" w:type="dxa"/>
            <w:vAlign w:val="bottom"/>
            <w:tcBorders>
              <w:bottom w:val="single" w:sz="8" w:color="61656A"/>
            </w:tcBorders>
          </w:tcPr>
          <w:p>
            <w:pPr>
              <w:spacing w:after="0"/>
              <w:rPr>
                <w:sz w:val="17"/>
                <w:szCs w:val="17"/>
                <w:color w:val="auto"/>
              </w:rPr>
            </w:pPr>
          </w:p>
        </w:tc>
        <w:tc>
          <w:tcPr>
            <w:tcW w:w="70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1,317</w:t>
            </w: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1,317</w:t>
            </w:r>
          </w:p>
        </w:tc>
        <w:tc>
          <w:tcPr>
            <w:tcW w:w="240" w:type="dxa"/>
            <w:vAlign w:val="bottom"/>
            <w:tcBorders>
              <w:bottom w:val="single" w:sz="8" w:color="61656A"/>
            </w:tcBorders>
          </w:tcPr>
          <w:p>
            <w:pPr>
              <w:spacing w:after="0"/>
              <w:rPr>
                <w:sz w:val="17"/>
                <w:szCs w:val="17"/>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74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Corporate bonds</w:t>
            </w:r>
          </w:p>
        </w:tc>
        <w:tc>
          <w:tcPr>
            <w:tcW w:w="160" w:type="dxa"/>
            <w:vAlign w:val="bottom"/>
            <w:tcBorders>
              <w:bottom w:val="single" w:sz="8" w:color="61656A"/>
            </w:tcBorders>
          </w:tcPr>
          <w:p>
            <w:pPr>
              <w:spacing w:after="0"/>
              <w:rPr>
                <w:sz w:val="17"/>
                <w:szCs w:val="17"/>
                <w:color w:val="auto"/>
              </w:rPr>
            </w:pPr>
          </w:p>
        </w:tc>
        <w:tc>
          <w:tcPr>
            <w:tcW w:w="70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1,144</w:t>
            </w: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1,144</w:t>
            </w:r>
          </w:p>
        </w:tc>
        <w:tc>
          <w:tcPr>
            <w:tcW w:w="240" w:type="dxa"/>
            <w:vAlign w:val="bottom"/>
            <w:tcBorders>
              <w:bottom w:val="single" w:sz="8" w:color="61656A"/>
            </w:tcBorders>
          </w:tcPr>
          <w:p>
            <w:pPr>
              <w:spacing w:after="0"/>
              <w:rPr>
                <w:sz w:val="17"/>
                <w:szCs w:val="17"/>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74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Mortgage/Asset-backed securities</w:t>
            </w:r>
          </w:p>
        </w:tc>
        <w:tc>
          <w:tcPr>
            <w:tcW w:w="160" w:type="dxa"/>
            <w:vAlign w:val="bottom"/>
            <w:tcBorders>
              <w:bottom w:val="single" w:sz="8" w:color="61656A"/>
            </w:tcBorders>
          </w:tcPr>
          <w:p>
            <w:pPr>
              <w:spacing w:after="0"/>
              <w:rPr>
                <w:sz w:val="17"/>
                <w:szCs w:val="17"/>
                <w:color w:val="auto"/>
              </w:rPr>
            </w:pPr>
          </w:p>
        </w:tc>
        <w:tc>
          <w:tcPr>
            <w:tcW w:w="70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18</w:t>
            </w: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18</w:t>
            </w:r>
          </w:p>
        </w:tc>
        <w:tc>
          <w:tcPr>
            <w:tcW w:w="240" w:type="dxa"/>
            <w:vAlign w:val="bottom"/>
            <w:tcBorders>
              <w:bottom w:val="single" w:sz="8" w:color="61656A"/>
            </w:tcBorders>
          </w:tcPr>
          <w:p>
            <w:pPr>
              <w:spacing w:after="0"/>
              <w:rPr>
                <w:sz w:val="17"/>
                <w:szCs w:val="17"/>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74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Insurance contracts</w:t>
            </w:r>
          </w:p>
        </w:tc>
        <w:tc>
          <w:tcPr>
            <w:tcW w:w="160" w:type="dxa"/>
            <w:vAlign w:val="bottom"/>
            <w:tcBorders>
              <w:bottom w:val="single" w:sz="8" w:color="61656A"/>
            </w:tcBorders>
          </w:tcPr>
          <w:p>
            <w:pPr>
              <w:spacing w:after="0"/>
              <w:rPr>
                <w:sz w:val="17"/>
                <w:szCs w:val="17"/>
                <w:color w:val="auto"/>
              </w:rPr>
            </w:pPr>
          </w:p>
        </w:tc>
        <w:tc>
          <w:tcPr>
            <w:tcW w:w="70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90</w:t>
            </w: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90</w:t>
            </w:r>
          </w:p>
        </w:tc>
        <w:tc>
          <w:tcPr>
            <w:tcW w:w="240" w:type="dxa"/>
            <w:vAlign w:val="bottom"/>
            <w:tcBorders>
              <w:bottom w:val="single" w:sz="8" w:color="61656A"/>
            </w:tcBorders>
          </w:tcPr>
          <w:p>
            <w:pPr>
              <w:spacing w:after="0"/>
              <w:rPr>
                <w:sz w:val="17"/>
                <w:szCs w:val="17"/>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74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Insurance buy-in contracts</w:t>
            </w:r>
          </w:p>
        </w:tc>
        <w:tc>
          <w:tcPr>
            <w:tcW w:w="160" w:type="dxa"/>
            <w:vAlign w:val="bottom"/>
            <w:tcBorders>
              <w:bottom w:val="single" w:sz="8" w:color="61656A"/>
            </w:tcBorders>
          </w:tcPr>
          <w:p>
            <w:pPr>
              <w:spacing w:after="0"/>
              <w:rPr>
                <w:sz w:val="17"/>
                <w:szCs w:val="17"/>
                <w:color w:val="auto"/>
              </w:rPr>
            </w:pPr>
          </w:p>
        </w:tc>
        <w:tc>
          <w:tcPr>
            <w:tcW w:w="70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1,390</w:t>
            </w: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61656A"/>
            </w:tcBorders>
          </w:tcPr>
          <w:p>
            <w:pPr>
              <w:spacing w:after="0"/>
              <w:rPr>
                <w:sz w:val="17"/>
                <w:szCs w:val="17"/>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1,390</w:t>
            </w:r>
          </w:p>
        </w:tc>
      </w:tr>
      <w:tr>
        <w:trPr>
          <w:trHeight w:val="196"/>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Investments in private funds</w:t>
            </w:r>
          </w:p>
        </w:tc>
        <w:tc>
          <w:tcPr>
            <w:tcW w:w="160" w:type="dxa"/>
            <w:vAlign w:val="bottom"/>
            <w:tcBorders>
              <w:bottom w:val="single" w:sz="8" w:color="61656A"/>
            </w:tcBorders>
          </w:tcPr>
          <w:p>
            <w:pPr>
              <w:spacing w:after="0"/>
              <w:rPr>
                <w:sz w:val="17"/>
                <w:szCs w:val="17"/>
                <w:color w:val="auto"/>
              </w:rPr>
            </w:pPr>
          </w:p>
        </w:tc>
        <w:tc>
          <w:tcPr>
            <w:tcW w:w="700" w:type="dxa"/>
            <w:vAlign w:val="bottom"/>
            <w:tcBorders>
              <w:bottom w:val="single" w:sz="8" w:color="61656A"/>
            </w:tcBorders>
          </w:tcPr>
          <w:p>
            <w:pPr>
              <w:spacing w:after="0"/>
              <w:rPr>
                <w:sz w:val="17"/>
                <w:szCs w:val="17"/>
                <w:color w:val="auto"/>
              </w:rPr>
            </w:pP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spacing w:after="0"/>
              <w:rPr>
                <w:sz w:val="17"/>
                <w:szCs w:val="17"/>
                <w:color w:val="auto"/>
              </w:rPr>
            </w:pP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660" w:type="dxa"/>
            <w:vAlign w:val="bottom"/>
            <w:tcBorders>
              <w:bottom w:val="single" w:sz="8" w:color="61656A"/>
            </w:tcBorders>
          </w:tcPr>
          <w:p>
            <w:pPr>
              <w:spacing w:after="0"/>
              <w:rPr>
                <w:sz w:val="17"/>
                <w:szCs w:val="17"/>
                <w:color w:val="auto"/>
              </w:rPr>
            </w:pPr>
          </w:p>
        </w:tc>
      </w:tr>
      <w:tr>
        <w:trPr>
          <w:trHeight w:val="196"/>
        </w:trPr>
        <w:tc>
          <w:tcPr>
            <w:tcW w:w="74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Private funds</w:t>
            </w:r>
          </w:p>
        </w:tc>
        <w:tc>
          <w:tcPr>
            <w:tcW w:w="160" w:type="dxa"/>
            <w:vAlign w:val="bottom"/>
            <w:tcBorders>
              <w:bottom w:val="single" w:sz="8" w:color="61656A"/>
            </w:tcBorders>
          </w:tcPr>
          <w:p>
            <w:pPr>
              <w:spacing w:after="0"/>
              <w:rPr>
                <w:sz w:val="17"/>
                <w:szCs w:val="17"/>
                <w:color w:val="auto"/>
              </w:rPr>
            </w:pPr>
          </w:p>
        </w:tc>
        <w:tc>
          <w:tcPr>
            <w:tcW w:w="70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112</w:t>
            </w: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34</w:t>
            </w:r>
          </w:p>
        </w:tc>
        <w:tc>
          <w:tcPr>
            <w:tcW w:w="240" w:type="dxa"/>
            <w:vAlign w:val="bottom"/>
            <w:tcBorders>
              <w:bottom w:val="single" w:sz="8" w:color="61656A"/>
            </w:tcBorders>
          </w:tcPr>
          <w:p>
            <w:pPr>
              <w:spacing w:after="0"/>
              <w:rPr>
                <w:sz w:val="17"/>
                <w:szCs w:val="17"/>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78</w:t>
            </w:r>
          </w:p>
        </w:tc>
      </w:tr>
      <w:tr>
        <w:trPr>
          <w:trHeight w:val="196"/>
        </w:trPr>
        <w:tc>
          <w:tcPr>
            <w:tcW w:w="748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Real estate funds</w:t>
            </w:r>
          </w:p>
        </w:tc>
        <w:tc>
          <w:tcPr>
            <w:tcW w:w="16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2</w:t>
            </w:r>
          </w:p>
        </w:tc>
        <w:tc>
          <w:tcPr>
            <w:tcW w:w="26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w:t>
            </w:r>
          </w:p>
        </w:tc>
      </w:tr>
      <w:tr>
        <w:trPr>
          <w:trHeight w:val="199"/>
        </w:trPr>
        <w:tc>
          <w:tcPr>
            <w:tcW w:w="748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w:t>
            </w: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5,103</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68</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3,565</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1,470</w:t>
            </w:r>
          </w:p>
        </w:tc>
      </w:tr>
      <w:tr>
        <w:trPr>
          <w:trHeight w:val="193"/>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Investments measured at NAV</w:t>
            </w:r>
          </w:p>
        </w:tc>
        <w:tc>
          <w:tcPr>
            <w:tcW w:w="160" w:type="dxa"/>
            <w:vAlign w:val="bottom"/>
            <w:tcBorders>
              <w:bottom w:val="single" w:sz="8" w:color="61656A"/>
            </w:tcBorders>
          </w:tcPr>
          <w:p>
            <w:pPr>
              <w:spacing w:after="0"/>
              <w:rPr>
                <w:sz w:val="16"/>
                <w:szCs w:val="16"/>
                <w:color w:val="auto"/>
              </w:rPr>
            </w:pPr>
          </w:p>
        </w:tc>
        <w:tc>
          <w:tcPr>
            <w:tcW w:w="700" w:type="dxa"/>
            <w:vAlign w:val="bottom"/>
            <w:tcBorders>
              <w:bottom w:val="single" w:sz="8" w:color="61656A"/>
            </w:tcBorders>
          </w:tcPr>
          <w:p>
            <w:pPr>
              <w:spacing w:after="0"/>
              <w:rPr>
                <w:sz w:val="16"/>
                <w:szCs w:val="16"/>
                <w:color w:val="auto"/>
              </w:rPr>
            </w:pPr>
          </w:p>
        </w:tc>
        <w:tc>
          <w:tcPr>
            <w:tcW w:w="260" w:type="dxa"/>
            <w:vAlign w:val="bottom"/>
            <w:tcBorders>
              <w:bottom w:val="single" w:sz="8" w:color="61656A"/>
            </w:tcBorders>
          </w:tcPr>
          <w:p>
            <w:pPr>
              <w:spacing w:after="0"/>
              <w:rPr>
                <w:sz w:val="16"/>
                <w:szCs w:val="16"/>
                <w:color w:val="auto"/>
              </w:rPr>
            </w:pPr>
          </w:p>
        </w:tc>
        <w:tc>
          <w:tcPr>
            <w:tcW w:w="740" w:type="dxa"/>
            <w:vAlign w:val="bottom"/>
            <w:tcBorders>
              <w:bottom w:val="single" w:sz="8" w:color="61656A"/>
            </w:tcBorders>
          </w:tcPr>
          <w:p>
            <w:pPr>
              <w:spacing w:after="0"/>
              <w:rPr>
                <w:sz w:val="16"/>
                <w:szCs w:val="16"/>
                <w:color w:val="auto"/>
              </w:rPr>
            </w:pPr>
          </w:p>
        </w:tc>
        <w:tc>
          <w:tcPr>
            <w:tcW w:w="260" w:type="dxa"/>
            <w:vAlign w:val="bottom"/>
            <w:tcBorders>
              <w:bottom w:val="single" w:sz="8" w:color="61656A"/>
            </w:tcBorders>
          </w:tcPr>
          <w:p>
            <w:pPr>
              <w:spacing w:after="0"/>
              <w:rPr>
                <w:sz w:val="16"/>
                <w:szCs w:val="16"/>
                <w:color w:val="auto"/>
              </w:rPr>
            </w:pPr>
          </w:p>
        </w:tc>
        <w:tc>
          <w:tcPr>
            <w:tcW w:w="740" w:type="dxa"/>
            <w:vAlign w:val="bottom"/>
            <w:tcBorders>
              <w:bottom w:val="single" w:sz="8" w:color="61656A"/>
            </w:tcBorders>
          </w:tcPr>
          <w:p>
            <w:pPr>
              <w:spacing w:after="0"/>
              <w:rPr>
                <w:sz w:val="16"/>
                <w:szCs w:val="16"/>
                <w:color w:val="auto"/>
              </w:rPr>
            </w:pPr>
          </w:p>
        </w:tc>
        <w:tc>
          <w:tcPr>
            <w:tcW w:w="240" w:type="dxa"/>
            <w:vAlign w:val="bottom"/>
            <w:tcBorders>
              <w:bottom w:val="single" w:sz="8" w:color="61656A"/>
            </w:tcBorders>
          </w:tcPr>
          <w:p>
            <w:pPr>
              <w:spacing w:after="0"/>
              <w:rPr>
                <w:sz w:val="16"/>
                <w:szCs w:val="16"/>
                <w:color w:val="auto"/>
              </w:rPr>
            </w:pPr>
          </w:p>
        </w:tc>
        <w:tc>
          <w:tcPr>
            <w:tcW w:w="660" w:type="dxa"/>
            <w:vAlign w:val="bottom"/>
            <w:tcBorders>
              <w:bottom w:val="single" w:sz="8" w:color="61656A"/>
            </w:tcBorders>
          </w:tcPr>
          <w:p>
            <w:pPr>
              <w:spacing w:after="0"/>
              <w:rPr>
                <w:sz w:val="16"/>
                <w:szCs w:val="16"/>
                <w:color w:val="auto"/>
              </w:rPr>
            </w:pPr>
          </w:p>
        </w:tc>
      </w:tr>
      <w:tr>
        <w:trPr>
          <w:trHeight w:val="196"/>
        </w:trPr>
        <w:tc>
          <w:tcPr>
            <w:tcW w:w="74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Private funds</w:t>
            </w:r>
          </w:p>
        </w:tc>
        <w:tc>
          <w:tcPr>
            <w:tcW w:w="160" w:type="dxa"/>
            <w:vAlign w:val="bottom"/>
            <w:tcBorders>
              <w:bottom w:val="single" w:sz="8" w:color="61656A"/>
            </w:tcBorders>
          </w:tcPr>
          <w:p>
            <w:pPr>
              <w:spacing w:after="0"/>
              <w:rPr>
                <w:sz w:val="17"/>
                <w:szCs w:val="17"/>
                <w:color w:val="auto"/>
              </w:rPr>
            </w:pPr>
          </w:p>
        </w:tc>
        <w:tc>
          <w:tcPr>
            <w:tcW w:w="70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w:t>
            </w: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spacing w:after="0"/>
              <w:rPr>
                <w:sz w:val="17"/>
                <w:szCs w:val="17"/>
                <w:color w:val="auto"/>
              </w:rPr>
            </w:pP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660" w:type="dxa"/>
            <w:vAlign w:val="bottom"/>
            <w:tcBorders>
              <w:bottom w:val="single" w:sz="8" w:color="61656A"/>
            </w:tcBorders>
          </w:tcPr>
          <w:p>
            <w:pPr>
              <w:spacing w:after="0"/>
              <w:rPr>
                <w:sz w:val="17"/>
                <w:szCs w:val="17"/>
                <w:color w:val="auto"/>
              </w:rPr>
            </w:pPr>
          </w:p>
        </w:tc>
      </w:tr>
      <w:tr>
        <w:trPr>
          <w:trHeight w:val="196"/>
        </w:trPr>
        <w:tc>
          <w:tcPr>
            <w:tcW w:w="748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Real estate funds</w:t>
            </w:r>
          </w:p>
        </w:tc>
        <w:tc>
          <w:tcPr>
            <w:tcW w:w="16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1</w:t>
            </w:r>
          </w:p>
        </w:tc>
        <w:tc>
          <w:tcPr>
            <w:tcW w:w="26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spacing w:after="0"/>
              <w:rPr>
                <w:sz w:val="17"/>
                <w:szCs w:val="17"/>
                <w:color w:val="auto"/>
              </w:rPr>
            </w:pPr>
          </w:p>
        </w:tc>
        <w:tc>
          <w:tcPr>
            <w:tcW w:w="26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spacing w:after="0"/>
              <w:rPr>
                <w:sz w:val="17"/>
                <w:szCs w:val="17"/>
                <w:color w:val="auto"/>
              </w:rPr>
            </w:pPr>
          </w:p>
        </w:tc>
        <w:tc>
          <w:tcPr>
            <w:tcW w:w="24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spacing w:after="0"/>
              <w:rPr>
                <w:sz w:val="17"/>
                <w:szCs w:val="17"/>
                <w:color w:val="auto"/>
              </w:rPr>
            </w:pPr>
          </w:p>
        </w:tc>
      </w:tr>
      <w:tr>
        <w:trPr>
          <w:trHeight w:val="199"/>
        </w:trPr>
        <w:tc>
          <w:tcPr>
            <w:tcW w:w="7480" w:type="dxa"/>
            <w:vAlign w:val="bottom"/>
            <w:tcBorders>
              <w:bottom w:val="single" w:sz="8" w:color="D7282F"/>
            </w:tcBorders>
          </w:tcPr>
          <w:p>
            <w:pPr>
              <w:ind w:left="360"/>
              <w:spacing w:after="0"/>
              <w:rPr>
                <w:sz w:val="20"/>
                <w:szCs w:val="20"/>
                <w:color w:val="auto"/>
              </w:rPr>
            </w:pPr>
            <w:r>
              <w:rPr>
                <w:rFonts w:ascii="Arial" w:cs="Arial" w:eastAsia="Arial" w:hAnsi="Arial"/>
                <w:sz w:val="14"/>
                <w:szCs w:val="14"/>
                <w:b w:val="1"/>
                <w:bCs w:val="1"/>
                <w:color w:val="auto"/>
              </w:rPr>
              <w:t>Total assets at fair value</w:t>
            </w: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5,105</w:t>
            </w:r>
          </w:p>
        </w:tc>
        <w:tc>
          <w:tcPr>
            <w:tcW w:w="26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spacing w:after="0"/>
              <w:rPr>
                <w:sz w:val="17"/>
                <w:szCs w:val="17"/>
                <w:color w:val="auto"/>
              </w:rPr>
            </w:pPr>
          </w:p>
        </w:tc>
        <w:tc>
          <w:tcPr>
            <w:tcW w:w="26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spacing w:after="0"/>
              <w:rPr>
                <w:sz w:val="17"/>
                <w:szCs w:val="17"/>
                <w:color w:val="auto"/>
              </w:rPr>
            </w:pPr>
          </w:p>
        </w:tc>
        <w:tc>
          <w:tcPr>
            <w:tcW w:w="24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spacing w:after="0"/>
              <w:rPr>
                <w:sz w:val="17"/>
                <w:szCs w:val="17"/>
                <w:color w:val="auto"/>
              </w:rPr>
            </w:pPr>
          </w:p>
        </w:tc>
      </w:tr>
      <w:tr>
        <w:trPr>
          <w:trHeight w:val="474"/>
        </w:trPr>
        <w:tc>
          <w:tcPr>
            <w:tcW w:w="7480" w:type="dxa"/>
            <w:vAlign w:val="bottom"/>
          </w:tcPr>
          <w:p>
            <w:pPr>
              <w:spacing w:after="0"/>
              <w:rPr>
                <w:sz w:val="24"/>
                <w:szCs w:val="24"/>
                <w:color w:val="auto"/>
              </w:rPr>
            </w:pPr>
          </w:p>
        </w:tc>
        <w:tc>
          <w:tcPr>
            <w:tcW w:w="160" w:type="dxa"/>
            <w:vAlign w:val="bottom"/>
            <w:tcBorders>
              <w:bottom w:val="single" w:sz="8" w:color="D7282F"/>
            </w:tcBorders>
          </w:tcPr>
          <w:p>
            <w:pPr>
              <w:spacing w:after="0"/>
              <w:rPr>
                <w:sz w:val="24"/>
                <w:szCs w:val="24"/>
                <w:color w:val="auto"/>
              </w:rPr>
            </w:pPr>
          </w:p>
        </w:tc>
        <w:tc>
          <w:tcPr>
            <w:tcW w:w="700" w:type="dxa"/>
            <w:vAlign w:val="bottom"/>
            <w:tcBorders>
              <w:bottom w:val="single" w:sz="8" w:color="D7282F"/>
            </w:tcBorders>
          </w:tcPr>
          <w:p>
            <w:pPr>
              <w:spacing w:after="0"/>
              <w:rPr>
                <w:sz w:val="24"/>
                <w:szCs w:val="24"/>
                <w:color w:val="auto"/>
              </w:rPr>
            </w:pPr>
          </w:p>
        </w:tc>
        <w:tc>
          <w:tcPr>
            <w:tcW w:w="260" w:type="dxa"/>
            <w:vAlign w:val="bottom"/>
            <w:tcBorders>
              <w:bottom w:val="single" w:sz="8" w:color="D7282F"/>
            </w:tcBorders>
          </w:tcPr>
          <w:p>
            <w:pPr>
              <w:spacing w:after="0"/>
              <w:rPr>
                <w:sz w:val="24"/>
                <w:szCs w:val="24"/>
                <w:color w:val="auto"/>
              </w:rPr>
            </w:pPr>
          </w:p>
        </w:tc>
        <w:tc>
          <w:tcPr>
            <w:tcW w:w="1740" w:type="dxa"/>
            <w:vAlign w:val="bottom"/>
            <w:tcBorders>
              <w:bottom w:val="single" w:sz="8" w:color="D7282F"/>
            </w:tcBorders>
            <w:gridSpan w:val="3"/>
          </w:tcPr>
          <w:p>
            <w:pPr>
              <w:jc w:val="center"/>
              <w:ind w:right="148"/>
              <w:spacing w:after="0"/>
              <w:rPr>
                <w:sz w:val="20"/>
                <w:szCs w:val="20"/>
                <w:color w:val="auto"/>
              </w:rPr>
            </w:pPr>
            <w:r>
              <w:rPr>
                <w:rFonts w:ascii="Arial" w:cs="Arial" w:eastAsia="Arial" w:hAnsi="Arial"/>
                <w:sz w:val="14"/>
                <w:szCs w:val="14"/>
                <w:b w:val="1"/>
                <w:bCs w:val="1"/>
                <w:color w:val="auto"/>
              </w:rPr>
              <w:t>Non-U.S. Plans</w:t>
            </w:r>
          </w:p>
        </w:tc>
        <w:tc>
          <w:tcPr>
            <w:tcW w:w="240" w:type="dxa"/>
            <w:vAlign w:val="bottom"/>
            <w:tcBorders>
              <w:bottom w:val="single" w:sz="8" w:color="D7282F"/>
            </w:tcBorders>
          </w:tcPr>
          <w:p>
            <w:pPr>
              <w:spacing w:after="0"/>
              <w:rPr>
                <w:sz w:val="24"/>
                <w:szCs w:val="24"/>
                <w:color w:val="auto"/>
              </w:rPr>
            </w:pPr>
          </w:p>
        </w:tc>
        <w:tc>
          <w:tcPr>
            <w:tcW w:w="660" w:type="dxa"/>
            <w:vAlign w:val="bottom"/>
            <w:tcBorders>
              <w:bottom w:val="single" w:sz="8" w:color="D7282F"/>
            </w:tcBorders>
          </w:tcPr>
          <w:p>
            <w:pPr>
              <w:spacing w:after="0"/>
              <w:rPr>
                <w:sz w:val="24"/>
                <w:szCs w:val="24"/>
                <w:color w:val="auto"/>
              </w:rPr>
            </w:pPr>
          </w:p>
        </w:tc>
      </w:tr>
      <w:tr>
        <w:trPr>
          <w:trHeight w:val="237"/>
        </w:trPr>
        <w:tc>
          <w:tcPr>
            <w:tcW w:w="7480" w:type="dxa"/>
            <w:vAlign w:val="bottom"/>
          </w:tcPr>
          <w:p>
            <w:pPr>
              <w:spacing w:after="0"/>
              <w:rPr>
                <w:sz w:val="20"/>
                <w:szCs w:val="20"/>
                <w:color w:val="auto"/>
              </w:rPr>
            </w:pPr>
          </w:p>
        </w:tc>
        <w:tc>
          <w:tcPr>
            <w:tcW w:w="160" w:type="dxa"/>
            <w:vAlign w:val="bottom"/>
            <w:tcBorders>
              <w:bottom w:val="single" w:sz="8" w:color="D7282F"/>
            </w:tcBorders>
          </w:tcPr>
          <w:p>
            <w:pPr>
              <w:spacing w:after="0"/>
              <w:rPr>
                <w:sz w:val="20"/>
                <w:szCs w:val="20"/>
                <w:color w:val="auto"/>
              </w:rPr>
            </w:pPr>
          </w:p>
        </w:tc>
        <w:tc>
          <w:tcPr>
            <w:tcW w:w="700" w:type="dxa"/>
            <w:vAlign w:val="bottom"/>
            <w:tcBorders>
              <w:bottom w:val="single" w:sz="8" w:color="D7282F"/>
            </w:tcBorders>
          </w:tcPr>
          <w:p>
            <w:pPr>
              <w:spacing w:after="0"/>
              <w:rPr>
                <w:sz w:val="20"/>
                <w:szCs w:val="20"/>
                <w:color w:val="auto"/>
              </w:rPr>
            </w:pPr>
          </w:p>
        </w:tc>
        <w:tc>
          <w:tcPr>
            <w:tcW w:w="260" w:type="dxa"/>
            <w:vAlign w:val="bottom"/>
            <w:tcBorders>
              <w:bottom w:val="single" w:sz="8" w:color="D7282F"/>
            </w:tcBorders>
          </w:tcPr>
          <w:p>
            <w:pPr>
              <w:spacing w:after="0"/>
              <w:rPr>
                <w:sz w:val="20"/>
                <w:szCs w:val="20"/>
                <w:color w:val="auto"/>
              </w:rPr>
            </w:pPr>
          </w:p>
        </w:tc>
        <w:tc>
          <w:tcPr>
            <w:tcW w:w="1740" w:type="dxa"/>
            <w:vAlign w:val="bottom"/>
            <w:tcBorders>
              <w:bottom w:val="single" w:sz="8" w:color="D7282F"/>
            </w:tcBorders>
            <w:gridSpan w:val="3"/>
          </w:tcPr>
          <w:p>
            <w:pPr>
              <w:jc w:val="center"/>
              <w:ind w:right="168"/>
              <w:spacing w:after="0"/>
              <w:rPr>
                <w:sz w:val="20"/>
                <w:szCs w:val="20"/>
                <w:color w:val="auto"/>
              </w:rPr>
            </w:pPr>
            <w:r>
              <w:rPr>
                <w:rFonts w:ascii="Arial" w:cs="Arial" w:eastAsia="Arial" w:hAnsi="Arial"/>
                <w:sz w:val="14"/>
                <w:szCs w:val="14"/>
                <w:b w:val="1"/>
                <w:bCs w:val="1"/>
                <w:color w:val="auto"/>
              </w:rPr>
              <w:t>December 31, 2023</w:t>
            </w:r>
          </w:p>
        </w:tc>
        <w:tc>
          <w:tcPr>
            <w:tcW w:w="240" w:type="dxa"/>
            <w:vAlign w:val="bottom"/>
            <w:tcBorders>
              <w:bottom w:val="single" w:sz="8" w:color="D7282F"/>
            </w:tcBorders>
          </w:tcPr>
          <w:p>
            <w:pPr>
              <w:spacing w:after="0"/>
              <w:rPr>
                <w:sz w:val="20"/>
                <w:szCs w:val="20"/>
                <w:color w:val="auto"/>
              </w:rPr>
            </w:pPr>
          </w:p>
        </w:tc>
        <w:tc>
          <w:tcPr>
            <w:tcW w:w="660" w:type="dxa"/>
            <w:vAlign w:val="bottom"/>
            <w:tcBorders>
              <w:bottom w:val="single" w:sz="8" w:color="D7282F"/>
            </w:tcBorders>
          </w:tcPr>
          <w:p>
            <w:pPr>
              <w:spacing w:after="0"/>
              <w:rPr>
                <w:sz w:val="20"/>
                <w:szCs w:val="20"/>
                <w:color w:val="auto"/>
              </w:rPr>
            </w:pPr>
          </w:p>
        </w:tc>
      </w:tr>
      <w:tr>
        <w:trPr>
          <w:trHeight w:val="236"/>
        </w:trPr>
        <w:tc>
          <w:tcPr>
            <w:tcW w:w="7480" w:type="dxa"/>
            <w:vAlign w:val="bottom"/>
            <w:tcBorders>
              <w:bottom w:val="single" w:sz="8" w:color="D7282F"/>
            </w:tcBorders>
          </w:tcPr>
          <w:p>
            <w:pPr>
              <w:spacing w:after="0"/>
              <w:rPr>
                <w:sz w:val="20"/>
                <w:szCs w:val="20"/>
                <w:color w:val="auto"/>
              </w:rPr>
            </w:pPr>
          </w:p>
        </w:tc>
        <w:tc>
          <w:tcPr>
            <w:tcW w:w="160" w:type="dxa"/>
            <w:vAlign w:val="bottom"/>
            <w:tcBorders>
              <w:bottom w:val="single" w:sz="8" w:color="D7282F"/>
            </w:tcBorders>
          </w:tcPr>
          <w:p>
            <w:pPr>
              <w:spacing w:after="0"/>
              <w:rPr>
                <w:sz w:val="20"/>
                <w:szCs w:val="20"/>
                <w:color w:val="auto"/>
              </w:rPr>
            </w:pPr>
          </w:p>
        </w:tc>
        <w:tc>
          <w:tcPr>
            <w:tcW w:w="700" w:type="dxa"/>
            <w:vAlign w:val="bottom"/>
            <w:tcBorders>
              <w:bottom w:val="single" w:sz="8" w:color="D7282F"/>
            </w:tcBorders>
          </w:tcPr>
          <w:p>
            <w:pPr>
              <w:jc w:val="right"/>
              <w:ind w:right="248"/>
              <w:spacing w:after="0"/>
              <w:rPr>
                <w:sz w:val="20"/>
                <w:szCs w:val="20"/>
                <w:color w:val="auto"/>
              </w:rPr>
            </w:pPr>
            <w:r>
              <w:rPr>
                <w:rFonts w:ascii="Arial" w:cs="Arial" w:eastAsia="Arial" w:hAnsi="Arial"/>
                <w:sz w:val="14"/>
                <w:szCs w:val="14"/>
                <w:b w:val="1"/>
                <w:bCs w:val="1"/>
                <w:color w:val="auto"/>
              </w:rPr>
              <w:t>Total</w:t>
            </w:r>
          </w:p>
        </w:tc>
        <w:tc>
          <w:tcPr>
            <w:tcW w:w="260" w:type="dxa"/>
            <w:vAlign w:val="bottom"/>
            <w:tcBorders>
              <w:bottom w:val="single" w:sz="8" w:color="D7282F"/>
            </w:tcBorders>
          </w:tcPr>
          <w:p>
            <w:pPr>
              <w:spacing w:after="0"/>
              <w:rPr>
                <w:sz w:val="20"/>
                <w:szCs w:val="20"/>
                <w:color w:val="auto"/>
              </w:rPr>
            </w:pPr>
          </w:p>
        </w:tc>
        <w:tc>
          <w:tcPr>
            <w:tcW w:w="74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Level 1</w:t>
            </w:r>
          </w:p>
        </w:tc>
        <w:tc>
          <w:tcPr>
            <w:tcW w:w="260" w:type="dxa"/>
            <w:vAlign w:val="bottom"/>
            <w:tcBorders>
              <w:bottom w:val="single" w:sz="8" w:color="D7282F"/>
            </w:tcBorders>
          </w:tcPr>
          <w:p>
            <w:pPr>
              <w:spacing w:after="0"/>
              <w:rPr>
                <w:sz w:val="20"/>
                <w:szCs w:val="20"/>
                <w:color w:val="auto"/>
              </w:rPr>
            </w:pPr>
          </w:p>
        </w:tc>
        <w:tc>
          <w:tcPr>
            <w:tcW w:w="74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Level 2</w:t>
            </w:r>
          </w:p>
        </w:tc>
        <w:tc>
          <w:tcPr>
            <w:tcW w:w="240" w:type="dxa"/>
            <w:vAlign w:val="bottom"/>
            <w:tcBorders>
              <w:bottom w:val="single" w:sz="8" w:color="D7282F"/>
            </w:tcBorders>
          </w:tcPr>
          <w:p>
            <w:pPr>
              <w:spacing w:after="0"/>
              <w:rPr>
                <w:sz w:val="20"/>
                <w:szCs w:val="20"/>
                <w:color w:val="auto"/>
              </w:rPr>
            </w:pPr>
          </w:p>
        </w:tc>
        <w:tc>
          <w:tcPr>
            <w:tcW w:w="6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Level 3</w:t>
            </w:r>
          </w:p>
        </w:tc>
      </w:tr>
      <w:tr>
        <w:trPr>
          <w:trHeight w:val="198"/>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Equities</w:t>
            </w:r>
          </w:p>
        </w:tc>
        <w:tc>
          <w:tcPr>
            <w:tcW w:w="160" w:type="dxa"/>
            <w:vAlign w:val="bottom"/>
            <w:tcBorders>
              <w:bottom w:val="single" w:sz="8" w:color="61656A"/>
            </w:tcBorders>
          </w:tcPr>
          <w:p>
            <w:pPr>
              <w:spacing w:after="0"/>
              <w:rPr>
                <w:sz w:val="17"/>
                <w:szCs w:val="17"/>
                <w:color w:val="auto"/>
              </w:rPr>
            </w:pPr>
          </w:p>
        </w:tc>
        <w:tc>
          <w:tcPr>
            <w:tcW w:w="700" w:type="dxa"/>
            <w:vAlign w:val="bottom"/>
            <w:tcBorders>
              <w:bottom w:val="single" w:sz="8" w:color="61656A"/>
            </w:tcBorders>
          </w:tcPr>
          <w:p>
            <w:pPr>
              <w:spacing w:after="0"/>
              <w:rPr>
                <w:sz w:val="17"/>
                <w:szCs w:val="17"/>
                <w:color w:val="auto"/>
              </w:rPr>
            </w:pP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spacing w:after="0"/>
              <w:rPr>
                <w:sz w:val="17"/>
                <w:szCs w:val="17"/>
                <w:color w:val="auto"/>
              </w:rPr>
            </w:pP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660" w:type="dxa"/>
            <w:vAlign w:val="bottom"/>
            <w:tcBorders>
              <w:bottom w:val="single" w:sz="8" w:color="61656A"/>
            </w:tcBorders>
          </w:tcPr>
          <w:p>
            <w:pPr>
              <w:spacing w:after="0"/>
              <w:rPr>
                <w:sz w:val="17"/>
                <w:szCs w:val="17"/>
                <w:color w:val="auto"/>
              </w:rPr>
            </w:pPr>
          </w:p>
        </w:tc>
      </w:tr>
      <w:tr>
        <w:trPr>
          <w:trHeight w:val="196"/>
        </w:trPr>
        <w:tc>
          <w:tcPr>
            <w:tcW w:w="74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U.S. equities</w:t>
            </w:r>
          </w:p>
        </w:tc>
        <w:tc>
          <w:tcPr>
            <w:tcW w:w="1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195</w:t>
            </w:r>
          </w:p>
        </w:tc>
        <w:tc>
          <w:tcPr>
            <w:tcW w:w="2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195</w:t>
            </w:r>
          </w:p>
        </w:tc>
        <w:tc>
          <w:tcPr>
            <w:tcW w:w="2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74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Non-U.S. equities</w:t>
            </w:r>
          </w:p>
        </w:tc>
        <w:tc>
          <w:tcPr>
            <w:tcW w:w="160" w:type="dxa"/>
            <w:vAlign w:val="bottom"/>
            <w:tcBorders>
              <w:bottom w:val="single" w:sz="8" w:color="61656A"/>
            </w:tcBorders>
          </w:tcPr>
          <w:p>
            <w:pPr>
              <w:spacing w:after="0"/>
              <w:rPr>
                <w:sz w:val="17"/>
                <w:szCs w:val="17"/>
                <w:color w:val="auto"/>
              </w:rPr>
            </w:pPr>
          </w:p>
        </w:tc>
        <w:tc>
          <w:tcPr>
            <w:tcW w:w="70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365</w:t>
            </w: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365</w:t>
            </w:r>
          </w:p>
        </w:tc>
        <w:tc>
          <w:tcPr>
            <w:tcW w:w="240" w:type="dxa"/>
            <w:vAlign w:val="bottom"/>
            <w:tcBorders>
              <w:bottom w:val="single" w:sz="8" w:color="61656A"/>
            </w:tcBorders>
          </w:tcPr>
          <w:p>
            <w:pPr>
              <w:spacing w:after="0"/>
              <w:rPr>
                <w:sz w:val="17"/>
                <w:szCs w:val="17"/>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Fixed income</w:t>
            </w:r>
          </w:p>
        </w:tc>
        <w:tc>
          <w:tcPr>
            <w:tcW w:w="160" w:type="dxa"/>
            <w:vAlign w:val="bottom"/>
            <w:tcBorders>
              <w:bottom w:val="single" w:sz="8" w:color="61656A"/>
            </w:tcBorders>
          </w:tcPr>
          <w:p>
            <w:pPr>
              <w:spacing w:after="0"/>
              <w:rPr>
                <w:sz w:val="17"/>
                <w:szCs w:val="17"/>
                <w:color w:val="auto"/>
              </w:rPr>
            </w:pPr>
          </w:p>
        </w:tc>
        <w:tc>
          <w:tcPr>
            <w:tcW w:w="700" w:type="dxa"/>
            <w:vAlign w:val="bottom"/>
            <w:tcBorders>
              <w:bottom w:val="single" w:sz="8" w:color="61656A"/>
            </w:tcBorders>
          </w:tcPr>
          <w:p>
            <w:pPr>
              <w:spacing w:after="0"/>
              <w:rPr>
                <w:sz w:val="17"/>
                <w:szCs w:val="17"/>
                <w:color w:val="auto"/>
              </w:rPr>
            </w:pP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spacing w:after="0"/>
              <w:rPr>
                <w:sz w:val="17"/>
                <w:szCs w:val="17"/>
                <w:color w:val="auto"/>
              </w:rPr>
            </w:pP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660" w:type="dxa"/>
            <w:vAlign w:val="bottom"/>
            <w:tcBorders>
              <w:bottom w:val="single" w:sz="8" w:color="61656A"/>
            </w:tcBorders>
          </w:tcPr>
          <w:p>
            <w:pPr>
              <w:spacing w:after="0"/>
              <w:rPr>
                <w:sz w:val="17"/>
                <w:szCs w:val="17"/>
                <w:color w:val="auto"/>
              </w:rPr>
            </w:pPr>
          </w:p>
        </w:tc>
      </w:tr>
      <w:tr>
        <w:trPr>
          <w:trHeight w:val="196"/>
        </w:trPr>
        <w:tc>
          <w:tcPr>
            <w:tcW w:w="74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Short-term investments</w:t>
            </w:r>
          </w:p>
        </w:tc>
        <w:tc>
          <w:tcPr>
            <w:tcW w:w="160" w:type="dxa"/>
            <w:vAlign w:val="bottom"/>
            <w:tcBorders>
              <w:bottom w:val="single" w:sz="8" w:color="61656A"/>
            </w:tcBorders>
          </w:tcPr>
          <w:p>
            <w:pPr>
              <w:spacing w:after="0"/>
              <w:rPr>
                <w:sz w:val="17"/>
                <w:szCs w:val="17"/>
                <w:color w:val="auto"/>
              </w:rPr>
            </w:pPr>
          </w:p>
        </w:tc>
        <w:tc>
          <w:tcPr>
            <w:tcW w:w="70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387</w:t>
            </w: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168</w:t>
            </w: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219</w:t>
            </w:r>
          </w:p>
        </w:tc>
        <w:tc>
          <w:tcPr>
            <w:tcW w:w="240" w:type="dxa"/>
            <w:vAlign w:val="bottom"/>
            <w:tcBorders>
              <w:bottom w:val="single" w:sz="8" w:color="61656A"/>
            </w:tcBorders>
          </w:tcPr>
          <w:p>
            <w:pPr>
              <w:spacing w:after="0"/>
              <w:rPr>
                <w:sz w:val="17"/>
                <w:szCs w:val="17"/>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74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Government securities</w:t>
            </w:r>
          </w:p>
        </w:tc>
        <w:tc>
          <w:tcPr>
            <w:tcW w:w="160" w:type="dxa"/>
            <w:vAlign w:val="bottom"/>
            <w:tcBorders>
              <w:bottom w:val="single" w:sz="8" w:color="61656A"/>
            </w:tcBorders>
          </w:tcPr>
          <w:p>
            <w:pPr>
              <w:spacing w:after="0"/>
              <w:rPr>
                <w:sz w:val="17"/>
                <w:szCs w:val="17"/>
                <w:color w:val="auto"/>
              </w:rPr>
            </w:pPr>
          </w:p>
        </w:tc>
        <w:tc>
          <w:tcPr>
            <w:tcW w:w="70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1,635</w:t>
            </w: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1,635</w:t>
            </w:r>
          </w:p>
        </w:tc>
        <w:tc>
          <w:tcPr>
            <w:tcW w:w="240" w:type="dxa"/>
            <w:vAlign w:val="bottom"/>
            <w:tcBorders>
              <w:bottom w:val="single" w:sz="8" w:color="61656A"/>
            </w:tcBorders>
          </w:tcPr>
          <w:p>
            <w:pPr>
              <w:spacing w:after="0"/>
              <w:rPr>
                <w:sz w:val="17"/>
                <w:szCs w:val="17"/>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74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Corporate bonds</w:t>
            </w:r>
          </w:p>
        </w:tc>
        <w:tc>
          <w:tcPr>
            <w:tcW w:w="160" w:type="dxa"/>
            <w:vAlign w:val="bottom"/>
            <w:tcBorders>
              <w:bottom w:val="single" w:sz="8" w:color="61656A"/>
            </w:tcBorders>
          </w:tcPr>
          <w:p>
            <w:pPr>
              <w:spacing w:after="0"/>
              <w:rPr>
                <w:sz w:val="17"/>
                <w:szCs w:val="17"/>
                <w:color w:val="auto"/>
              </w:rPr>
            </w:pPr>
          </w:p>
        </w:tc>
        <w:tc>
          <w:tcPr>
            <w:tcW w:w="70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1,103</w:t>
            </w: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1,103</w:t>
            </w:r>
          </w:p>
        </w:tc>
        <w:tc>
          <w:tcPr>
            <w:tcW w:w="240" w:type="dxa"/>
            <w:vAlign w:val="bottom"/>
            <w:tcBorders>
              <w:bottom w:val="single" w:sz="8" w:color="61656A"/>
            </w:tcBorders>
          </w:tcPr>
          <w:p>
            <w:pPr>
              <w:spacing w:after="0"/>
              <w:rPr>
                <w:sz w:val="17"/>
                <w:szCs w:val="17"/>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74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Mortgage/Asset-backed securities</w:t>
            </w:r>
          </w:p>
        </w:tc>
        <w:tc>
          <w:tcPr>
            <w:tcW w:w="160" w:type="dxa"/>
            <w:vAlign w:val="bottom"/>
            <w:tcBorders>
              <w:bottom w:val="single" w:sz="8" w:color="61656A"/>
            </w:tcBorders>
          </w:tcPr>
          <w:p>
            <w:pPr>
              <w:spacing w:after="0"/>
              <w:rPr>
                <w:sz w:val="17"/>
                <w:szCs w:val="17"/>
                <w:color w:val="auto"/>
              </w:rPr>
            </w:pPr>
          </w:p>
        </w:tc>
        <w:tc>
          <w:tcPr>
            <w:tcW w:w="70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10</w:t>
            </w: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10</w:t>
            </w:r>
          </w:p>
        </w:tc>
        <w:tc>
          <w:tcPr>
            <w:tcW w:w="240" w:type="dxa"/>
            <w:vAlign w:val="bottom"/>
            <w:tcBorders>
              <w:bottom w:val="single" w:sz="8" w:color="61656A"/>
            </w:tcBorders>
          </w:tcPr>
          <w:p>
            <w:pPr>
              <w:spacing w:after="0"/>
              <w:rPr>
                <w:sz w:val="17"/>
                <w:szCs w:val="17"/>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74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Insurance contracts</w:t>
            </w:r>
          </w:p>
        </w:tc>
        <w:tc>
          <w:tcPr>
            <w:tcW w:w="160" w:type="dxa"/>
            <w:vAlign w:val="bottom"/>
            <w:tcBorders>
              <w:bottom w:val="single" w:sz="8" w:color="61656A"/>
            </w:tcBorders>
          </w:tcPr>
          <w:p>
            <w:pPr>
              <w:spacing w:after="0"/>
              <w:rPr>
                <w:sz w:val="17"/>
                <w:szCs w:val="17"/>
                <w:color w:val="auto"/>
              </w:rPr>
            </w:pPr>
          </w:p>
        </w:tc>
        <w:tc>
          <w:tcPr>
            <w:tcW w:w="70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108</w:t>
            </w: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108</w:t>
            </w:r>
          </w:p>
        </w:tc>
        <w:tc>
          <w:tcPr>
            <w:tcW w:w="240" w:type="dxa"/>
            <w:vAlign w:val="bottom"/>
            <w:tcBorders>
              <w:bottom w:val="single" w:sz="8" w:color="61656A"/>
            </w:tcBorders>
          </w:tcPr>
          <w:p>
            <w:pPr>
              <w:spacing w:after="0"/>
              <w:rPr>
                <w:sz w:val="17"/>
                <w:szCs w:val="17"/>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74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Insurance buy-in contracts</w:t>
            </w:r>
          </w:p>
        </w:tc>
        <w:tc>
          <w:tcPr>
            <w:tcW w:w="160" w:type="dxa"/>
            <w:vAlign w:val="bottom"/>
            <w:tcBorders>
              <w:bottom w:val="single" w:sz="8" w:color="61656A"/>
            </w:tcBorders>
          </w:tcPr>
          <w:p>
            <w:pPr>
              <w:spacing w:after="0"/>
              <w:rPr>
                <w:sz w:val="17"/>
                <w:szCs w:val="17"/>
                <w:color w:val="auto"/>
              </w:rPr>
            </w:pPr>
          </w:p>
        </w:tc>
        <w:tc>
          <w:tcPr>
            <w:tcW w:w="70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1,605</w:t>
            </w: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61656A"/>
            </w:tcBorders>
          </w:tcPr>
          <w:p>
            <w:pPr>
              <w:spacing w:after="0"/>
              <w:rPr>
                <w:sz w:val="17"/>
                <w:szCs w:val="17"/>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1,605</w:t>
            </w:r>
          </w:p>
        </w:tc>
      </w:tr>
      <w:tr>
        <w:trPr>
          <w:trHeight w:val="196"/>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Investments in private funds</w:t>
            </w:r>
          </w:p>
        </w:tc>
        <w:tc>
          <w:tcPr>
            <w:tcW w:w="160" w:type="dxa"/>
            <w:vAlign w:val="bottom"/>
            <w:tcBorders>
              <w:bottom w:val="single" w:sz="8" w:color="61656A"/>
            </w:tcBorders>
          </w:tcPr>
          <w:p>
            <w:pPr>
              <w:spacing w:after="0"/>
              <w:rPr>
                <w:sz w:val="17"/>
                <w:szCs w:val="17"/>
                <w:color w:val="auto"/>
              </w:rPr>
            </w:pPr>
          </w:p>
        </w:tc>
        <w:tc>
          <w:tcPr>
            <w:tcW w:w="700" w:type="dxa"/>
            <w:vAlign w:val="bottom"/>
            <w:tcBorders>
              <w:bottom w:val="single" w:sz="8" w:color="61656A"/>
            </w:tcBorders>
          </w:tcPr>
          <w:p>
            <w:pPr>
              <w:spacing w:after="0"/>
              <w:rPr>
                <w:sz w:val="17"/>
                <w:szCs w:val="17"/>
                <w:color w:val="auto"/>
              </w:rPr>
            </w:pP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spacing w:after="0"/>
              <w:rPr>
                <w:sz w:val="17"/>
                <w:szCs w:val="17"/>
                <w:color w:val="auto"/>
              </w:rPr>
            </w:pP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660" w:type="dxa"/>
            <w:vAlign w:val="bottom"/>
            <w:tcBorders>
              <w:bottom w:val="single" w:sz="8" w:color="61656A"/>
            </w:tcBorders>
          </w:tcPr>
          <w:p>
            <w:pPr>
              <w:spacing w:after="0"/>
              <w:rPr>
                <w:sz w:val="17"/>
                <w:szCs w:val="17"/>
                <w:color w:val="auto"/>
              </w:rPr>
            </w:pPr>
          </w:p>
        </w:tc>
      </w:tr>
      <w:tr>
        <w:trPr>
          <w:trHeight w:val="196"/>
        </w:trPr>
        <w:tc>
          <w:tcPr>
            <w:tcW w:w="74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Private funds</w:t>
            </w:r>
          </w:p>
        </w:tc>
        <w:tc>
          <w:tcPr>
            <w:tcW w:w="160" w:type="dxa"/>
            <w:vAlign w:val="bottom"/>
            <w:tcBorders>
              <w:bottom w:val="single" w:sz="8" w:color="61656A"/>
            </w:tcBorders>
          </w:tcPr>
          <w:p>
            <w:pPr>
              <w:spacing w:after="0"/>
              <w:rPr>
                <w:sz w:val="17"/>
                <w:szCs w:val="17"/>
                <w:color w:val="auto"/>
              </w:rPr>
            </w:pPr>
          </w:p>
        </w:tc>
        <w:tc>
          <w:tcPr>
            <w:tcW w:w="70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115</w:t>
            </w: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41</w:t>
            </w:r>
          </w:p>
        </w:tc>
        <w:tc>
          <w:tcPr>
            <w:tcW w:w="240" w:type="dxa"/>
            <w:vAlign w:val="bottom"/>
            <w:tcBorders>
              <w:bottom w:val="single" w:sz="8" w:color="61656A"/>
            </w:tcBorders>
          </w:tcPr>
          <w:p>
            <w:pPr>
              <w:spacing w:after="0"/>
              <w:rPr>
                <w:sz w:val="17"/>
                <w:szCs w:val="17"/>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74</w:t>
            </w:r>
          </w:p>
        </w:tc>
      </w:tr>
      <w:tr>
        <w:trPr>
          <w:trHeight w:val="196"/>
        </w:trPr>
        <w:tc>
          <w:tcPr>
            <w:tcW w:w="748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Real estate funds</w:t>
            </w:r>
          </w:p>
        </w:tc>
        <w:tc>
          <w:tcPr>
            <w:tcW w:w="16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16</w:t>
            </w:r>
          </w:p>
        </w:tc>
        <w:tc>
          <w:tcPr>
            <w:tcW w:w="26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16</w:t>
            </w:r>
          </w:p>
        </w:tc>
      </w:tr>
      <w:tr>
        <w:trPr>
          <w:trHeight w:val="199"/>
        </w:trPr>
        <w:tc>
          <w:tcPr>
            <w:tcW w:w="748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w:t>
            </w: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5,539</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168</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3,676</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1,695</w:t>
            </w:r>
          </w:p>
        </w:tc>
      </w:tr>
      <w:tr>
        <w:trPr>
          <w:trHeight w:val="193"/>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Investments measured at NAV</w:t>
            </w:r>
          </w:p>
        </w:tc>
        <w:tc>
          <w:tcPr>
            <w:tcW w:w="160" w:type="dxa"/>
            <w:vAlign w:val="bottom"/>
            <w:tcBorders>
              <w:bottom w:val="single" w:sz="8" w:color="61656A"/>
            </w:tcBorders>
          </w:tcPr>
          <w:p>
            <w:pPr>
              <w:spacing w:after="0"/>
              <w:rPr>
                <w:sz w:val="16"/>
                <w:szCs w:val="16"/>
                <w:color w:val="auto"/>
              </w:rPr>
            </w:pPr>
          </w:p>
        </w:tc>
        <w:tc>
          <w:tcPr>
            <w:tcW w:w="700" w:type="dxa"/>
            <w:vAlign w:val="bottom"/>
            <w:tcBorders>
              <w:bottom w:val="single" w:sz="8" w:color="61656A"/>
            </w:tcBorders>
          </w:tcPr>
          <w:p>
            <w:pPr>
              <w:spacing w:after="0"/>
              <w:rPr>
                <w:sz w:val="16"/>
                <w:szCs w:val="16"/>
                <w:color w:val="auto"/>
              </w:rPr>
            </w:pPr>
          </w:p>
        </w:tc>
        <w:tc>
          <w:tcPr>
            <w:tcW w:w="260" w:type="dxa"/>
            <w:vAlign w:val="bottom"/>
            <w:tcBorders>
              <w:bottom w:val="single" w:sz="8" w:color="61656A"/>
            </w:tcBorders>
          </w:tcPr>
          <w:p>
            <w:pPr>
              <w:spacing w:after="0"/>
              <w:rPr>
                <w:sz w:val="16"/>
                <w:szCs w:val="16"/>
                <w:color w:val="auto"/>
              </w:rPr>
            </w:pPr>
          </w:p>
        </w:tc>
        <w:tc>
          <w:tcPr>
            <w:tcW w:w="740" w:type="dxa"/>
            <w:vAlign w:val="bottom"/>
            <w:tcBorders>
              <w:bottom w:val="single" w:sz="8" w:color="61656A"/>
            </w:tcBorders>
          </w:tcPr>
          <w:p>
            <w:pPr>
              <w:spacing w:after="0"/>
              <w:rPr>
                <w:sz w:val="16"/>
                <w:szCs w:val="16"/>
                <w:color w:val="auto"/>
              </w:rPr>
            </w:pPr>
          </w:p>
        </w:tc>
        <w:tc>
          <w:tcPr>
            <w:tcW w:w="260" w:type="dxa"/>
            <w:vAlign w:val="bottom"/>
            <w:tcBorders>
              <w:bottom w:val="single" w:sz="8" w:color="61656A"/>
            </w:tcBorders>
          </w:tcPr>
          <w:p>
            <w:pPr>
              <w:spacing w:after="0"/>
              <w:rPr>
                <w:sz w:val="16"/>
                <w:szCs w:val="16"/>
                <w:color w:val="auto"/>
              </w:rPr>
            </w:pPr>
          </w:p>
        </w:tc>
        <w:tc>
          <w:tcPr>
            <w:tcW w:w="740" w:type="dxa"/>
            <w:vAlign w:val="bottom"/>
            <w:tcBorders>
              <w:bottom w:val="single" w:sz="8" w:color="61656A"/>
            </w:tcBorders>
          </w:tcPr>
          <w:p>
            <w:pPr>
              <w:spacing w:after="0"/>
              <w:rPr>
                <w:sz w:val="16"/>
                <w:szCs w:val="16"/>
                <w:color w:val="auto"/>
              </w:rPr>
            </w:pPr>
          </w:p>
        </w:tc>
        <w:tc>
          <w:tcPr>
            <w:tcW w:w="240" w:type="dxa"/>
            <w:vAlign w:val="bottom"/>
            <w:tcBorders>
              <w:bottom w:val="single" w:sz="8" w:color="61656A"/>
            </w:tcBorders>
          </w:tcPr>
          <w:p>
            <w:pPr>
              <w:spacing w:after="0"/>
              <w:rPr>
                <w:sz w:val="16"/>
                <w:szCs w:val="16"/>
                <w:color w:val="auto"/>
              </w:rPr>
            </w:pPr>
          </w:p>
        </w:tc>
        <w:tc>
          <w:tcPr>
            <w:tcW w:w="660" w:type="dxa"/>
            <w:vAlign w:val="bottom"/>
            <w:tcBorders>
              <w:bottom w:val="single" w:sz="8" w:color="61656A"/>
            </w:tcBorders>
          </w:tcPr>
          <w:p>
            <w:pPr>
              <w:spacing w:after="0"/>
              <w:rPr>
                <w:sz w:val="16"/>
                <w:szCs w:val="16"/>
                <w:color w:val="auto"/>
              </w:rPr>
            </w:pPr>
          </w:p>
        </w:tc>
      </w:tr>
      <w:tr>
        <w:trPr>
          <w:trHeight w:val="196"/>
        </w:trPr>
        <w:tc>
          <w:tcPr>
            <w:tcW w:w="74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Private funds</w:t>
            </w:r>
          </w:p>
        </w:tc>
        <w:tc>
          <w:tcPr>
            <w:tcW w:w="160" w:type="dxa"/>
            <w:vAlign w:val="bottom"/>
            <w:tcBorders>
              <w:bottom w:val="single" w:sz="8" w:color="61656A"/>
            </w:tcBorders>
          </w:tcPr>
          <w:p>
            <w:pPr>
              <w:spacing w:after="0"/>
              <w:rPr>
                <w:sz w:val="17"/>
                <w:szCs w:val="17"/>
                <w:color w:val="auto"/>
              </w:rPr>
            </w:pPr>
          </w:p>
        </w:tc>
        <w:tc>
          <w:tcPr>
            <w:tcW w:w="70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8</w:t>
            </w: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spacing w:after="0"/>
              <w:rPr>
                <w:sz w:val="17"/>
                <w:szCs w:val="17"/>
                <w:color w:val="auto"/>
              </w:rPr>
            </w:pP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660" w:type="dxa"/>
            <w:vAlign w:val="bottom"/>
            <w:tcBorders>
              <w:bottom w:val="single" w:sz="8" w:color="61656A"/>
            </w:tcBorders>
          </w:tcPr>
          <w:p>
            <w:pPr>
              <w:spacing w:after="0"/>
              <w:rPr>
                <w:sz w:val="17"/>
                <w:szCs w:val="17"/>
                <w:color w:val="auto"/>
              </w:rPr>
            </w:pPr>
          </w:p>
        </w:tc>
      </w:tr>
      <w:tr>
        <w:trPr>
          <w:trHeight w:val="196"/>
        </w:trPr>
        <w:tc>
          <w:tcPr>
            <w:tcW w:w="748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Real estate funds</w:t>
            </w:r>
          </w:p>
        </w:tc>
        <w:tc>
          <w:tcPr>
            <w:tcW w:w="16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2</w:t>
            </w:r>
          </w:p>
        </w:tc>
        <w:tc>
          <w:tcPr>
            <w:tcW w:w="26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spacing w:after="0"/>
              <w:rPr>
                <w:sz w:val="17"/>
                <w:szCs w:val="17"/>
                <w:color w:val="auto"/>
              </w:rPr>
            </w:pPr>
          </w:p>
        </w:tc>
        <w:tc>
          <w:tcPr>
            <w:tcW w:w="26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spacing w:after="0"/>
              <w:rPr>
                <w:sz w:val="17"/>
                <w:szCs w:val="17"/>
                <w:color w:val="auto"/>
              </w:rPr>
            </w:pPr>
          </w:p>
        </w:tc>
        <w:tc>
          <w:tcPr>
            <w:tcW w:w="24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spacing w:after="0"/>
              <w:rPr>
                <w:sz w:val="17"/>
                <w:szCs w:val="17"/>
                <w:color w:val="auto"/>
              </w:rPr>
            </w:pPr>
          </w:p>
        </w:tc>
      </w:tr>
      <w:tr>
        <w:trPr>
          <w:trHeight w:val="199"/>
        </w:trPr>
        <w:tc>
          <w:tcPr>
            <w:tcW w:w="7480" w:type="dxa"/>
            <w:vAlign w:val="bottom"/>
            <w:tcBorders>
              <w:bottom w:val="single" w:sz="8" w:color="D7282F"/>
            </w:tcBorders>
          </w:tcPr>
          <w:p>
            <w:pPr>
              <w:ind w:left="360"/>
              <w:spacing w:after="0"/>
              <w:rPr>
                <w:sz w:val="20"/>
                <w:szCs w:val="20"/>
                <w:color w:val="auto"/>
              </w:rPr>
            </w:pPr>
            <w:r>
              <w:rPr>
                <w:rFonts w:ascii="Arial" w:cs="Arial" w:eastAsia="Arial" w:hAnsi="Arial"/>
                <w:sz w:val="14"/>
                <w:szCs w:val="14"/>
                <w:b w:val="1"/>
                <w:bCs w:val="1"/>
                <w:color w:val="auto"/>
              </w:rPr>
              <w:t>Total assets at fair value</w:t>
            </w: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5,549</w:t>
            </w:r>
          </w:p>
        </w:tc>
        <w:tc>
          <w:tcPr>
            <w:tcW w:w="26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spacing w:after="0"/>
              <w:rPr>
                <w:sz w:val="17"/>
                <w:szCs w:val="17"/>
                <w:color w:val="auto"/>
              </w:rPr>
            </w:pPr>
          </w:p>
        </w:tc>
        <w:tc>
          <w:tcPr>
            <w:tcW w:w="26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spacing w:after="0"/>
              <w:rPr>
                <w:sz w:val="17"/>
                <w:szCs w:val="17"/>
                <w:color w:val="auto"/>
              </w:rPr>
            </w:pPr>
          </w:p>
        </w:tc>
        <w:tc>
          <w:tcPr>
            <w:tcW w:w="24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spacing w:after="0"/>
              <w:rPr>
                <w:sz w:val="17"/>
                <w:szCs w:val="17"/>
                <w:color w:val="auto"/>
              </w:rPr>
            </w:pPr>
          </w:p>
        </w:tc>
      </w:tr>
    </w:tbl>
    <w:p>
      <w:pPr>
        <w:spacing w:after="0" w:line="200" w:lineRule="exact"/>
        <w:rPr>
          <w:sz w:val="20"/>
          <w:szCs w:val="20"/>
          <w:color w:val="auto"/>
        </w:rPr>
      </w:pPr>
    </w:p>
    <w:p>
      <w:pPr>
        <w:spacing w:after="0" w:line="294"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D7282F"/>
        </w:rPr>
        <w:t>107</w:t>
      </w:r>
      <w:r>
        <w:rPr>
          <w:sz w:val="20"/>
          <w:szCs w:val="20"/>
          <w:color w:val="auto"/>
        </w:rPr>
        <w:tab/>
      </w: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09" w:name="page110"/>
    <w:bookmarkEnd w:id="109"/>
    <w:p>
      <w:pPr>
        <w:ind w:left="20"/>
        <w:spacing w:after="0"/>
        <w:tabs>
          <w:tab w:leader="none" w:pos="784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FINANCIAL STATEMENTS AND SUPPLEMENTARY DATA</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changes in the fair value of level 3 assets for both U.S. and non-U.S. plans: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520" w:type="dxa"/>
            <w:vAlign w:val="bottom"/>
          </w:tcPr>
          <w:p>
            <w:pPr>
              <w:spacing w:after="0"/>
              <w:rPr>
                <w:sz w:val="17"/>
                <w:szCs w:val="17"/>
                <w:color w:val="auto"/>
              </w:rPr>
            </w:pPr>
          </w:p>
        </w:tc>
        <w:tc>
          <w:tcPr>
            <w:tcW w:w="120" w:type="dxa"/>
            <w:vAlign w:val="bottom"/>
            <w:tcBorders>
              <w:bottom w:val="single" w:sz="8" w:color="D7282F"/>
            </w:tcBorders>
          </w:tcPr>
          <w:p>
            <w:pPr>
              <w:spacing w:after="0"/>
              <w:rPr>
                <w:sz w:val="17"/>
                <w:szCs w:val="17"/>
                <w:color w:val="auto"/>
              </w:rPr>
            </w:pPr>
          </w:p>
        </w:tc>
        <w:tc>
          <w:tcPr>
            <w:tcW w:w="2240" w:type="dxa"/>
            <w:vAlign w:val="bottom"/>
            <w:tcBorders>
              <w:bottom w:val="single" w:sz="8" w:color="D7282F"/>
            </w:tcBorders>
            <w:gridSpan w:val="3"/>
          </w:tcPr>
          <w:p>
            <w:pPr>
              <w:jc w:val="right"/>
              <w:ind w:right="748"/>
              <w:spacing w:after="0"/>
              <w:rPr>
                <w:sz w:val="20"/>
                <w:szCs w:val="20"/>
                <w:color w:val="auto"/>
              </w:rPr>
            </w:pPr>
            <w:r>
              <w:rPr>
                <w:rFonts w:ascii="Arial" w:cs="Arial" w:eastAsia="Arial" w:hAnsi="Arial"/>
                <w:sz w:val="14"/>
                <w:szCs w:val="14"/>
                <w:b w:val="1"/>
                <w:bCs w:val="1"/>
                <w:color w:val="auto"/>
              </w:rPr>
              <w:t>U.S. Plans</w:t>
            </w:r>
          </w:p>
        </w:tc>
        <w:tc>
          <w:tcPr>
            <w:tcW w:w="220" w:type="dxa"/>
            <w:vAlign w:val="bottom"/>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spacing w:after="0"/>
              <w:rPr>
                <w:sz w:val="17"/>
                <w:szCs w:val="17"/>
                <w:color w:val="auto"/>
              </w:rPr>
            </w:pPr>
          </w:p>
        </w:tc>
        <w:tc>
          <w:tcPr>
            <w:tcW w:w="1200" w:type="dxa"/>
            <w:vAlign w:val="bottom"/>
            <w:tcBorders>
              <w:bottom w:val="single" w:sz="8" w:color="D7282F"/>
            </w:tcBorders>
            <w:gridSpan w:val="2"/>
          </w:tcPr>
          <w:p>
            <w:pPr>
              <w:jc w:val="right"/>
              <w:ind w:right="8"/>
              <w:spacing w:after="0"/>
              <w:rPr>
                <w:sz w:val="20"/>
                <w:szCs w:val="20"/>
                <w:color w:val="auto"/>
              </w:rPr>
            </w:pPr>
            <w:r>
              <w:rPr>
                <w:rFonts w:ascii="Arial" w:cs="Arial" w:eastAsia="Arial" w:hAnsi="Arial"/>
                <w:sz w:val="14"/>
                <w:szCs w:val="14"/>
                <w:b w:val="1"/>
                <w:bCs w:val="1"/>
                <w:color w:val="auto"/>
              </w:rPr>
              <w:t>Non-U.S. Plans</w:t>
            </w:r>
          </w:p>
        </w:tc>
        <w:tc>
          <w:tcPr>
            <w:tcW w:w="160" w:type="dxa"/>
            <w:vAlign w:val="bottom"/>
            <w:tcBorders>
              <w:bottom w:val="single" w:sz="8" w:color="D7282F"/>
            </w:tcBorders>
          </w:tcPr>
          <w:p>
            <w:pPr>
              <w:spacing w:after="0"/>
              <w:rPr>
                <w:sz w:val="17"/>
                <w:szCs w:val="17"/>
                <w:color w:val="auto"/>
              </w:rPr>
            </w:pPr>
          </w:p>
        </w:tc>
        <w:tc>
          <w:tcPr>
            <w:tcW w:w="820" w:type="dxa"/>
            <w:vAlign w:val="bottom"/>
            <w:tcBorders>
              <w:bottom w:val="single" w:sz="8" w:color="D7282F"/>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w w:val="99"/>
              </w:rPr>
              <w:t>Direct Private</w:t>
            </w:r>
          </w:p>
        </w:tc>
        <w:tc>
          <w:tcPr>
            <w:tcW w:w="220" w:type="dxa"/>
            <w:vAlign w:val="bottom"/>
          </w:tcPr>
          <w:p>
            <w:pPr>
              <w:spacing w:after="0"/>
              <w:rPr>
                <w:sz w:val="16"/>
                <w:szCs w:val="16"/>
                <w:color w:val="auto"/>
              </w:rPr>
            </w:pPr>
          </w:p>
        </w:tc>
        <w:tc>
          <w:tcPr>
            <w:tcW w:w="11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Real Estate</w:t>
            </w:r>
          </w:p>
        </w:tc>
        <w:tc>
          <w:tcPr>
            <w:tcW w:w="160" w:type="dxa"/>
            <w:vAlign w:val="bottom"/>
          </w:tcPr>
          <w:p>
            <w:pPr>
              <w:spacing w:after="0"/>
              <w:rPr>
                <w:sz w:val="16"/>
                <w:szCs w:val="16"/>
                <w:color w:val="auto"/>
              </w:rPr>
            </w:pPr>
          </w:p>
        </w:tc>
        <w:tc>
          <w:tcPr>
            <w:tcW w:w="80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Private</w:t>
            </w:r>
          </w:p>
        </w:tc>
        <w:tc>
          <w:tcPr>
            <w:tcW w:w="1200" w:type="dxa"/>
            <w:vAlign w:val="bottom"/>
            <w:gridSpan w:val="2"/>
            <w:vMerge w:val="restart"/>
          </w:tcPr>
          <w:p>
            <w:pPr>
              <w:jc w:val="right"/>
              <w:ind w:right="168"/>
              <w:spacing w:after="0"/>
              <w:rPr>
                <w:sz w:val="20"/>
                <w:szCs w:val="20"/>
                <w:color w:val="auto"/>
              </w:rPr>
            </w:pPr>
            <w:r>
              <w:rPr>
                <w:rFonts w:ascii="Arial" w:cs="Arial" w:eastAsia="Arial" w:hAnsi="Arial"/>
                <w:sz w:val="14"/>
                <w:szCs w:val="14"/>
                <w:b w:val="1"/>
                <w:bCs w:val="1"/>
                <w:color w:val="auto"/>
              </w:rPr>
              <w:t>Real Estate</w:t>
            </w:r>
          </w:p>
        </w:tc>
        <w:tc>
          <w:tcPr>
            <w:tcW w:w="160" w:type="dxa"/>
            <w:vAlign w:val="bottom"/>
          </w:tcPr>
          <w:p>
            <w:pPr>
              <w:spacing w:after="0"/>
              <w:rPr>
                <w:sz w:val="16"/>
                <w:szCs w:val="16"/>
                <w:color w:val="auto"/>
              </w:rPr>
            </w:pPr>
          </w:p>
        </w:tc>
        <w:tc>
          <w:tcPr>
            <w:tcW w:w="820" w:type="dxa"/>
            <w:vAlign w:val="bottom"/>
          </w:tcPr>
          <w:p>
            <w:pPr>
              <w:jc w:val="center"/>
              <w:ind w:right="68"/>
              <w:spacing w:after="0"/>
              <w:rPr>
                <w:sz w:val="20"/>
                <w:szCs w:val="20"/>
                <w:color w:val="auto"/>
              </w:rPr>
            </w:pPr>
            <w:r>
              <w:rPr>
                <w:rFonts w:ascii="Arial" w:cs="Arial" w:eastAsia="Arial" w:hAnsi="Arial"/>
                <w:sz w:val="14"/>
                <w:szCs w:val="14"/>
                <w:b w:val="1"/>
                <w:bCs w:val="1"/>
                <w:color w:val="auto"/>
              </w:rPr>
              <w:t>Insurance</w:t>
            </w:r>
          </w:p>
        </w:tc>
        <w:tc>
          <w:tcPr>
            <w:tcW w:w="0" w:type="dxa"/>
            <w:vAlign w:val="bottom"/>
          </w:tcPr>
          <w:p>
            <w:pPr>
              <w:spacing w:after="0"/>
              <w:rPr>
                <w:sz w:val="1"/>
                <w:szCs w:val="1"/>
                <w:color w:val="auto"/>
              </w:rPr>
            </w:pPr>
          </w:p>
        </w:tc>
      </w:tr>
      <w:tr>
        <w:trPr>
          <w:trHeight w:val="162"/>
        </w:trPr>
        <w:tc>
          <w:tcPr>
            <w:tcW w:w="5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center"/>
              <w:ind w:right="48"/>
              <w:spacing w:after="0"/>
              <w:rPr>
                <w:sz w:val="20"/>
                <w:szCs w:val="20"/>
                <w:color w:val="auto"/>
              </w:rPr>
            </w:pPr>
            <w:r>
              <w:rPr>
                <w:rFonts w:ascii="Arial" w:cs="Arial" w:eastAsia="Arial" w:hAnsi="Arial"/>
                <w:sz w:val="14"/>
                <w:szCs w:val="14"/>
                <w:b w:val="1"/>
                <w:bCs w:val="1"/>
                <w:color w:val="auto"/>
              </w:rPr>
              <w:t>Buy-in</w:t>
            </w:r>
          </w:p>
        </w:tc>
        <w:tc>
          <w:tcPr>
            <w:tcW w:w="0" w:type="dxa"/>
            <w:vAlign w:val="bottom"/>
          </w:tcPr>
          <w:p>
            <w:pPr>
              <w:spacing w:after="0"/>
              <w:rPr>
                <w:sz w:val="1"/>
                <w:szCs w:val="1"/>
                <w:color w:val="auto"/>
              </w:rPr>
            </w:pPr>
          </w:p>
        </w:tc>
      </w:tr>
      <w:tr>
        <w:trPr>
          <w:trHeight w:val="211"/>
        </w:trPr>
        <w:tc>
          <w:tcPr>
            <w:tcW w:w="5520" w:type="dxa"/>
            <w:vAlign w:val="bottom"/>
            <w:tcBorders>
              <w:bottom w:val="single" w:sz="8" w:color="D7282F"/>
            </w:tcBorders>
          </w:tcPr>
          <w:p>
            <w:pPr>
              <w:spacing w:after="0"/>
              <w:rPr>
                <w:sz w:val="18"/>
                <w:szCs w:val="18"/>
                <w:color w:val="auto"/>
              </w:rPr>
            </w:pPr>
          </w:p>
        </w:tc>
        <w:tc>
          <w:tcPr>
            <w:tcW w:w="120" w:type="dxa"/>
            <w:vAlign w:val="bottom"/>
            <w:tcBorders>
              <w:bottom w:val="single" w:sz="8" w:color="D7282F"/>
            </w:tcBorders>
          </w:tcPr>
          <w:p>
            <w:pPr>
              <w:spacing w:after="0"/>
              <w:rPr>
                <w:sz w:val="18"/>
                <w:szCs w:val="18"/>
                <w:color w:val="auto"/>
              </w:rPr>
            </w:pPr>
          </w:p>
        </w:tc>
        <w:tc>
          <w:tcPr>
            <w:tcW w:w="1140" w:type="dxa"/>
            <w:vAlign w:val="bottom"/>
            <w:tcBorders>
              <w:bottom w:val="single" w:sz="8" w:color="D7282F"/>
            </w:tcBorders>
          </w:tcPr>
          <w:p>
            <w:pPr>
              <w:jc w:val="right"/>
              <w:ind w:right="188"/>
              <w:spacing w:after="0"/>
              <w:rPr>
                <w:sz w:val="20"/>
                <w:szCs w:val="20"/>
                <w:color w:val="auto"/>
              </w:rPr>
            </w:pPr>
            <w:r>
              <w:rPr>
                <w:rFonts w:ascii="Arial" w:cs="Arial" w:eastAsia="Arial" w:hAnsi="Arial"/>
                <w:sz w:val="14"/>
                <w:szCs w:val="14"/>
                <w:b w:val="1"/>
                <w:bCs w:val="1"/>
                <w:color w:val="auto"/>
              </w:rPr>
              <w:t>Investments</w:t>
            </w:r>
          </w:p>
        </w:tc>
        <w:tc>
          <w:tcPr>
            <w:tcW w:w="220" w:type="dxa"/>
            <w:vAlign w:val="bottom"/>
            <w:tcBorders>
              <w:bottom w:val="single" w:sz="8" w:color="D7282F"/>
            </w:tcBorders>
          </w:tcPr>
          <w:p>
            <w:pPr>
              <w:spacing w:after="0"/>
              <w:rPr>
                <w:sz w:val="18"/>
                <w:szCs w:val="18"/>
                <w:color w:val="auto"/>
              </w:rPr>
            </w:pPr>
          </w:p>
        </w:tc>
        <w:tc>
          <w:tcPr>
            <w:tcW w:w="1100" w:type="dxa"/>
            <w:vAlign w:val="bottom"/>
            <w:tcBorders>
              <w:bottom w:val="single" w:sz="8" w:color="D7282F"/>
            </w:tcBorders>
            <w:gridSpan w:val="2"/>
          </w:tcPr>
          <w:p>
            <w:pPr>
              <w:jc w:val="center"/>
              <w:ind w:right="320"/>
              <w:spacing w:after="0"/>
              <w:rPr>
                <w:sz w:val="20"/>
                <w:szCs w:val="20"/>
                <w:color w:val="auto"/>
              </w:rPr>
            </w:pPr>
            <w:r>
              <w:rPr>
                <w:rFonts w:ascii="Arial" w:cs="Arial" w:eastAsia="Arial" w:hAnsi="Arial"/>
                <w:sz w:val="14"/>
                <w:szCs w:val="14"/>
                <w:b w:val="1"/>
                <w:bCs w:val="1"/>
                <w:color w:val="auto"/>
              </w:rPr>
              <w:t>Properties</w:t>
            </w:r>
          </w:p>
        </w:tc>
        <w:tc>
          <w:tcPr>
            <w:tcW w:w="160" w:type="dxa"/>
            <w:vAlign w:val="bottom"/>
            <w:tcBorders>
              <w:bottom w:val="single" w:sz="8" w:color="D7282F"/>
            </w:tcBorders>
          </w:tcPr>
          <w:p>
            <w:pPr>
              <w:spacing w:after="0"/>
              <w:rPr>
                <w:sz w:val="18"/>
                <w:szCs w:val="18"/>
                <w:color w:val="auto"/>
              </w:rPr>
            </w:pPr>
          </w:p>
        </w:tc>
        <w:tc>
          <w:tcPr>
            <w:tcW w:w="800" w:type="dxa"/>
            <w:vAlign w:val="bottom"/>
            <w:tcBorders>
              <w:bottom w:val="single" w:sz="8" w:color="D7282F"/>
            </w:tcBorders>
          </w:tcPr>
          <w:p>
            <w:pPr>
              <w:jc w:val="right"/>
              <w:ind w:right="228"/>
              <w:spacing w:after="0"/>
              <w:rPr>
                <w:sz w:val="20"/>
                <w:szCs w:val="20"/>
                <w:color w:val="auto"/>
              </w:rPr>
            </w:pPr>
            <w:r>
              <w:rPr>
                <w:rFonts w:ascii="Arial" w:cs="Arial" w:eastAsia="Arial" w:hAnsi="Arial"/>
                <w:sz w:val="14"/>
                <w:szCs w:val="14"/>
                <w:b w:val="1"/>
                <w:bCs w:val="1"/>
                <w:color w:val="auto"/>
              </w:rPr>
              <w:t>Funds</w:t>
            </w:r>
          </w:p>
        </w:tc>
        <w:tc>
          <w:tcPr>
            <w:tcW w:w="300" w:type="dxa"/>
            <w:vAlign w:val="bottom"/>
            <w:tcBorders>
              <w:bottom w:val="single" w:sz="8" w:color="D7282F"/>
            </w:tcBorders>
          </w:tcPr>
          <w:p>
            <w:pPr>
              <w:spacing w:after="0"/>
              <w:rPr>
                <w:sz w:val="18"/>
                <w:szCs w:val="18"/>
                <w:color w:val="auto"/>
              </w:rPr>
            </w:pPr>
          </w:p>
        </w:tc>
        <w:tc>
          <w:tcPr>
            <w:tcW w:w="900" w:type="dxa"/>
            <w:vAlign w:val="bottom"/>
            <w:tcBorders>
              <w:bottom w:val="single" w:sz="8" w:color="D7282F"/>
            </w:tcBorders>
          </w:tcPr>
          <w:p>
            <w:pPr>
              <w:jc w:val="right"/>
              <w:ind w:right="348"/>
              <w:spacing w:after="0"/>
              <w:rPr>
                <w:sz w:val="20"/>
                <w:szCs w:val="20"/>
                <w:color w:val="auto"/>
              </w:rPr>
            </w:pPr>
            <w:r>
              <w:rPr>
                <w:rFonts w:ascii="Arial" w:cs="Arial" w:eastAsia="Arial" w:hAnsi="Arial"/>
                <w:sz w:val="14"/>
                <w:szCs w:val="14"/>
                <w:b w:val="1"/>
                <w:bCs w:val="1"/>
                <w:color w:val="auto"/>
              </w:rPr>
              <w:t>Funds</w:t>
            </w:r>
          </w:p>
        </w:tc>
        <w:tc>
          <w:tcPr>
            <w:tcW w:w="160" w:type="dxa"/>
            <w:vAlign w:val="bottom"/>
            <w:tcBorders>
              <w:bottom w:val="single" w:sz="8" w:color="D7282F"/>
            </w:tcBorders>
          </w:tcPr>
          <w:p>
            <w:pPr>
              <w:spacing w:after="0"/>
              <w:rPr>
                <w:sz w:val="18"/>
                <w:szCs w:val="18"/>
                <w:color w:val="auto"/>
              </w:rPr>
            </w:pPr>
          </w:p>
        </w:tc>
        <w:tc>
          <w:tcPr>
            <w:tcW w:w="820" w:type="dxa"/>
            <w:vAlign w:val="bottom"/>
            <w:tcBorders>
              <w:bottom w:val="single" w:sz="8" w:color="D7282F"/>
            </w:tcBorders>
          </w:tcPr>
          <w:p>
            <w:pPr>
              <w:jc w:val="center"/>
              <w:ind w:right="48"/>
              <w:spacing w:after="0"/>
              <w:rPr>
                <w:sz w:val="20"/>
                <w:szCs w:val="20"/>
                <w:color w:val="auto"/>
              </w:rPr>
            </w:pPr>
            <w:r>
              <w:rPr>
                <w:rFonts w:ascii="Arial" w:cs="Arial" w:eastAsia="Arial" w:hAnsi="Arial"/>
                <w:sz w:val="14"/>
                <w:szCs w:val="14"/>
                <w:b w:val="1"/>
                <w:bCs w:val="1"/>
                <w:color w:val="auto"/>
              </w:rPr>
              <w:t>Contracts</w:t>
            </w:r>
          </w:p>
        </w:tc>
        <w:tc>
          <w:tcPr>
            <w:tcW w:w="0" w:type="dxa"/>
            <w:vAlign w:val="bottom"/>
          </w:tcPr>
          <w:p>
            <w:pPr>
              <w:spacing w:after="0"/>
              <w:rPr>
                <w:sz w:val="1"/>
                <w:szCs w:val="1"/>
                <w:color w:val="auto"/>
              </w:rPr>
            </w:pPr>
          </w:p>
        </w:tc>
      </w:tr>
      <w:tr>
        <w:trPr>
          <w:trHeight w:val="196"/>
        </w:trPr>
        <w:tc>
          <w:tcPr>
            <w:tcW w:w="552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Balance at December 31, 2022</w:t>
            </w:r>
          </w:p>
        </w:tc>
        <w:tc>
          <w:tcPr>
            <w:tcW w:w="1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1,284</w:t>
            </w: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1,005</w:t>
            </w:r>
          </w:p>
        </w:tc>
        <w:tc>
          <w:tcPr>
            <w:tcW w:w="220" w:type="dxa"/>
            <w:vAlign w:val="bottom"/>
            <w:tcBorders>
              <w:bottom w:val="single" w:sz="8" w:color="D7282F"/>
            </w:tcBorders>
          </w:tcPr>
          <w:p>
            <w:pPr>
              <w:spacing w:after="0"/>
              <w:rPr>
                <w:sz w:val="17"/>
                <w:szCs w:val="17"/>
                <w:color w:val="auto"/>
              </w:rPr>
            </w:pP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36</w:t>
            </w:r>
          </w:p>
        </w:tc>
        <w:tc>
          <w:tcPr>
            <w:tcW w:w="3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D7282F"/>
            </w:tcBorders>
          </w:tcPr>
          <w:p>
            <w:pPr>
              <w:jc w:val="right"/>
              <w:ind w:right="188"/>
              <w:spacing w:after="0"/>
              <w:rPr>
                <w:sz w:val="20"/>
                <w:szCs w:val="20"/>
                <w:color w:val="auto"/>
              </w:rPr>
            </w:pPr>
            <w:r>
              <w:rPr>
                <w:rFonts w:ascii="Arial" w:cs="Arial" w:eastAsia="Arial" w:hAnsi="Arial"/>
                <w:sz w:val="14"/>
                <w:szCs w:val="14"/>
                <w:b w:val="1"/>
                <w:bCs w:val="1"/>
                <w:color w:val="auto"/>
              </w:rPr>
              <w:t>130</w:t>
            </w: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950</w:t>
            </w:r>
          </w:p>
        </w:tc>
        <w:tc>
          <w:tcPr>
            <w:tcW w:w="0" w:type="dxa"/>
            <w:vAlign w:val="bottom"/>
          </w:tcPr>
          <w:p>
            <w:pPr>
              <w:spacing w:after="0"/>
              <w:rPr>
                <w:sz w:val="1"/>
                <w:szCs w:val="1"/>
                <w:color w:val="auto"/>
              </w:rPr>
            </w:pPr>
          </w:p>
        </w:tc>
      </w:tr>
      <w:tr>
        <w:trPr>
          <w:trHeight w:val="193"/>
        </w:trPr>
        <w:tc>
          <w:tcPr>
            <w:tcW w:w="552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Actual return on plan assets</w:t>
            </w:r>
          </w:p>
        </w:tc>
        <w:tc>
          <w:tcPr>
            <w:tcW w:w="120" w:type="dxa"/>
            <w:vAlign w:val="bottom"/>
            <w:tcBorders>
              <w:bottom w:val="single" w:sz="8" w:color="61656A"/>
            </w:tcBorders>
          </w:tcPr>
          <w:p>
            <w:pPr>
              <w:spacing w:after="0"/>
              <w:rPr>
                <w:sz w:val="16"/>
                <w:szCs w:val="16"/>
                <w:color w:val="auto"/>
              </w:rPr>
            </w:pPr>
          </w:p>
        </w:tc>
        <w:tc>
          <w:tcPr>
            <w:tcW w:w="114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88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160" w:type="dxa"/>
            <w:vAlign w:val="bottom"/>
            <w:tcBorders>
              <w:bottom w:val="single" w:sz="8" w:color="61656A"/>
            </w:tcBorders>
          </w:tcPr>
          <w:p>
            <w:pPr>
              <w:spacing w:after="0"/>
              <w:rPr>
                <w:sz w:val="16"/>
                <w:szCs w:val="16"/>
                <w:color w:val="auto"/>
              </w:rPr>
            </w:pPr>
          </w:p>
        </w:tc>
        <w:tc>
          <w:tcPr>
            <w:tcW w:w="800" w:type="dxa"/>
            <w:vAlign w:val="bottom"/>
            <w:tcBorders>
              <w:bottom w:val="single" w:sz="8" w:color="61656A"/>
            </w:tcBorders>
          </w:tcPr>
          <w:p>
            <w:pPr>
              <w:spacing w:after="0"/>
              <w:rPr>
                <w:sz w:val="16"/>
                <w:szCs w:val="16"/>
                <w:color w:val="auto"/>
              </w:rPr>
            </w:pPr>
          </w:p>
        </w:tc>
        <w:tc>
          <w:tcPr>
            <w:tcW w:w="300" w:type="dxa"/>
            <w:vAlign w:val="bottom"/>
            <w:tcBorders>
              <w:bottom w:val="single" w:sz="8" w:color="61656A"/>
            </w:tcBorders>
          </w:tcPr>
          <w:p>
            <w:pPr>
              <w:spacing w:after="0"/>
              <w:rPr>
                <w:sz w:val="16"/>
                <w:szCs w:val="16"/>
                <w:color w:val="auto"/>
              </w:rPr>
            </w:pPr>
          </w:p>
        </w:tc>
        <w:tc>
          <w:tcPr>
            <w:tcW w:w="900" w:type="dxa"/>
            <w:vAlign w:val="bottom"/>
            <w:tcBorders>
              <w:bottom w:val="single" w:sz="8" w:color="61656A"/>
            </w:tcBorders>
          </w:tcPr>
          <w:p>
            <w:pPr>
              <w:spacing w:after="0"/>
              <w:rPr>
                <w:sz w:val="16"/>
                <w:szCs w:val="16"/>
                <w:color w:val="auto"/>
              </w:rPr>
            </w:pPr>
          </w:p>
        </w:tc>
        <w:tc>
          <w:tcPr>
            <w:tcW w:w="160" w:type="dxa"/>
            <w:vAlign w:val="bottom"/>
            <w:tcBorders>
              <w:bottom w:val="single" w:sz="8" w:color="61656A"/>
            </w:tcBorders>
          </w:tcPr>
          <w:p>
            <w:pPr>
              <w:spacing w:after="0"/>
              <w:rPr>
                <w:sz w:val="16"/>
                <w:szCs w:val="16"/>
                <w:color w:val="auto"/>
              </w:rPr>
            </w:pPr>
          </w:p>
        </w:tc>
        <w:tc>
          <w:tcPr>
            <w:tcW w:w="820" w:type="dxa"/>
            <w:vAlign w:val="bottom"/>
            <w:tcBorders>
              <w:bottom w:val="single" w:sz="8" w:color="61656A"/>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52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Relating to assets still held at year-end</w:t>
            </w:r>
          </w:p>
        </w:tc>
        <w:tc>
          <w:tcPr>
            <w:tcW w:w="120" w:type="dxa"/>
            <w:vAlign w:val="bottom"/>
            <w:tcBorders>
              <w:bottom w:val="single" w:sz="8" w:color="61656A"/>
            </w:tcBorders>
          </w:tcPr>
          <w:p>
            <w:pPr>
              <w:spacing w:after="0"/>
              <w:rPr>
                <w:sz w:val="17"/>
                <w:szCs w:val="17"/>
                <w:color w:val="auto"/>
              </w:rPr>
            </w:pPr>
          </w:p>
        </w:tc>
        <w:tc>
          <w:tcPr>
            <w:tcW w:w="1140" w:type="dxa"/>
            <w:vAlign w:val="bottom"/>
            <w:tcBorders>
              <w:bottom w:val="single" w:sz="8" w:color="61656A"/>
            </w:tcBorders>
          </w:tcPr>
          <w:p>
            <w:pPr>
              <w:jc w:val="right"/>
              <w:ind w:right="48"/>
              <w:spacing w:after="0"/>
              <w:rPr>
                <w:sz w:val="20"/>
                <w:szCs w:val="20"/>
                <w:color w:val="auto"/>
              </w:rPr>
            </w:pPr>
            <w:r>
              <w:rPr>
                <w:rFonts w:ascii="Arial" w:cs="Arial" w:eastAsia="Arial" w:hAnsi="Arial"/>
                <w:sz w:val="14"/>
                <w:szCs w:val="14"/>
                <w:color w:val="auto"/>
              </w:rPr>
              <w:t>(34)</w:t>
            </w:r>
          </w:p>
        </w:tc>
        <w:tc>
          <w:tcPr>
            <w:tcW w:w="220" w:type="dxa"/>
            <w:vAlign w:val="bottom"/>
            <w:tcBorders>
              <w:bottom w:val="single" w:sz="8" w:color="61656A"/>
            </w:tcBorders>
          </w:tcPr>
          <w:p>
            <w:pPr>
              <w:spacing w:after="0"/>
              <w:rPr>
                <w:sz w:val="17"/>
                <w:szCs w:val="17"/>
                <w:color w:val="auto"/>
              </w:rPr>
            </w:pPr>
          </w:p>
        </w:tc>
        <w:tc>
          <w:tcPr>
            <w:tcW w:w="8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(115)</w:t>
            </w:r>
          </w:p>
        </w:tc>
        <w:tc>
          <w:tcPr>
            <w:tcW w:w="220" w:type="dxa"/>
            <w:vAlign w:val="bottom"/>
            <w:tcBorders>
              <w:bottom w:val="single" w:sz="8" w:color="61656A"/>
            </w:tcBorders>
          </w:tcPr>
          <w:p>
            <w:pPr>
              <w:spacing w:after="0"/>
              <w:rPr>
                <w:sz w:val="17"/>
                <w:szCs w:val="17"/>
                <w:color w:val="auto"/>
              </w:rPr>
            </w:pPr>
          </w:p>
        </w:tc>
        <w:tc>
          <w:tcPr>
            <w:tcW w:w="16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3</w:t>
            </w:r>
          </w:p>
        </w:tc>
        <w:tc>
          <w:tcPr>
            <w:tcW w:w="300" w:type="dxa"/>
            <w:vAlign w:val="bottom"/>
            <w:tcBorders>
              <w:bottom w:val="single" w:sz="8" w:color="61656A"/>
            </w:tcBorders>
          </w:tcPr>
          <w:p>
            <w:pPr>
              <w:spacing w:after="0"/>
              <w:rPr>
                <w:sz w:val="17"/>
                <w:szCs w:val="17"/>
                <w:color w:val="auto"/>
              </w:rPr>
            </w:pPr>
          </w:p>
        </w:tc>
        <w:tc>
          <w:tcPr>
            <w:tcW w:w="900" w:type="dxa"/>
            <w:vAlign w:val="bottom"/>
            <w:tcBorders>
              <w:bottom w:val="single" w:sz="8" w:color="61656A"/>
            </w:tcBorders>
          </w:tcPr>
          <w:p>
            <w:pPr>
              <w:jc w:val="right"/>
              <w:ind w:right="18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61656A"/>
            </w:tcBorders>
          </w:tcPr>
          <w:p>
            <w:pPr>
              <w:spacing w:after="0"/>
              <w:rPr>
                <w:sz w:val="17"/>
                <w:szCs w:val="17"/>
                <w:color w:val="auto"/>
              </w:rPr>
            </w:pPr>
          </w:p>
        </w:tc>
        <w:tc>
          <w:tcPr>
            <w:tcW w:w="8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96"/>
        </w:trPr>
        <w:tc>
          <w:tcPr>
            <w:tcW w:w="552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Relating to assets sold during the year</w:t>
            </w:r>
          </w:p>
        </w:tc>
        <w:tc>
          <w:tcPr>
            <w:tcW w:w="120" w:type="dxa"/>
            <w:vAlign w:val="bottom"/>
            <w:tcBorders>
              <w:bottom w:val="single" w:sz="8" w:color="61656A"/>
            </w:tcBorders>
          </w:tcPr>
          <w:p>
            <w:pPr>
              <w:spacing w:after="0"/>
              <w:rPr>
                <w:sz w:val="17"/>
                <w:szCs w:val="17"/>
                <w:color w:val="auto"/>
              </w:rPr>
            </w:pPr>
          </w:p>
        </w:tc>
        <w:tc>
          <w:tcPr>
            <w:tcW w:w="11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159</w:t>
            </w:r>
          </w:p>
        </w:tc>
        <w:tc>
          <w:tcPr>
            <w:tcW w:w="220" w:type="dxa"/>
            <w:vAlign w:val="bottom"/>
            <w:tcBorders>
              <w:bottom w:val="single" w:sz="8" w:color="61656A"/>
            </w:tcBorders>
          </w:tcPr>
          <w:p>
            <w:pPr>
              <w:spacing w:after="0"/>
              <w:rPr>
                <w:sz w:val="17"/>
                <w:szCs w:val="17"/>
                <w:color w:val="auto"/>
              </w:rPr>
            </w:pPr>
          </w:p>
        </w:tc>
        <w:tc>
          <w:tcPr>
            <w:tcW w:w="1100" w:type="dxa"/>
            <w:vAlign w:val="bottom"/>
            <w:tcBorders>
              <w:bottom w:val="single" w:sz="8" w:color="61656A"/>
            </w:tcBorders>
            <w:gridSpan w:val="2"/>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w:t>
            </w:r>
          </w:p>
        </w:tc>
        <w:tc>
          <w:tcPr>
            <w:tcW w:w="300" w:type="dxa"/>
            <w:vAlign w:val="bottom"/>
            <w:tcBorders>
              <w:bottom w:val="single" w:sz="8" w:color="61656A"/>
            </w:tcBorders>
          </w:tcPr>
          <w:p>
            <w:pPr>
              <w:spacing w:after="0"/>
              <w:rPr>
                <w:sz w:val="17"/>
                <w:szCs w:val="17"/>
                <w:color w:val="auto"/>
              </w:rPr>
            </w:pPr>
          </w:p>
        </w:tc>
        <w:tc>
          <w:tcPr>
            <w:tcW w:w="900" w:type="dxa"/>
            <w:vAlign w:val="bottom"/>
            <w:tcBorders>
              <w:bottom w:val="single" w:sz="8" w:color="61656A"/>
            </w:tcBorders>
          </w:tcPr>
          <w:p>
            <w:pPr>
              <w:jc w:val="right"/>
              <w:ind w:right="148"/>
              <w:spacing w:after="0"/>
              <w:rPr>
                <w:sz w:val="20"/>
                <w:szCs w:val="20"/>
                <w:color w:val="auto"/>
              </w:rPr>
            </w:pPr>
            <w:r>
              <w:rPr>
                <w:rFonts w:ascii="Arial" w:cs="Arial" w:eastAsia="Arial" w:hAnsi="Arial"/>
                <w:sz w:val="14"/>
                <w:szCs w:val="14"/>
                <w:color w:val="auto"/>
              </w:rPr>
              <w:t>(3)</w:t>
            </w:r>
          </w:p>
        </w:tc>
        <w:tc>
          <w:tcPr>
            <w:tcW w:w="160" w:type="dxa"/>
            <w:vAlign w:val="bottom"/>
            <w:tcBorders>
              <w:bottom w:val="single" w:sz="8" w:color="61656A"/>
            </w:tcBorders>
          </w:tcPr>
          <w:p>
            <w:pPr>
              <w:spacing w:after="0"/>
              <w:rPr>
                <w:sz w:val="17"/>
                <w:szCs w:val="17"/>
                <w:color w:val="auto"/>
              </w:rPr>
            </w:pPr>
          </w:p>
        </w:tc>
        <w:tc>
          <w:tcPr>
            <w:tcW w:w="8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552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Purchases</w:t>
            </w:r>
          </w:p>
        </w:tc>
        <w:tc>
          <w:tcPr>
            <w:tcW w:w="120" w:type="dxa"/>
            <w:vAlign w:val="bottom"/>
            <w:tcBorders>
              <w:bottom w:val="single" w:sz="8" w:color="61656A"/>
            </w:tcBorders>
          </w:tcPr>
          <w:p>
            <w:pPr>
              <w:spacing w:after="0"/>
              <w:rPr>
                <w:sz w:val="17"/>
                <w:szCs w:val="17"/>
                <w:color w:val="auto"/>
              </w:rPr>
            </w:pPr>
          </w:p>
        </w:tc>
        <w:tc>
          <w:tcPr>
            <w:tcW w:w="11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131</w:t>
            </w:r>
          </w:p>
        </w:tc>
        <w:tc>
          <w:tcPr>
            <w:tcW w:w="220" w:type="dxa"/>
            <w:vAlign w:val="bottom"/>
            <w:tcBorders>
              <w:bottom w:val="single" w:sz="8" w:color="61656A"/>
            </w:tcBorders>
          </w:tcPr>
          <w:p>
            <w:pPr>
              <w:spacing w:after="0"/>
              <w:rPr>
                <w:sz w:val="17"/>
                <w:szCs w:val="17"/>
                <w:color w:val="auto"/>
              </w:rPr>
            </w:pPr>
          </w:p>
        </w:tc>
        <w:tc>
          <w:tcPr>
            <w:tcW w:w="8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88</w:t>
            </w:r>
          </w:p>
        </w:tc>
        <w:tc>
          <w:tcPr>
            <w:tcW w:w="220" w:type="dxa"/>
            <w:vAlign w:val="bottom"/>
            <w:tcBorders>
              <w:bottom w:val="single" w:sz="8" w:color="61656A"/>
            </w:tcBorders>
          </w:tcPr>
          <w:p>
            <w:pPr>
              <w:spacing w:after="0"/>
              <w:rPr>
                <w:sz w:val="17"/>
                <w:szCs w:val="17"/>
                <w:color w:val="auto"/>
              </w:rPr>
            </w:pPr>
          </w:p>
        </w:tc>
        <w:tc>
          <w:tcPr>
            <w:tcW w:w="16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39</w:t>
            </w:r>
          </w:p>
        </w:tc>
        <w:tc>
          <w:tcPr>
            <w:tcW w:w="300" w:type="dxa"/>
            <w:vAlign w:val="bottom"/>
            <w:tcBorders>
              <w:bottom w:val="single" w:sz="8" w:color="61656A"/>
            </w:tcBorders>
          </w:tcPr>
          <w:p>
            <w:pPr>
              <w:spacing w:after="0"/>
              <w:rPr>
                <w:sz w:val="17"/>
                <w:szCs w:val="17"/>
                <w:color w:val="auto"/>
              </w:rPr>
            </w:pPr>
          </w:p>
        </w:tc>
        <w:tc>
          <w:tcPr>
            <w:tcW w:w="900" w:type="dxa"/>
            <w:vAlign w:val="bottom"/>
            <w:tcBorders>
              <w:bottom w:val="single" w:sz="8" w:color="61656A"/>
            </w:tcBorders>
          </w:tcPr>
          <w:p>
            <w:pPr>
              <w:jc w:val="right"/>
              <w:ind w:right="18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61656A"/>
            </w:tcBorders>
          </w:tcPr>
          <w:p>
            <w:pPr>
              <w:spacing w:after="0"/>
              <w:rPr>
                <w:sz w:val="17"/>
                <w:szCs w:val="17"/>
                <w:color w:val="auto"/>
              </w:rPr>
            </w:pPr>
          </w:p>
        </w:tc>
        <w:tc>
          <w:tcPr>
            <w:tcW w:w="8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587</w:t>
            </w:r>
          </w:p>
        </w:tc>
        <w:tc>
          <w:tcPr>
            <w:tcW w:w="0" w:type="dxa"/>
            <w:vAlign w:val="bottom"/>
          </w:tcPr>
          <w:p>
            <w:pPr>
              <w:spacing w:after="0"/>
              <w:rPr>
                <w:sz w:val="1"/>
                <w:szCs w:val="1"/>
                <w:color w:val="auto"/>
              </w:rPr>
            </w:pPr>
          </w:p>
        </w:tc>
      </w:tr>
      <w:tr>
        <w:trPr>
          <w:trHeight w:val="196"/>
        </w:trPr>
        <w:tc>
          <w:tcPr>
            <w:tcW w:w="552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Sales and settlements</w:t>
            </w:r>
          </w:p>
        </w:tc>
        <w:tc>
          <w:tcPr>
            <w:tcW w:w="120" w:type="dxa"/>
            <w:vAlign w:val="bottom"/>
            <w:tcBorders>
              <w:bottom w:val="single" w:sz="8" w:color="D7282F"/>
            </w:tcBorders>
          </w:tcPr>
          <w:p>
            <w:pPr>
              <w:spacing w:after="0"/>
              <w:rPr>
                <w:sz w:val="17"/>
                <w:szCs w:val="17"/>
                <w:color w:val="auto"/>
              </w:rPr>
            </w:pPr>
          </w:p>
        </w:tc>
        <w:tc>
          <w:tcPr>
            <w:tcW w:w="114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color w:val="auto"/>
              </w:rPr>
              <w:t>(247)</w:t>
            </w:r>
          </w:p>
        </w:tc>
        <w:tc>
          <w:tcPr>
            <w:tcW w:w="220" w:type="dxa"/>
            <w:vAlign w:val="bottom"/>
            <w:tcBorders>
              <w:bottom w:val="single" w:sz="8" w:color="D7282F"/>
            </w:tcBorders>
          </w:tcPr>
          <w:p>
            <w:pPr>
              <w:spacing w:after="0"/>
              <w:rPr>
                <w:sz w:val="17"/>
                <w:szCs w:val="17"/>
                <w:color w:val="auto"/>
              </w:rPr>
            </w:pPr>
          </w:p>
        </w:tc>
        <w:tc>
          <w:tcPr>
            <w:tcW w:w="8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w:t>
            </w:r>
          </w:p>
        </w:tc>
        <w:tc>
          <w:tcPr>
            <w:tcW w:w="220" w:type="dxa"/>
            <w:vAlign w:val="bottom"/>
            <w:tcBorders>
              <w:bottom w:val="single" w:sz="8" w:color="D7282F"/>
            </w:tcBorders>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color w:val="auto"/>
              </w:rPr>
              <w:t>(5)</w:t>
            </w:r>
          </w:p>
        </w:tc>
        <w:tc>
          <w:tcPr>
            <w:tcW w:w="300" w:type="dxa"/>
            <w:vAlign w:val="bottom"/>
            <w:tcBorders>
              <w:bottom w:val="single" w:sz="8" w:color="D7282F"/>
            </w:tcBorders>
          </w:tcPr>
          <w:p>
            <w:pPr>
              <w:spacing w:after="0"/>
              <w:rPr>
                <w:sz w:val="17"/>
                <w:szCs w:val="17"/>
                <w:color w:val="auto"/>
              </w:rPr>
            </w:pPr>
          </w:p>
        </w:tc>
        <w:tc>
          <w:tcPr>
            <w:tcW w:w="90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color w:val="auto"/>
              </w:rPr>
              <w:t>(111)</w:t>
            </w:r>
          </w:p>
        </w:tc>
        <w:tc>
          <w:tcPr>
            <w:tcW w:w="160" w:type="dxa"/>
            <w:vAlign w:val="bottom"/>
            <w:tcBorders>
              <w:bottom w:val="single" w:sz="8" w:color="D7282F"/>
            </w:tcBorders>
          </w:tcPr>
          <w:p>
            <w:pPr>
              <w:spacing w:after="0"/>
              <w:rPr>
                <w:sz w:val="17"/>
                <w:szCs w:val="17"/>
                <w:color w:val="auto"/>
              </w:rPr>
            </w:pPr>
          </w:p>
        </w:tc>
        <w:tc>
          <w:tcPr>
            <w:tcW w:w="8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9"/>
        </w:trPr>
        <w:tc>
          <w:tcPr>
            <w:tcW w:w="552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Balance at December 31, 2023</w:t>
            </w:r>
          </w:p>
        </w:tc>
        <w:tc>
          <w:tcPr>
            <w:tcW w:w="120" w:type="dxa"/>
            <w:vAlign w:val="bottom"/>
            <w:tcBorders>
              <w:bottom w:val="single" w:sz="8" w:color="D7282F"/>
            </w:tcBorders>
          </w:tcPr>
          <w:p>
            <w:pPr>
              <w:spacing w:after="0"/>
              <w:rPr>
                <w:sz w:val="17"/>
                <w:szCs w:val="17"/>
                <w:color w:val="auto"/>
              </w:rPr>
            </w:pPr>
          </w:p>
        </w:tc>
        <w:tc>
          <w:tcPr>
            <w:tcW w:w="11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1,293</w:t>
            </w:r>
          </w:p>
        </w:tc>
        <w:tc>
          <w:tcPr>
            <w:tcW w:w="220" w:type="dxa"/>
            <w:vAlign w:val="bottom"/>
            <w:tcBorders>
              <w:bottom w:val="single" w:sz="8" w:color="D7282F"/>
            </w:tcBorders>
          </w:tcPr>
          <w:p>
            <w:pPr>
              <w:spacing w:after="0"/>
              <w:rPr>
                <w:sz w:val="17"/>
                <w:szCs w:val="17"/>
                <w:color w:val="auto"/>
              </w:rPr>
            </w:pPr>
          </w:p>
        </w:tc>
        <w:tc>
          <w:tcPr>
            <w:tcW w:w="8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977</w:t>
            </w:r>
          </w:p>
        </w:tc>
        <w:tc>
          <w:tcPr>
            <w:tcW w:w="220" w:type="dxa"/>
            <w:vAlign w:val="bottom"/>
            <w:tcBorders>
              <w:bottom w:val="single" w:sz="8" w:color="D7282F"/>
            </w:tcBorders>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74</w:t>
            </w:r>
          </w:p>
        </w:tc>
        <w:tc>
          <w:tcPr>
            <w:tcW w:w="300" w:type="dxa"/>
            <w:vAlign w:val="bottom"/>
            <w:tcBorders>
              <w:bottom w:val="single" w:sz="8" w:color="D7282F"/>
            </w:tcBorders>
          </w:tcPr>
          <w:p>
            <w:pPr>
              <w:spacing w:after="0"/>
              <w:rPr>
                <w:sz w:val="17"/>
                <w:szCs w:val="17"/>
                <w:color w:val="auto"/>
              </w:rPr>
            </w:pPr>
          </w:p>
        </w:tc>
        <w:tc>
          <w:tcPr>
            <w:tcW w:w="900" w:type="dxa"/>
            <w:vAlign w:val="bottom"/>
            <w:tcBorders>
              <w:bottom w:val="single" w:sz="8" w:color="D7282F"/>
            </w:tcBorders>
          </w:tcPr>
          <w:p>
            <w:pPr>
              <w:jc w:val="right"/>
              <w:ind w:right="188"/>
              <w:spacing w:after="0"/>
              <w:rPr>
                <w:sz w:val="20"/>
                <w:szCs w:val="20"/>
                <w:color w:val="auto"/>
              </w:rPr>
            </w:pPr>
            <w:r>
              <w:rPr>
                <w:rFonts w:ascii="Arial" w:cs="Arial" w:eastAsia="Arial" w:hAnsi="Arial"/>
                <w:sz w:val="14"/>
                <w:szCs w:val="14"/>
                <w:b w:val="1"/>
                <w:bCs w:val="1"/>
                <w:color w:val="auto"/>
              </w:rPr>
              <w:t>16</w:t>
            </w:r>
          </w:p>
        </w:tc>
        <w:tc>
          <w:tcPr>
            <w:tcW w:w="160" w:type="dxa"/>
            <w:vAlign w:val="bottom"/>
            <w:tcBorders>
              <w:bottom w:val="single" w:sz="8" w:color="D7282F"/>
            </w:tcBorders>
          </w:tcPr>
          <w:p>
            <w:pPr>
              <w:spacing w:after="0"/>
              <w:rPr>
                <w:sz w:val="17"/>
                <w:szCs w:val="17"/>
                <w:color w:val="auto"/>
              </w:rPr>
            </w:pPr>
          </w:p>
        </w:tc>
        <w:tc>
          <w:tcPr>
            <w:tcW w:w="8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1,605</w:t>
            </w:r>
          </w:p>
        </w:tc>
        <w:tc>
          <w:tcPr>
            <w:tcW w:w="0" w:type="dxa"/>
            <w:vAlign w:val="bottom"/>
          </w:tcPr>
          <w:p>
            <w:pPr>
              <w:spacing w:after="0"/>
              <w:rPr>
                <w:sz w:val="1"/>
                <w:szCs w:val="1"/>
                <w:color w:val="auto"/>
              </w:rPr>
            </w:pPr>
          </w:p>
        </w:tc>
      </w:tr>
      <w:tr>
        <w:trPr>
          <w:trHeight w:val="193"/>
        </w:trPr>
        <w:tc>
          <w:tcPr>
            <w:tcW w:w="552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Actual return on plan assets</w:t>
            </w:r>
          </w:p>
        </w:tc>
        <w:tc>
          <w:tcPr>
            <w:tcW w:w="120" w:type="dxa"/>
            <w:vAlign w:val="bottom"/>
            <w:tcBorders>
              <w:bottom w:val="single" w:sz="8" w:color="61656A"/>
            </w:tcBorders>
          </w:tcPr>
          <w:p>
            <w:pPr>
              <w:spacing w:after="0"/>
              <w:rPr>
                <w:sz w:val="16"/>
                <w:szCs w:val="16"/>
                <w:color w:val="auto"/>
              </w:rPr>
            </w:pPr>
          </w:p>
        </w:tc>
        <w:tc>
          <w:tcPr>
            <w:tcW w:w="114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88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160" w:type="dxa"/>
            <w:vAlign w:val="bottom"/>
            <w:tcBorders>
              <w:bottom w:val="single" w:sz="8" w:color="61656A"/>
            </w:tcBorders>
          </w:tcPr>
          <w:p>
            <w:pPr>
              <w:spacing w:after="0"/>
              <w:rPr>
                <w:sz w:val="16"/>
                <w:szCs w:val="16"/>
                <w:color w:val="auto"/>
              </w:rPr>
            </w:pPr>
          </w:p>
        </w:tc>
        <w:tc>
          <w:tcPr>
            <w:tcW w:w="800" w:type="dxa"/>
            <w:vAlign w:val="bottom"/>
            <w:tcBorders>
              <w:bottom w:val="single" w:sz="8" w:color="61656A"/>
            </w:tcBorders>
          </w:tcPr>
          <w:p>
            <w:pPr>
              <w:spacing w:after="0"/>
              <w:rPr>
                <w:sz w:val="16"/>
                <w:szCs w:val="16"/>
                <w:color w:val="auto"/>
              </w:rPr>
            </w:pPr>
          </w:p>
        </w:tc>
        <w:tc>
          <w:tcPr>
            <w:tcW w:w="300" w:type="dxa"/>
            <w:vAlign w:val="bottom"/>
            <w:tcBorders>
              <w:bottom w:val="single" w:sz="8" w:color="61656A"/>
            </w:tcBorders>
          </w:tcPr>
          <w:p>
            <w:pPr>
              <w:spacing w:after="0"/>
              <w:rPr>
                <w:sz w:val="16"/>
                <w:szCs w:val="16"/>
                <w:color w:val="auto"/>
              </w:rPr>
            </w:pPr>
          </w:p>
        </w:tc>
        <w:tc>
          <w:tcPr>
            <w:tcW w:w="900" w:type="dxa"/>
            <w:vAlign w:val="bottom"/>
            <w:tcBorders>
              <w:bottom w:val="single" w:sz="8" w:color="61656A"/>
            </w:tcBorders>
          </w:tcPr>
          <w:p>
            <w:pPr>
              <w:spacing w:after="0"/>
              <w:rPr>
                <w:sz w:val="16"/>
                <w:szCs w:val="16"/>
                <w:color w:val="auto"/>
              </w:rPr>
            </w:pPr>
          </w:p>
        </w:tc>
        <w:tc>
          <w:tcPr>
            <w:tcW w:w="160" w:type="dxa"/>
            <w:vAlign w:val="bottom"/>
            <w:tcBorders>
              <w:bottom w:val="single" w:sz="8" w:color="61656A"/>
            </w:tcBorders>
          </w:tcPr>
          <w:p>
            <w:pPr>
              <w:spacing w:after="0"/>
              <w:rPr>
                <w:sz w:val="16"/>
                <w:szCs w:val="16"/>
                <w:color w:val="auto"/>
              </w:rPr>
            </w:pPr>
          </w:p>
        </w:tc>
        <w:tc>
          <w:tcPr>
            <w:tcW w:w="820" w:type="dxa"/>
            <w:vAlign w:val="bottom"/>
            <w:tcBorders>
              <w:bottom w:val="single" w:sz="8" w:color="61656A"/>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52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Relating to assets still held at year-end</w:t>
            </w:r>
          </w:p>
        </w:tc>
        <w:tc>
          <w:tcPr>
            <w:tcW w:w="120" w:type="dxa"/>
            <w:vAlign w:val="bottom"/>
            <w:tcBorders>
              <w:bottom w:val="single" w:sz="8" w:color="61656A"/>
            </w:tcBorders>
          </w:tcPr>
          <w:p>
            <w:pPr>
              <w:spacing w:after="0"/>
              <w:rPr>
                <w:sz w:val="17"/>
                <w:szCs w:val="17"/>
                <w:color w:val="auto"/>
              </w:rPr>
            </w:pPr>
          </w:p>
        </w:tc>
        <w:tc>
          <w:tcPr>
            <w:tcW w:w="11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16</w:t>
            </w:r>
          </w:p>
        </w:tc>
        <w:tc>
          <w:tcPr>
            <w:tcW w:w="220" w:type="dxa"/>
            <w:vAlign w:val="bottom"/>
            <w:tcBorders>
              <w:bottom w:val="single" w:sz="8" w:color="61656A"/>
            </w:tcBorders>
          </w:tcPr>
          <w:p>
            <w:pPr>
              <w:spacing w:after="0"/>
              <w:rPr>
                <w:sz w:val="17"/>
                <w:szCs w:val="17"/>
                <w:color w:val="auto"/>
              </w:rPr>
            </w:pPr>
          </w:p>
        </w:tc>
        <w:tc>
          <w:tcPr>
            <w:tcW w:w="8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(14)</w:t>
            </w:r>
          </w:p>
        </w:tc>
        <w:tc>
          <w:tcPr>
            <w:tcW w:w="220" w:type="dxa"/>
            <w:vAlign w:val="bottom"/>
            <w:tcBorders>
              <w:bottom w:val="single" w:sz="8" w:color="61656A"/>
            </w:tcBorders>
          </w:tcPr>
          <w:p>
            <w:pPr>
              <w:spacing w:after="0"/>
              <w:rPr>
                <w:sz w:val="17"/>
                <w:szCs w:val="17"/>
                <w:color w:val="auto"/>
              </w:rPr>
            </w:pPr>
          </w:p>
        </w:tc>
        <w:tc>
          <w:tcPr>
            <w:tcW w:w="16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7</w:t>
            </w:r>
          </w:p>
        </w:tc>
        <w:tc>
          <w:tcPr>
            <w:tcW w:w="300" w:type="dxa"/>
            <w:vAlign w:val="bottom"/>
            <w:tcBorders>
              <w:bottom w:val="single" w:sz="8" w:color="61656A"/>
            </w:tcBorders>
          </w:tcPr>
          <w:p>
            <w:pPr>
              <w:spacing w:after="0"/>
              <w:rPr>
                <w:sz w:val="17"/>
                <w:szCs w:val="17"/>
                <w:color w:val="auto"/>
              </w:rPr>
            </w:pPr>
          </w:p>
        </w:tc>
        <w:tc>
          <w:tcPr>
            <w:tcW w:w="900" w:type="dxa"/>
            <w:vAlign w:val="bottom"/>
            <w:tcBorders>
              <w:bottom w:val="single" w:sz="8" w:color="61656A"/>
            </w:tcBorders>
          </w:tcPr>
          <w:p>
            <w:pPr>
              <w:jc w:val="right"/>
              <w:ind w:right="18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61656A"/>
            </w:tcBorders>
          </w:tcPr>
          <w:p>
            <w:pPr>
              <w:spacing w:after="0"/>
              <w:rPr>
                <w:sz w:val="17"/>
                <w:szCs w:val="17"/>
                <w:color w:val="auto"/>
              </w:rPr>
            </w:pPr>
          </w:p>
        </w:tc>
        <w:tc>
          <w:tcPr>
            <w:tcW w:w="8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(215)</w:t>
            </w:r>
          </w:p>
        </w:tc>
        <w:tc>
          <w:tcPr>
            <w:tcW w:w="0" w:type="dxa"/>
            <w:vAlign w:val="bottom"/>
          </w:tcPr>
          <w:p>
            <w:pPr>
              <w:spacing w:after="0"/>
              <w:rPr>
                <w:sz w:val="1"/>
                <w:szCs w:val="1"/>
                <w:color w:val="auto"/>
              </w:rPr>
            </w:pPr>
          </w:p>
        </w:tc>
      </w:tr>
      <w:tr>
        <w:trPr>
          <w:trHeight w:val="196"/>
        </w:trPr>
        <w:tc>
          <w:tcPr>
            <w:tcW w:w="552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Relating to assets sold during the year</w:t>
            </w:r>
          </w:p>
        </w:tc>
        <w:tc>
          <w:tcPr>
            <w:tcW w:w="120" w:type="dxa"/>
            <w:vAlign w:val="bottom"/>
            <w:tcBorders>
              <w:bottom w:val="single" w:sz="8" w:color="61656A"/>
            </w:tcBorders>
          </w:tcPr>
          <w:p>
            <w:pPr>
              <w:spacing w:after="0"/>
              <w:rPr>
                <w:sz w:val="17"/>
                <w:szCs w:val="17"/>
                <w:color w:val="auto"/>
              </w:rPr>
            </w:pPr>
          </w:p>
        </w:tc>
        <w:tc>
          <w:tcPr>
            <w:tcW w:w="11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61</w:t>
            </w:r>
          </w:p>
        </w:tc>
        <w:tc>
          <w:tcPr>
            <w:tcW w:w="220" w:type="dxa"/>
            <w:vAlign w:val="bottom"/>
            <w:tcBorders>
              <w:bottom w:val="single" w:sz="8" w:color="61656A"/>
            </w:tcBorders>
          </w:tcPr>
          <w:p>
            <w:pPr>
              <w:spacing w:after="0"/>
              <w:rPr>
                <w:sz w:val="17"/>
                <w:szCs w:val="17"/>
                <w:color w:val="auto"/>
              </w:rPr>
            </w:pPr>
          </w:p>
        </w:tc>
        <w:tc>
          <w:tcPr>
            <w:tcW w:w="1100" w:type="dxa"/>
            <w:vAlign w:val="bottom"/>
            <w:tcBorders>
              <w:bottom w:val="single" w:sz="8" w:color="61656A"/>
            </w:tcBorders>
            <w:gridSpan w:val="2"/>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48"/>
              <w:spacing w:after="0"/>
              <w:rPr>
                <w:sz w:val="20"/>
                <w:szCs w:val="20"/>
                <w:color w:val="auto"/>
              </w:rPr>
            </w:pPr>
            <w:r>
              <w:rPr>
                <w:rFonts w:ascii="Arial" w:cs="Arial" w:eastAsia="Arial" w:hAnsi="Arial"/>
                <w:sz w:val="14"/>
                <w:szCs w:val="14"/>
                <w:color w:val="auto"/>
              </w:rPr>
              <w:t>(7)</w:t>
            </w:r>
          </w:p>
        </w:tc>
        <w:tc>
          <w:tcPr>
            <w:tcW w:w="300" w:type="dxa"/>
            <w:vAlign w:val="bottom"/>
            <w:tcBorders>
              <w:bottom w:val="single" w:sz="8" w:color="61656A"/>
            </w:tcBorders>
          </w:tcPr>
          <w:p>
            <w:pPr>
              <w:spacing w:after="0"/>
              <w:rPr>
                <w:sz w:val="17"/>
                <w:szCs w:val="17"/>
                <w:color w:val="auto"/>
              </w:rPr>
            </w:pPr>
          </w:p>
        </w:tc>
        <w:tc>
          <w:tcPr>
            <w:tcW w:w="900" w:type="dxa"/>
            <w:vAlign w:val="bottom"/>
            <w:tcBorders>
              <w:bottom w:val="single" w:sz="8" w:color="61656A"/>
            </w:tcBorders>
          </w:tcPr>
          <w:p>
            <w:pPr>
              <w:jc w:val="right"/>
              <w:ind w:right="18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61656A"/>
            </w:tcBorders>
          </w:tcPr>
          <w:p>
            <w:pPr>
              <w:spacing w:after="0"/>
              <w:rPr>
                <w:sz w:val="17"/>
                <w:szCs w:val="17"/>
                <w:color w:val="auto"/>
              </w:rPr>
            </w:pPr>
          </w:p>
        </w:tc>
        <w:tc>
          <w:tcPr>
            <w:tcW w:w="8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552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Purchases</w:t>
            </w:r>
          </w:p>
        </w:tc>
        <w:tc>
          <w:tcPr>
            <w:tcW w:w="120" w:type="dxa"/>
            <w:vAlign w:val="bottom"/>
            <w:tcBorders>
              <w:bottom w:val="single" w:sz="8" w:color="61656A"/>
            </w:tcBorders>
          </w:tcPr>
          <w:p>
            <w:pPr>
              <w:spacing w:after="0"/>
              <w:rPr>
                <w:sz w:val="17"/>
                <w:szCs w:val="17"/>
                <w:color w:val="auto"/>
              </w:rPr>
            </w:pPr>
          </w:p>
        </w:tc>
        <w:tc>
          <w:tcPr>
            <w:tcW w:w="11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101</w:t>
            </w:r>
          </w:p>
        </w:tc>
        <w:tc>
          <w:tcPr>
            <w:tcW w:w="220" w:type="dxa"/>
            <w:vAlign w:val="bottom"/>
            <w:tcBorders>
              <w:bottom w:val="single" w:sz="8" w:color="61656A"/>
            </w:tcBorders>
          </w:tcPr>
          <w:p>
            <w:pPr>
              <w:spacing w:after="0"/>
              <w:rPr>
                <w:sz w:val="17"/>
                <w:szCs w:val="17"/>
                <w:color w:val="auto"/>
              </w:rPr>
            </w:pPr>
          </w:p>
        </w:tc>
        <w:tc>
          <w:tcPr>
            <w:tcW w:w="8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10</w:t>
            </w:r>
          </w:p>
        </w:tc>
        <w:tc>
          <w:tcPr>
            <w:tcW w:w="220" w:type="dxa"/>
            <w:vAlign w:val="bottom"/>
            <w:tcBorders>
              <w:bottom w:val="single" w:sz="8" w:color="61656A"/>
            </w:tcBorders>
          </w:tcPr>
          <w:p>
            <w:pPr>
              <w:spacing w:after="0"/>
              <w:rPr>
                <w:sz w:val="17"/>
                <w:szCs w:val="17"/>
                <w:color w:val="auto"/>
              </w:rPr>
            </w:pPr>
          </w:p>
        </w:tc>
        <w:tc>
          <w:tcPr>
            <w:tcW w:w="16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19</w:t>
            </w:r>
          </w:p>
        </w:tc>
        <w:tc>
          <w:tcPr>
            <w:tcW w:w="300" w:type="dxa"/>
            <w:vAlign w:val="bottom"/>
            <w:tcBorders>
              <w:bottom w:val="single" w:sz="8" w:color="61656A"/>
            </w:tcBorders>
          </w:tcPr>
          <w:p>
            <w:pPr>
              <w:spacing w:after="0"/>
              <w:rPr>
                <w:sz w:val="17"/>
                <w:szCs w:val="17"/>
                <w:color w:val="auto"/>
              </w:rPr>
            </w:pPr>
          </w:p>
        </w:tc>
        <w:tc>
          <w:tcPr>
            <w:tcW w:w="900" w:type="dxa"/>
            <w:vAlign w:val="bottom"/>
            <w:tcBorders>
              <w:bottom w:val="single" w:sz="8" w:color="61656A"/>
            </w:tcBorders>
          </w:tcPr>
          <w:p>
            <w:pPr>
              <w:jc w:val="right"/>
              <w:ind w:right="18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61656A"/>
            </w:tcBorders>
          </w:tcPr>
          <w:p>
            <w:pPr>
              <w:spacing w:after="0"/>
              <w:rPr>
                <w:sz w:val="17"/>
                <w:szCs w:val="17"/>
                <w:color w:val="auto"/>
              </w:rPr>
            </w:pPr>
          </w:p>
        </w:tc>
        <w:tc>
          <w:tcPr>
            <w:tcW w:w="8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552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Sales and settlements</w:t>
            </w:r>
          </w:p>
        </w:tc>
        <w:tc>
          <w:tcPr>
            <w:tcW w:w="120" w:type="dxa"/>
            <w:vAlign w:val="bottom"/>
            <w:tcBorders>
              <w:bottom w:val="single" w:sz="8" w:color="D7282F"/>
            </w:tcBorders>
          </w:tcPr>
          <w:p>
            <w:pPr>
              <w:spacing w:after="0"/>
              <w:rPr>
                <w:sz w:val="17"/>
                <w:szCs w:val="17"/>
                <w:color w:val="auto"/>
              </w:rPr>
            </w:pPr>
          </w:p>
        </w:tc>
        <w:tc>
          <w:tcPr>
            <w:tcW w:w="114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color w:val="auto"/>
              </w:rPr>
              <w:t>(134)</w:t>
            </w:r>
          </w:p>
        </w:tc>
        <w:tc>
          <w:tcPr>
            <w:tcW w:w="220" w:type="dxa"/>
            <w:vAlign w:val="bottom"/>
            <w:tcBorders>
              <w:bottom w:val="single" w:sz="8" w:color="D7282F"/>
            </w:tcBorders>
          </w:tcPr>
          <w:p>
            <w:pPr>
              <w:spacing w:after="0"/>
              <w:rPr>
                <w:sz w:val="17"/>
                <w:szCs w:val="17"/>
                <w:color w:val="auto"/>
              </w:rPr>
            </w:pPr>
          </w:p>
        </w:tc>
        <w:tc>
          <w:tcPr>
            <w:tcW w:w="8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w:t>
            </w:r>
          </w:p>
        </w:tc>
        <w:tc>
          <w:tcPr>
            <w:tcW w:w="220" w:type="dxa"/>
            <w:vAlign w:val="bottom"/>
            <w:tcBorders>
              <w:bottom w:val="single" w:sz="8" w:color="D7282F"/>
            </w:tcBorders>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color w:val="auto"/>
              </w:rPr>
              <w:t>(15)</w:t>
            </w:r>
          </w:p>
        </w:tc>
        <w:tc>
          <w:tcPr>
            <w:tcW w:w="300" w:type="dxa"/>
            <w:vAlign w:val="bottom"/>
            <w:tcBorders>
              <w:bottom w:val="single" w:sz="8" w:color="D7282F"/>
            </w:tcBorders>
          </w:tcPr>
          <w:p>
            <w:pPr>
              <w:spacing w:after="0"/>
              <w:rPr>
                <w:sz w:val="17"/>
                <w:szCs w:val="17"/>
                <w:color w:val="auto"/>
              </w:rPr>
            </w:pPr>
          </w:p>
        </w:tc>
        <w:tc>
          <w:tcPr>
            <w:tcW w:w="90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color w:val="auto"/>
              </w:rPr>
              <w:t>(14)</w:t>
            </w:r>
          </w:p>
        </w:tc>
        <w:tc>
          <w:tcPr>
            <w:tcW w:w="160" w:type="dxa"/>
            <w:vAlign w:val="bottom"/>
            <w:tcBorders>
              <w:bottom w:val="single" w:sz="8" w:color="D7282F"/>
            </w:tcBorders>
          </w:tcPr>
          <w:p>
            <w:pPr>
              <w:spacing w:after="0"/>
              <w:rPr>
                <w:sz w:val="17"/>
                <w:szCs w:val="17"/>
                <w:color w:val="auto"/>
              </w:rPr>
            </w:pPr>
          </w:p>
        </w:tc>
        <w:tc>
          <w:tcPr>
            <w:tcW w:w="8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9"/>
        </w:trPr>
        <w:tc>
          <w:tcPr>
            <w:tcW w:w="552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Balance at December 31, 2024</w:t>
            </w:r>
          </w:p>
        </w:tc>
        <w:tc>
          <w:tcPr>
            <w:tcW w:w="1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1,337</w:t>
            </w: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972</w:t>
            </w:r>
          </w:p>
        </w:tc>
        <w:tc>
          <w:tcPr>
            <w:tcW w:w="220" w:type="dxa"/>
            <w:vAlign w:val="bottom"/>
            <w:tcBorders>
              <w:bottom w:val="single" w:sz="8" w:color="D7282F"/>
            </w:tcBorders>
          </w:tcPr>
          <w:p>
            <w:pPr>
              <w:spacing w:after="0"/>
              <w:rPr>
                <w:sz w:val="17"/>
                <w:szCs w:val="17"/>
                <w:color w:val="auto"/>
              </w:rPr>
            </w:pP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78</w:t>
            </w:r>
          </w:p>
        </w:tc>
        <w:tc>
          <w:tcPr>
            <w:tcW w:w="3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D7282F"/>
            </w:tcBorders>
          </w:tcPr>
          <w:p>
            <w:pPr>
              <w:jc w:val="right"/>
              <w:ind w:right="188"/>
              <w:spacing w:after="0"/>
              <w:rPr>
                <w:sz w:val="20"/>
                <w:szCs w:val="20"/>
                <w:color w:val="auto"/>
              </w:rPr>
            </w:pPr>
            <w:r>
              <w:rPr>
                <w:rFonts w:ascii="Arial" w:cs="Arial" w:eastAsia="Arial" w:hAnsi="Arial"/>
                <w:sz w:val="14"/>
                <w:szCs w:val="14"/>
                <w:b w:val="1"/>
                <w:bCs w:val="1"/>
                <w:color w:val="auto"/>
              </w:rPr>
              <w:t>2</w:t>
            </w: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1,390</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Company enters into futures contracts to gain exposure to certain markets. Sufficient cash or cash equivalents are held by the Company's pension plans to cover the notional value of the futures contracts. As of December 31, 2024, and 2023, the Company's U.S. plans had contracts with notional amounts of $1,991 million and $4,025 million, respectively. As of December 31, 2024, and 2023, the Company's non-U.S. plans had contracts with notional amounts of $195 million and $124 million, respectively. In both the Company's U.S. and non-U.S. pension plans, the notional derivative exposure is related to outstanding equity and fixed income futures contracts.</w:t>
      </w:r>
    </w:p>
    <w:p>
      <w:pPr>
        <w:spacing w:after="0" w:line="64"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Common stocks, preferred stocks, broad index exposures with ETFs, real estate investment trusts, and short-term investments are valued at the closing price reported in the active market in which the individual securities are traded. Corporate bonds, mortgage/asset-backed securities, and government securities are valued either by using pricing models, bids provided by brokers or dealers, quoted prices of securities with similar characteristics, or discounted cash flows, and as such, include adjustments for certain risks that may not be observable such as credit and liquidity risks. Certain securities are held in collective trust funds which are valued using net asset values provided by the administrators of the funds. Investments in private equity, debt, real estate and hedge funds, and direct private investments are valued at estimated fair value based on quarterly financial information received from the investment advisor and/or general partner. Investments in real estate properties are valued on a quarterly basis using the income approach. Valuation estimates are periodically supplemented by third party appraisals. The insurance buy-in contracts represent policies held by the Honeywell UK Pension Scheme, whereby the cost of providing pension benefits to plan participants is funded by the policies. The cash flows from the policies are intended to match the pension benefits. The fair value of these policies is based on an estimate of the policies' exit price.</w:t>
      </w:r>
    </w:p>
    <w:p>
      <w:pPr>
        <w:spacing w:after="0" w:line="74"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Company's funding policy for qualified defined benefit pension plans is to contribute amounts at least sufficient to satisfy regulatory funding standards. In 2024, 2023, and 2022, the Company was not required to make contributions to the U.S. pension plans and no contributions were made. The Company is not required to make any contributions to the U.S. pension plans in 2025. In 2024, contributions of $15 million were made to the non-U.S. pension plans to satisfy regulatory funding requirements. In 2025, the Company expects to make contributions of cash and/or marketable securities of approximately $6 million to the non-U.S. pension plans to satisfy regulatory funding standards. Contributions for both the U.S. and non-U.S. pension plans do not reflect benefits paid directly from Company assets.</w:t>
      </w:r>
    </w:p>
    <w:p>
      <w:pPr>
        <w:spacing w:after="0" w:line="200" w:lineRule="exact"/>
        <w:rPr>
          <w:sz w:val="20"/>
          <w:szCs w:val="20"/>
          <w:color w:val="auto"/>
        </w:rPr>
      </w:pPr>
    </w:p>
    <w:p>
      <w:pPr>
        <w:spacing w:after="0" w:line="208" w:lineRule="exact"/>
        <w:rPr>
          <w:sz w:val="20"/>
          <w:szCs w:val="20"/>
          <w:color w:val="auto"/>
        </w:rPr>
      </w:pPr>
    </w:p>
    <w:p>
      <w:pPr>
        <w:ind w:left="500" w:hanging="492"/>
        <w:spacing w:after="0"/>
        <w:tabs>
          <w:tab w:leader="none" w:pos="500" w:val="left"/>
        </w:tabs>
        <w:numPr>
          <w:ilvl w:val="0"/>
          <w:numId w:val="172"/>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10" w:name="page111"/>
    <w:bookmarkEnd w:id="110"/>
    <w:p>
      <w:pPr>
        <w:ind w:left="20"/>
        <w:spacing w:after="0"/>
        <w:tabs>
          <w:tab w:leader="none" w:pos="784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FINANCIAL STATEMENTS AND SUPPLEMENTARY DATA</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Benefit payments, including amounts to be paid from Company assets, and reflecting expected future service, as appropriate, are expected to be paid as follows: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480" w:type="dxa"/>
            <w:vAlign w:val="bottom"/>
            <w:tcBorders>
              <w:bottom w:val="single" w:sz="8" w:color="D7282F"/>
            </w:tcBorders>
          </w:tcPr>
          <w:p>
            <w:pPr>
              <w:spacing w:after="0"/>
              <w:rPr>
                <w:sz w:val="17"/>
                <w:szCs w:val="17"/>
                <w:color w:val="auto"/>
              </w:rPr>
            </w:pPr>
          </w:p>
        </w:tc>
        <w:tc>
          <w:tcPr>
            <w:tcW w:w="3980" w:type="dxa"/>
            <w:vAlign w:val="bottom"/>
            <w:tcBorders>
              <w:bottom w:val="single" w:sz="8" w:color="D7282F"/>
            </w:tcBorders>
          </w:tcPr>
          <w:p>
            <w:pPr>
              <w:spacing w:after="0"/>
              <w:rPr>
                <w:sz w:val="17"/>
                <w:szCs w:val="17"/>
                <w:color w:val="auto"/>
              </w:rPr>
            </w:pPr>
          </w:p>
        </w:tc>
        <w:tc>
          <w:tcPr>
            <w:tcW w:w="1240" w:type="dxa"/>
            <w:vAlign w:val="bottom"/>
            <w:tcBorders>
              <w:bottom w:val="single" w:sz="8" w:color="D7282F"/>
            </w:tcBorders>
          </w:tcPr>
          <w:p>
            <w:pPr>
              <w:jc w:val="right"/>
              <w:ind w:right="308"/>
              <w:spacing w:after="0"/>
              <w:rPr>
                <w:sz w:val="20"/>
                <w:szCs w:val="20"/>
                <w:color w:val="auto"/>
              </w:rPr>
            </w:pPr>
            <w:r>
              <w:rPr>
                <w:rFonts w:ascii="Arial" w:cs="Arial" w:eastAsia="Arial" w:hAnsi="Arial"/>
                <w:sz w:val="14"/>
                <w:szCs w:val="14"/>
                <w:b w:val="1"/>
                <w:bCs w:val="1"/>
                <w:color w:val="auto"/>
              </w:rPr>
              <w:t>U.S. Plans</w:t>
            </w:r>
          </w:p>
        </w:tc>
        <w:tc>
          <w:tcPr>
            <w:tcW w:w="200" w:type="dxa"/>
            <w:vAlign w:val="bottom"/>
            <w:tcBorders>
              <w:bottom w:val="single" w:sz="8" w:color="D7282F"/>
            </w:tcBorders>
          </w:tcPr>
          <w:p>
            <w:pPr>
              <w:spacing w:after="0"/>
              <w:rPr>
                <w:sz w:val="17"/>
                <w:szCs w:val="17"/>
                <w:color w:val="auto"/>
              </w:rPr>
            </w:pPr>
          </w:p>
        </w:tc>
        <w:tc>
          <w:tcPr>
            <w:tcW w:w="134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Non-U.S. Plans</w:t>
            </w:r>
          </w:p>
        </w:tc>
      </w:tr>
      <w:tr>
        <w:trPr>
          <w:trHeight w:val="193"/>
        </w:trPr>
        <w:tc>
          <w:tcPr>
            <w:tcW w:w="4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2025</w:t>
            </w:r>
          </w:p>
        </w:tc>
        <w:tc>
          <w:tcPr>
            <w:tcW w:w="398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1,276</w:t>
            </w:r>
          </w:p>
        </w:tc>
        <w:tc>
          <w:tcPr>
            <w:tcW w:w="2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233</w:t>
            </w:r>
          </w:p>
        </w:tc>
      </w:tr>
      <w:tr>
        <w:trPr>
          <w:trHeight w:val="196"/>
        </w:trPr>
        <w:tc>
          <w:tcPr>
            <w:tcW w:w="4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2026</w:t>
            </w:r>
          </w:p>
        </w:tc>
        <w:tc>
          <w:tcPr>
            <w:tcW w:w="3980" w:type="dxa"/>
            <w:vAlign w:val="bottom"/>
            <w:tcBorders>
              <w:bottom w:val="single" w:sz="8" w:color="61656A"/>
            </w:tcBorders>
          </w:tcPr>
          <w:p>
            <w:pPr>
              <w:spacing w:after="0"/>
              <w:rPr>
                <w:sz w:val="17"/>
                <w:szCs w:val="17"/>
                <w:color w:val="auto"/>
              </w:rPr>
            </w:pPr>
          </w:p>
        </w:tc>
        <w:tc>
          <w:tcPr>
            <w:tcW w:w="12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1,215</w:t>
            </w:r>
          </w:p>
        </w:tc>
        <w:tc>
          <w:tcPr>
            <w:tcW w:w="200" w:type="dxa"/>
            <w:vAlign w:val="bottom"/>
            <w:tcBorders>
              <w:bottom w:val="single" w:sz="8" w:color="61656A"/>
            </w:tcBorders>
          </w:tcPr>
          <w:p>
            <w:pPr>
              <w:spacing w:after="0"/>
              <w:rPr>
                <w:sz w:val="17"/>
                <w:szCs w:val="17"/>
                <w:color w:val="auto"/>
              </w:rPr>
            </w:pPr>
          </w:p>
        </w:tc>
        <w:tc>
          <w:tcPr>
            <w:tcW w:w="13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236</w:t>
            </w:r>
          </w:p>
        </w:tc>
      </w:tr>
      <w:tr>
        <w:trPr>
          <w:trHeight w:val="196"/>
        </w:trPr>
        <w:tc>
          <w:tcPr>
            <w:tcW w:w="4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2027</w:t>
            </w:r>
          </w:p>
        </w:tc>
        <w:tc>
          <w:tcPr>
            <w:tcW w:w="3980" w:type="dxa"/>
            <w:vAlign w:val="bottom"/>
            <w:tcBorders>
              <w:bottom w:val="single" w:sz="8" w:color="61656A"/>
            </w:tcBorders>
          </w:tcPr>
          <w:p>
            <w:pPr>
              <w:spacing w:after="0"/>
              <w:rPr>
                <w:sz w:val="17"/>
                <w:szCs w:val="17"/>
                <w:color w:val="auto"/>
              </w:rPr>
            </w:pPr>
          </w:p>
        </w:tc>
        <w:tc>
          <w:tcPr>
            <w:tcW w:w="12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1,163</w:t>
            </w:r>
          </w:p>
        </w:tc>
        <w:tc>
          <w:tcPr>
            <w:tcW w:w="200" w:type="dxa"/>
            <w:vAlign w:val="bottom"/>
            <w:tcBorders>
              <w:bottom w:val="single" w:sz="8" w:color="61656A"/>
            </w:tcBorders>
          </w:tcPr>
          <w:p>
            <w:pPr>
              <w:spacing w:after="0"/>
              <w:rPr>
                <w:sz w:val="17"/>
                <w:szCs w:val="17"/>
                <w:color w:val="auto"/>
              </w:rPr>
            </w:pPr>
          </w:p>
        </w:tc>
        <w:tc>
          <w:tcPr>
            <w:tcW w:w="13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241</w:t>
            </w:r>
          </w:p>
        </w:tc>
      </w:tr>
      <w:tr>
        <w:trPr>
          <w:trHeight w:val="196"/>
        </w:trPr>
        <w:tc>
          <w:tcPr>
            <w:tcW w:w="4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2028</w:t>
            </w:r>
          </w:p>
        </w:tc>
        <w:tc>
          <w:tcPr>
            <w:tcW w:w="3980" w:type="dxa"/>
            <w:vAlign w:val="bottom"/>
            <w:tcBorders>
              <w:bottom w:val="single" w:sz="8" w:color="61656A"/>
            </w:tcBorders>
          </w:tcPr>
          <w:p>
            <w:pPr>
              <w:spacing w:after="0"/>
              <w:rPr>
                <w:sz w:val="17"/>
                <w:szCs w:val="17"/>
                <w:color w:val="auto"/>
              </w:rPr>
            </w:pPr>
          </w:p>
        </w:tc>
        <w:tc>
          <w:tcPr>
            <w:tcW w:w="12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1,112</w:t>
            </w:r>
          </w:p>
        </w:tc>
        <w:tc>
          <w:tcPr>
            <w:tcW w:w="200" w:type="dxa"/>
            <w:vAlign w:val="bottom"/>
            <w:tcBorders>
              <w:bottom w:val="single" w:sz="8" w:color="61656A"/>
            </w:tcBorders>
          </w:tcPr>
          <w:p>
            <w:pPr>
              <w:spacing w:after="0"/>
              <w:rPr>
                <w:sz w:val="17"/>
                <w:szCs w:val="17"/>
                <w:color w:val="auto"/>
              </w:rPr>
            </w:pPr>
          </w:p>
        </w:tc>
        <w:tc>
          <w:tcPr>
            <w:tcW w:w="13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245</w:t>
            </w:r>
          </w:p>
        </w:tc>
      </w:tr>
      <w:tr>
        <w:trPr>
          <w:trHeight w:val="196"/>
        </w:trPr>
        <w:tc>
          <w:tcPr>
            <w:tcW w:w="4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2029</w:t>
            </w:r>
          </w:p>
        </w:tc>
        <w:tc>
          <w:tcPr>
            <w:tcW w:w="3980" w:type="dxa"/>
            <w:vAlign w:val="bottom"/>
            <w:tcBorders>
              <w:bottom w:val="single" w:sz="8" w:color="61656A"/>
            </w:tcBorders>
          </w:tcPr>
          <w:p>
            <w:pPr>
              <w:spacing w:after="0"/>
              <w:rPr>
                <w:sz w:val="17"/>
                <w:szCs w:val="17"/>
                <w:color w:val="auto"/>
              </w:rPr>
            </w:pPr>
          </w:p>
        </w:tc>
        <w:tc>
          <w:tcPr>
            <w:tcW w:w="12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1,068</w:t>
            </w:r>
          </w:p>
        </w:tc>
        <w:tc>
          <w:tcPr>
            <w:tcW w:w="200" w:type="dxa"/>
            <w:vAlign w:val="bottom"/>
            <w:tcBorders>
              <w:bottom w:val="single" w:sz="8" w:color="61656A"/>
            </w:tcBorders>
          </w:tcPr>
          <w:p>
            <w:pPr>
              <w:spacing w:after="0"/>
              <w:rPr>
                <w:sz w:val="17"/>
                <w:szCs w:val="17"/>
                <w:color w:val="auto"/>
              </w:rPr>
            </w:pPr>
          </w:p>
        </w:tc>
        <w:tc>
          <w:tcPr>
            <w:tcW w:w="13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249</w:t>
            </w:r>
          </w:p>
        </w:tc>
      </w:tr>
      <w:tr>
        <w:trPr>
          <w:trHeight w:val="196"/>
        </w:trPr>
        <w:tc>
          <w:tcPr>
            <w:tcW w:w="44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2030-2034</w:t>
            </w:r>
          </w:p>
        </w:tc>
        <w:tc>
          <w:tcPr>
            <w:tcW w:w="3980" w:type="dxa"/>
            <w:vAlign w:val="bottom"/>
            <w:tcBorders>
              <w:bottom w:val="single" w:sz="8" w:color="D7282F"/>
            </w:tcBorders>
          </w:tcPr>
          <w:p>
            <w:pPr>
              <w:spacing w:after="0"/>
              <w:rPr>
                <w:sz w:val="17"/>
                <w:szCs w:val="17"/>
                <w:color w:val="auto"/>
              </w:rPr>
            </w:pPr>
          </w:p>
        </w:tc>
        <w:tc>
          <w:tcPr>
            <w:tcW w:w="1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4,649</w:t>
            </w:r>
          </w:p>
        </w:tc>
        <w:tc>
          <w:tcPr>
            <w:tcW w:w="200" w:type="dxa"/>
            <w:vAlign w:val="bottom"/>
            <w:tcBorders>
              <w:bottom w:val="single" w:sz="8" w:color="D7282F"/>
            </w:tcBorders>
          </w:tcPr>
          <w:p>
            <w:pPr>
              <w:spacing w:after="0"/>
              <w:rPr>
                <w:sz w:val="17"/>
                <w:szCs w:val="17"/>
                <w:color w:val="auto"/>
              </w:rPr>
            </w:pPr>
          </w:p>
        </w:tc>
        <w:tc>
          <w:tcPr>
            <w:tcW w:w="13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1,311</w:t>
            </w:r>
          </w:p>
        </w:tc>
      </w:tr>
    </w:tbl>
    <w:p>
      <w:pPr>
        <w:spacing w:after="0" w:line="17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During the twelve months ended December 31, 2024, the Company completed no repurchases of outstanding Honeywell shares of common stock from the Honeywell U.S. Pension Plan Master Trust. During the twelve months ended December 31, 2023, the Company repurchased $200 million of outstanding Honeywell shares of common stock from the Honeywell U.S. Pension Plan Master Trust.</w:t>
      </w:r>
    </w:p>
    <w:p>
      <w:pPr>
        <w:spacing w:after="0" w:line="19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OTHER POSTRETIREMENT BENEFITS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220" w:type="dxa"/>
            <w:vAlign w:val="bottom"/>
          </w:tcPr>
          <w:p>
            <w:pPr>
              <w:spacing w:after="0"/>
              <w:rPr>
                <w:sz w:val="17"/>
                <w:szCs w:val="17"/>
                <w:color w:val="auto"/>
              </w:rPr>
            </w:pPr>
          </w:p>
        </w:tc>
        <w:tc>
          <w:tcPr>
            <w:tcW w:w="2020" w:type="dxa"/>
            <w:vAlign w:val="bottom"/>
            <w:tcBorders>
              <w:bottom w:val="single" w:sz="8" w:color="D7282F"/>
            </w:tcBorders>
            <w:gridSpan w:val="2"/>
          </w:tcPr>
          <w:p>
            <w:pPr>
              <w:jc w:val="right"/>
              <w:ind w:right="468"/>
              <w:spacing w:after="0"/>
              <w:rPr>
                <w:sz w:val="20"/>
                <w:szCs w:val="20"/>
                <w:color w:val="auto"/>
              </w:rPr>
            </w:pPr>
            <w:r>
              <w:rPr>
                <w:rFonts w:ascii="Arial" w:cs="Arial" w:eastAsia="Arial" w:hAnsi="Arial"/>
                <w:sz w:val="14"/>
                <w:szCs w:val="14"/>
                <w:b w:val="1"/>
                <w:bCs w:val="1"/>
                <w:color w:val="auto"/>
              </w:rPr>
              <w:t>December 31,</w:t>
            </w:r>
          </w:p>
        </w:tc>
      </w:tr>
      <w:tr>
        <w:trPr>
          <w:trHeight w:val="237"/>
        </w:trPr>
        <w:tc>
          <w:tcPr>
            <w:tcW w:w="9220" w:type="dxa"/>
            <w:vAlign w:val="bottom"/>
            <w:tcBorders>
              <w:bottom w:val="single" w:sz="8" w:color="D7282F"/>
            </w:tcBorders>
          </w:tcPr>
          <w:p>
            <w:pPr>
              <w:spacing w:after="0"/>
              <w:rPr>
                <w:sz w:val="20"/>
                <w:szCs w:val="20"/>
                <w:color w:val="auto"/>
              </w:rPr>
            </w:pPr>
          </w:p>
        </w:tc>
        <w:tc>
          <w:tcPr>
            <w:tcW w:w="1140" w:type="dxa"/>
            <w:vAlign w:val="bottom"/>
            <w:tcBorders>
              <w:bottom w:val="single" w:sz="8" w:color="D7282F"/>
            </w:tcBorders>
          </w:tcPr>
          <w:p>
            <w:pPr>
              <w:jc w:val="right"/>
              <w:ind w:right="448"/>
              <w:spacing w:after="0"/>
              <w:rPr>
                <w:sz w:val="20"/>
                <w:szCs w:val="20"/>
                <w:color w:val="auto"/>
              </w:rPr>
            </w:pPr>
            <w:r>
              <w:rPr>
                <w:rFonts w:ascii="Arial" w:cs="Arial" w:eastAsia="Arial" w:hAnsi="Arial"/>
                <w:sz w:val="14"/>
                <w:szCs w:val="14"/>
                <w:b w:val="1"/>
                <w:bCs w:val="1"/>
                <w:color w:val="auto"/>
              </w:rPr>
              <w:t>2024</w:t>
            </w:r>
          </w:p>
        </w:tc>
        <w:tc>
          <w:tcPr>
            <w:tcW w:w="88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2023</w:t>
            </w:r>
          </w:p>
        </w:tc>
      </w:tr>
      <w:tr>
        <w:trPr>
          <w:trHeight w:val="193"/>
        </w:trPr>
        <w:tc>
          <w:tcPr>
            <w:tcW w:w="922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Assumed health care cost trend rate</w:t>
            </w:r>
          </w:p>
        </w:tc>
        <w:tc>
          <w:tcPr>
            <w:tcW w:w="1140" w:type="dxa"/>
            <w:vAlign w:val="bottom"/>
            <w:tcBorders>
              <w:bottom w:val="single" w:sz="8" w:color="61656A"/>
            </w:tcBorders>
          </w:tcPr>
          <w:p>
            <w:pPr>
              <w:spacing w:after="0"/>
              <w:rPr>
                <w:sz w:val="16"/>
                <w:szCs w:val="16"/>
                <w:color w:val="auto"/>
              </w:rPr>
            </w:pPr>
          </w:p>
        </w:tc>
        <w:tc>
          <w:tcPr>
            <w:tcW w:w="880" w:type="dxa"/>
            <w:vAlign w:val="bottom"/>
            <w:tcBorders>
              <w:bottom w:val="single" w:sz="8" w:color="61656A"/>
            </w:tcBorders>
          </w:tcPr>
          <w:p>
            <w:pPr>
              <w:spacing w:after="0"/>
              <w:rPr>
                <w:sz w:val="16"/>
                <w:szCs w:val="16"/>
                <w:color w:val="auto"/>
              </w:rPr>
            </w:pPr>
          </w:p>
        </w:tc>
      </w:tr>
      <w:tr>
        <w:trPr>
          <w:trHeight w:val="196"/>
        </w:trPr>
        <w:tc>
          <w:tcPr>
            <w:tcW w:w="922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Health care cost trend rate assumed for next year</w:t>
            </w:r>
          </w:p>
        </w:tc>
        <w:tc>
          <w:tcPr>
            <w:tcW w:w="1140" w:type="dxa"/>
            <w:vAlign w:val="bottom"/>
            <w:tcBorders>
              <w:bottom w:val="single" w:sz="8" w:color="61656A"/>
            </w:tcBorders>
          </w:tcPr>
          <w:p>
            <w:pPr>
              <w:jc w:val="right"/>
              <w:ind w:right="188"/>
              <w:spacing w:after="0"/>
              <w:rPr>
                <w:sz w:val="20"/>
                <w:szCs w:val="20"/>
                <w:color w:val="auto"/>
              </w:rPr>
            </w:pPr>
            <w:r>
              <w:rPr>
                <w:rFonts w:ascii="Arial" w:cs="Arial" w:eastAsia="Arial" w:hAnsi="Arial"/>
                <w:sz w:val="14"/>
                <w:szCs w:val="14"/>
                <w:color w:val="auto"/>
              </w:rPr>
              <w:t>6.50 %</w:t>
            </w:r>
          </w:p>
        </w:tc>
        <w:tc>
          <w:tcPr>
            <w:tcW w:w="8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7.00 %</w:t>
            </w:r>
          </w:p>
        </w:tc>
      </w:tr>
      <w:tr>
        <w:trPr>
          <w:trHeight w:val="196"/>
        </w:trPr>
        <w:tc>
          <w:tcPr>
            <w:tcW w:w="922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Rate that the cost trend rate gradually declines to</w:t>
            </w:r>
          </w:p>
        </w:tc>
        <w:tc>
          <w:tcPr>
            <w:tcW w:w="1140" w:type="dxa"/>
            <w:vAlign w:val="bottom"/>
            <w:tcBorders>
              <w:bottom w:val="single" w:sz="8" w:color="61656A"/>
            </w:tcBorders>
          </w:tcPr>
          <w:p>
            <w:pPr>
              <w:jc w:val="right"/>
              <w:ind w:right="188"/>
              <w:spacing w:after="0"/>
              <w:rPr>
                <w:sz w:val="20"/>
                <w:szCs w:val="20"/>
                <w:color w:val="auto"/>
              </w:rPr>
            </w:pPr>
            <w:r>
              <w:rPr>
                <w:rFonts w:ascii="Arial" w:cs="Arial" w:eastAsia="Arial" w:hAnsi="Arial"/>
                <w:sz w:val="14"/>
                <w:szCs w:val="14"/>
                <w:color w:val="auto"/>
              </w:rPr>
              <w:t>5.00 %</w:t>
            </w:r>
          </w:p>
        </w:tc>
        <w:tc>
          <w:tcPr>
            <w:tcW w:w="8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5.00 %</w:t>
            </w:r>
          </w:p>
        </w:tc>
      </w:tr>
      <w:tr>
        <w:trPr>
          <w:trHeight w:val="196"/>
        </w:trPr>
        <w:tc>
          <w:tcPr>
            <w:tcW w:w="922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Year that the rate reaches the rate it is assumed to remain at</w:t>
            </w:r>
          </w:p>
        </w:tc>
        <w:tc>
          <w:tcPr>
            <w:tcW w:w="1140" w:type="dxa"/>
            <w:vAlign w:val="bottom"/>
            <w:tcBorders>
              <w:bottom w:val="single" w:sz="8" w:color="D7282F"/>
            </w:tcBorders>
          </w:tcPr>
          <w:p>
            <w:pPr>
              <w:jc w:val="right"/>
              <w:ind w:right="348"/>
              <w:spacing w:after="0"/>
              <w:rPr>
                <w:sz w:val="20"/>
                <w:szCs w:val="20"/>
                <w:color w:val="auto"/>
              </w:rPr>
            </w:pPr>
            <w:r>
              <w:rPr>
                <w:rFonts w:ascii="Arial" w:cs="Arial" w:eastAsia="Arial" w:hAnsi="Arial"/>
                <w:sz w:val="14"/>
                <w:szCs w:val="14"/>
                <w:color w:val="auto"/>
              </w:rPr>
              <w:t>2031</w:t>
            </w:r>
          </w:p>
        </w:tc>
        <w:tc>
          <w:tcPr>
            <w:tcW w:w="8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2031</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Benefit payments reflecting expected future service, as appropriate, are expected to be paid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440" w:type="dxa"/>
            <w:vAlign w:val="bottom"/>
          </w:tcPr>
          <w:p>
            <w:pPr>
              <w:jc w:val="right"/>
              <w:ind w:right="108"/>
              <w:spacing w:after="0"/>
              <w:rPr>
                <w:sz w:val="20"/>
                <w:szCs w:val="20"/>
                <w:color w:val="auto"/>
              </w:rPr>
            </w:pPr>
            <w:r>
              <w:rPr>
                <w:rFonts w:ascii="Arial" w:cs="Arial" w:eastAsia="Arial" w:hAnsi="Arial"/>
                <w:sz w:val="14"/>
                <w:szCs w:val="14"/>
                <w:b w:val="1"/>
                <w:bCs w:val="1"/>
                <w:color w:val="auto"/>
              </w:rPr>
              <w:t>Without Impact of</w:t>
            </w:r>
          </w:p>
        </w:tc>
        <w:tc>
          <w:tcPr>
            <w:tcW w:w="200" w:type="dxa"/>
            <w:vAlign w:val="bottom"/>
          </w:tcPr>
          <w:p>
            <w:pPr>
              <w:spacing w:after="0"/>
              <w:rPr>
                <w:sz w:val="14"/>
                <w:szCs w:val="14"/>
                <w:color w:val="auto"/>
              </w:rPr>
            </w:pPr>
          </w:p>
        </w:tc>
        <w:tc>
          <w:tcPr>
            <w:tcW w:w="1560" w:type="dxa"/>
            <w:vAlign w:val="bottom"/>
          </w:tcPr>
          <w:p>
            <w:pPr>
              <w:jc w:val="right"/>
              <w:ind w:right="588"/>
              <w:spacing w:after="0"/>
              <w:rPr>
                <w:sz w:val="20"/>
                <w:szCs w:val="20"/>
                <w:color w:val="auto"/>
              </w:rPr>
            </w:pPr>
            <w:r>
              <w:rPr>
                <w:rFonts w:ascii="Arial" w:cs="Arial" w:eastAsia="Arial" w:hAnsi="Arial"/>
                <w:sz w:val="14"/>
                <w:szCs w:val="14"/>
                <w:b w:val="1"/>
                <w:bCs w:val="1"/>
                <w:color w:val="auto"/>
              </w:rPr>
              <w:t>Net of</w:t>
            </w:r>
          </w:p>
        </w:tc>
      </w:tr>
      <w:tr>
        <w:trPr>
          <w:trHeight w:val="189"/>
        </w:trPr>
        <w:tc>
          <w:tcPr>
            <w:tcW w:w="4300" w:type="dxa"/>
            <w:vAlign w:val="bottom"/>
            <w:tcBorders>
              <w:bottom w:val="single" w:sz="8" w:color="D7282F"/>
            </w:tcBorders>
          </w:tcPr>
          <w:p>
            <w:pPr>
              <w:spacing w:after="0"/>
              <w:rPr>
                <w:sz w:val="16"/>
                <w:szCs w:val="16"/>
                <w:color w:val="auto"/>
              </w:rPr>
            </w:pPr>
          </w:p>
        </w:tc>
        <w:tc>
          <w:tcPr>
            <w:tcW w:w="3740" w:type="dxa"/>
            <w:vAlign w:val="bottom"/>
            <w:tcBorders>
              <w:bottom w:val="single" w:sz="8" w:color="D7282F"/>
            </w:tcBorders>
          </w:tcPr>
          <w:p>
            <w:pPr>
              <w:spacing w:after="0"/>
              <w:rPr>
                <w:sz w:val="16"/>
                <w:szCs w:val="16"/>
                <w:color w:val="auto"/>
              </w:rPr>
            </w:pPr>
          </w:p>
        </w:tc>
        <w:tc>
          <w:tcPr>
            <w:tcW w:w="14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Medicare Subsidy</w:t>
            </w:r>
          </w:p>
        </w:tc>
        <w:tc>
          <w:tcPr>
            <w:tcW w:w="200" w:type="dxa"/>
            <w:vAlign w:val="bottom"/>
            <w:tcBorders>
              <w:bottom w:val="single" w:sz="8" w:color="D7282F"/>
            </w:tcBorders>
          </w:tcPr>
          <w:p>
            <w:pPr>
              <w:spacing w:after="0"/>
              <w:rPr>
                <w:sz w:val="16"/>
                <w:szCs w:val="16"/>
                <w:color w:val="auto"/>
              </w:rPr>
            </w:pPr>
          </w:p>
        </w:tc>
        <w:tc>
          <w:tcPr>
            <w:tcW w:w="1560" w:type="dxa"/>
            <w:vAlign w:val="bottom"/>
            <w:tcBorders>
              <w:bottom w:val="single" w:sz="8" w:color="D7282F"/>
            </w:tcBorders>
          </w:tcPr>
          <w:p>
            <w:pPr>
              <w:jc w:val="right"/>
              <w:ind w:right="188"/>
              <w:spacing w:after="0"/>
              <w:rPr>
                <w:sz w:val="20"/>
                <w:szCs w:val="20"/>
                <w:color w:val="auto"/>
              </w:rPr>
            </w:pPr>
            <w:r>
              <w:rPr>
                <w:rFonts w:ascii="Arial" w:cs="Arial" w:eastAsia="Arial" w:hAnsi="Arial"/>
                <w:sz w:val="14"/>
                <w:szCs w:val="14"/>
                <w:b w:val="1"/>
                <w:bCs w:val="1"/>
                <w:color w:val="auto"/>
              </w:rPr>
              <w:t>Medicare Subsidy</w:t>
            </w:r>
          </w:p>
        </w:tc>
      </w:tr>
      <w:tr>
        <w:trPr>
          <w:trHeight w:val="192"/>
        </w:trPr>
        <w:tc>
          <w:tcPr>
            <w:tcW w:w="430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2025</w:t>
            </w:r>
          </w:p>
        </w:tc>
        <w:tc>
          <w:tcPr>
            <w:tcW w:w="37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12</w:t>
            </w:r>
          </w:p>
        </w:tc>
        <w:tc>
          <w:tcPr>
            <w:tcW w:w="2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11</w:t>
            </w:r>
          </w:p>
        </w:tc>
      </w:tr>
      <w:tr>
        <w:trPr>
          <w:trHeight w:val="196"/>
        </w:trPr>
        <w:tc>
          <w:tcPr>
            <w:tcW w:w="430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2026</w:t>
            </w:r>
          </w:p>
        </w:tc>
        <w:tc>
          <w:tcPr>
            <w:tcW w:w="3740" w:type="dxa"/>
            <w:vAlign w:val="bottom"/>
            <w:tcBorders>
              <w:bottom w:val="single" w:sz="8" w:color="888B8D"/>
            </w:tcBorders>
          </w:tcPr>
          <w:p>
            <w:pPr>
              <w:spacing w:after="0"/>
              <w:rPr>
                <w:sz w:val="17"/>
                <w:szCs w:val="17"/>
                <w:color w:val="auto"/>
              </w:rPr>
            </w:pPr>
          </w:p>
        </w:tc>
        <w:tc>
          <w:tcPr>
            <w:tcW w:w="14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11</w:t>
            </w:r>
          </w:p>
        </w:tc>
        <w:tc>
          <w:tcPr>
            <w:tcW w:w="200" w:type="dxa"/>
            <w:vAlign w:val="bottom"/>
            <w:tcBorders>
              <w:bottom w:val="single" w:sz="8" w:color="888B8D"/>
            </w:tcBorders>
          </w:tcPr>
          <w:p>
            <w:pPr>
              <w:spacing w:after="0"/>
              <w:rPr>
                <w:sz w:val="17"/>
                <w:szCs w:val="17"/>
                <w:color w:val="auto"/>
              </w:rPr>
            </w:pPr>
          </w:p>
        </w:tc>
        <w:tc>
          <w:tcPr>
            <w:tcW w:w="15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11</w:t>
            </w:r>
          </w:p>
        </w:tc>
      </w:tr>
      <w:tr>
        <w:trPr>
          <w:trHeight w:val="196"/>
        </w:trPr>
        <w:tc>
          <w:tcPr>
            <w:tcW w:w="430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2027</w:t>
            </w:r>
          </w:p>
        </w:tc>
        <w:tc>
          <w:tcPr>
            <w:tcW w:w="3740" w:type="dxa"/>
            <w:vAlign w:val="bottom"/>
            <w:tcBorders>
              <w:bottom w:val="single" w:sz="8" w:color="888B8D"/>
            </w:tcBorders>
          </w:tcPr>
          <w:p>
            <w:pPr>
              <w:spacing w:after="0"/>
              <w:rPr>
                <w:sz w:val="17"/>
                <w:szCs w:val="17"/>
                <w:color w:val="auto"/>
              </w:rPr>
            </w:pPr>
          </w:p>
        </w:tc>
        <w:tc>
          <w:tcPr>
            <w:tcW w:w="14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11</w:t>
            </w:r>
          </w:p>
        </w:tc>
        <w:tc>
          <w:tcPr>
            <w:tcW w:w="200" w:type="dxa"/>
            <w:vAlign w:val="bottom"/>
            <w:tcBorders>
              <w:bottom w:val="single" w:sz="8" w:color="888B8D"/>
            </w:tcBorders>
          </w:tcPr>
          <w:p>
            <w:pPr>
              <w:spacing w:after="0"/>
              <w:rPr>
                <w:sz w:val="17"/>
                <w:szCs w:val="17"/>
                <w:color w:val="auto"/>
              </w:rPr>
            </w:pPr>
          </w:p>
        </w:tc>
        <w:tc>
          <w:tcPr>
            <w:tcW w:w="15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10</w:t>
            </w:r>
          </w:p>
        </w:tc>
      </w:tr>
      <w:tr>
        <w:trPr>
          <w:trHeight w:val="196"/>
        </w:trPr>
        <w:tc>
          <w:tcPr>
            <w:tcW w:w="430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2028</w:t>
            </w:r>
          </w:p>
        </w:tc>
        <w:tc>
          <w:tcPr>
            <w:tcW w:w="3740" w:type="dxa"/>
            <w:vAlign w:val="bottom"/>
            <w:tcBorders>
              <w:bottom w:val="single" w:sz="8" w:color="888B8D"/>
            </w:tcBorders>
          </w:tcPr>
          <w:p>
            <w:pPr>
              <w:spacing w:after="0"/>
              <w:rPr>
                <w:sz w:val="17"/>
                <w:szCs w:val="17"/>
                <w:color w:val="auto"/>
              </w:rPr>
            </w:pPr>
          </w:p>
        </w:tc>
        <w:tc>
          <w:tcPr>
            <w:tcW w:w="14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10</w:t>
            </w:r>
          </w:p>
        </w:tc>
        <w:tc>
          <w:tcPr>
            <w:tcW w:w="200" w:type="dxa"/>
            <w:vAlign w:val="bottom"/>
            <w:tcBorders>
              <w:bottom w:val="single" w:sz="8" w:color="888B8D"/>
            </w:tcBorders>
          </w:tcPr>
          <w:p>
            <w:pPr>
              <w:spacing w:after="0"/>
              <w:rPr>
                <w:sz w:val="17"/>
                <w:szCs w:val="17"/>
                <w:color w:val="auto"/>
              </w:rPr>
            </w:pPr>
          </w:p>
        </w:tc>
        <w:tc>
          <w:tcPr>
            <w:tcW w:w="15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10</w:t>
            </w:r>
          </w:p>
        </w:tc>
      </w:tr>
      <w:tr>
        <w:trPr>
          <w:trHeight w:val="196"/>
        </w:trPr>
        <w:tc>
          <w:tcPr>
            <w:tcW w:w="430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2029</w:t>
            </w:r>
          </w:p>
        </w:tc>
        <w:tc>
          <w:tcPr>
            <w:tcW w:w="3740" w:type="dxa"/>
            <w:vAlign w:val="bottom"/>
            <w:tcBorders>
              <w:bottom w:val="single" w:sz="8" w:color="888B8D"/>
            </w:tcBorders>
          </w:tcPr>
          <w:p>
            <w:pPr>
              <w:spacing w:after="0"/>
              <w:rPr>
                <w:sz w:val="17"/>
                <w:szCs w:val="17"/>
                <w:color w:val="auto"/>
              </w:rPr>
            </w:pPr>
          </w:p>
        </w:tc>
        <w:tc>
          <w:tcPr>
            <w:tcW w:w="14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10</w:t>
            </w:r>
          </w:p>
        </w:tc>
        <w:tc>
          <w:tcPr>
            <w:tcW w:w="200" w:type="dxa"/>
            <w:vAlign w:val="bottom"/>
            <w:tcBorders>
              <w:bottom w:val="single" w:sz="8" w:color="888B8D"/>
            </w:tcBorders>
          </w:tcPr>
          <w:p>
            <w:pPr>
              <w:spacing w:after="0"/>
              <w:rPr>
                <w:sz w:val="17"/>
                <w:szCs w:val="17"/>
                <w:color w:val="auto"/>
              </w:rPr>
            </w:pPr>
          </w:p>
        </w:tc>
        <w:tc>
          <w:tcPr>
            <w:tcW w:w="15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9</w:t>
            </w:r>
          </w:p>
        </w:tc>
      </w:tr>
      <w:tr>
        <w:trPr>
          <w:trHeight w:val="196"/>
        </w:trPr>
        <w:tc>
          <w:tcPr>
            <w:tcW w:w="430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2030-2034</w:t>
            </w:r>
          </w:p>
        </w:tc>
        <w:tc>
          <w:tcPr>
            <w:tcW w:w="3740" w:type="dxa"/>
            <w:vAlign w:val="bottom"/>
            <w:tcBorders>
              <w:bottom w:val="single" w:sz="8" w:color="D7282F"/>
            </w:tcBorders>
          </w:tcPr>
          <w:p>
            <w:pPr>
              <w:spacing w:after="0"/>
              <w:rPr>
                <w:sz w:val="17"/>
                <w:szCs w:val="17"/>
                <w:color w:val="auto"/>
              </w:rPr>
            </w:pPr>
          </w:p>
        </w:tc>
        <w:tc>
          <w:tcPr>
            <w:tcW w:w="14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40</w:t>
            </w:r>
          </w:p>
        </w:tc>
        <w:tc>
          <w:tcPr>
            <w:tcW w:w="200" w:type="dxa"/>
            <w:vAlign w:val="bottom"/>
            <w:tcBorders>
              <w:bottom w:val="single" w:sz="8" w:color="D7282F"/>
            </w:tcBorders>
          </w:tcPr>
          <w:p>
            <w:pPr>
              <w:spacing w:after="0"/>
              <w:rPr>
                <w:sz w:val="17"/>
                <w:szCs w:val="17"/>
                <w:color w:val="auto"/>
              </w:rPr>
            </w:pPr>
          </w:p>
        </w:tc>
        <w:tc>
          <w:tcPr>
            <w:tcW w:w="15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38</w:t>
            </w:r>
          </w:p>
        </w:tc>
      </w:tr>
    </w:tbl>
    <w:p>
      <w:pPr>
        <w:spacing w:after="0" w:line="200" w:lineRule="exact"/>
        <w:rPr>
          <w:sz w:val="20"/>
          <w:szCs w:val="20"/>
          <w:color w:val="auto"/>
        </w:rPr>
      </w:pPr>
    </w:p>
    <w:p>
      <w:pPr>
        <w:spacing w:after="0" w:line="294"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D7282F"/>
        </w:rPr>
        <w:t>109</w:t>
      </w:r>
      <w:r>
        <w:rPr>
          <w:sz w:val="20"/>
          <w:szCs w:val="20"/>
          <w:color w:val="auto"/>
        </w:rPr>
        <w:tab/>
      </w: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11" w:name="page112"/>
    <w:bookmarkEnd w:id="111"/>
    <w:p>
      <w:pPr>
        <w:ind w:left="20"/>
        <w:spacing w:after="0"/>
        <w:tabs>
          <w:tab w:leader="none" w:pos="784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FINANCIAL STATEMENTS AND SUPPLEMENTARY DATA</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29"/>
          <w:szCs w:val="29"/>
          <w:color w:val="D7282F"/>
        </w:rPr>
        <w:t>NOTE 21. OTHER (INCOME) EXPENSE</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480" w:type="dxa"/>
            <w:vAlign w:val="bottom"/>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2600" w:type="dxa"/>
            <w:vAlign w:val="bottom"/>
            <w:tcBorders>
              <w:bottom w:val="single" w:sz="8" w:color="D7282F"/>
            </w:tcBorders>
            <w:gridSpan w:val="5"/>
          </w:tcPr>
          <w:p>
            <w:pPr>
              <w:jc w:val="right"/>
              <w:ind w:right="388"/>
              <w:spacing w:after="0"/>
              <w:rPr>
                <w:sz w:val="20"/>
                <w:szCs w:val="20"/>
                <w:color w:val="auto"/>
              </w:rPr>
            </w:pPr>
            <w:r>
              <w:rPr>
                <w:rFonts w:ascii="Arial" w:cs="Arial" w:eastAsia="Arial" w:hAnsi="Arial"/>
                <w:sz w:val="14"/>
                <w:szCs w:val="14"/>
                <w:b w:val="1"/>
                <w:bCs w:val="1"/>
                <w:color w:val="auto"/>
              </w:rPr>
              <w:t>Years Ended December 31,</w:t>
            </w:r>
          </w:p>
        </w:tc>
      </w:tr>
      <w:tr>
        <w:trPr>
          <w:trHeight w:val="196"/>
        </w:trPr>
        <w:tc>
          <w:tcPr>
            <w:tcW w:w="8480" w:type="dxa"/>
            <w:vAlign w:val="bottom"/>
            <w:tcBorders>
              <w:bottom w:val="single" w:sz="8" w:color="D7282F"/>
            </w:tcBorders>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2024</w:t>
            </w:r>
          </w:p>
        </w:tc>
        <w:tc>
          <w:tcPr>
            <w:tcW w:w="28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2023</w:t>
            </w:r>
          </w:p>
        </w:tc>
        <w:tc>
          <w:tcPr>
            <w:tcW w:w="28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2022</w:t>
            </w:r>
          </w:p>
        </w:tc>
      </w:tr>
      <w:tr>
        <w:trPr>
          <w:trHeight w:val="193"/>
        </w:trPr>
        <w:tc>
          <w:tcPr>
            <w:tcW w:w="8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Interest income</w:t>
            </w:r>
          </w:p>
        </w:tc>
        <w:tc>
          <w:tcPr>
            <w:tcW w:w="1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(426)</w:t>
            </w:r>
          </w:p>
        </w:tc>
        <w:tc>
          <w:tcPr>
            <w:tcW w:w="280" w:type="dxa"/>
            <w:vAlign w:val="bottom"/>
            <w:tcBorders>
              <w:bottom w:val="single" w:sz="8" w:color="888B8D"/>
            </w:tcBorders>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(321)</w:t>
            </w:r>
          </w:p>
        </w:tc>
        <w:tc>
          <w:tcPr>
            <w:tcW w:w="280" w:type="dxa"/>
            <w:vAlign w:val="bottom"/>
            <w:tcBorders>
              <w:bottom w:val="single" w:sz="8" w:color="888B8D"/>
            </w:tcBorders>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(138)</w:t>
            </w:r>
          </w:p>
        </w:tc>
      </w:tr>
      <w:tr>
        <w:trPr>
          <w:trHeight w:val="196"/>
        </w:trPr>
        <w:tc>
          <w:tcPr>
            <w:tcW w:w="8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Pension ongoing income—non-service</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(531)</w:t>
            </w:r>
          </w:p>
        </w:tc>
        <w:tc>
          <w:tcPr>
            <w:tcW w:w="28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(441)</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(602)</w:t>
            </w:r>
          </w:p>
        </w:tc>
      </w:tr>
      <w:tr>
        <w:trPr>
          <w:trHeight w:val="196"/>
        </w:trPr>
        <w:tc>
          <w:tcPr>
            <w:tcW w:w="8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Other postretirement income—non-service</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(11)</w:t>
            </w:r>
          </w:p>
        </w:tc>
        <w:tc>
          <w:tcPr>
            <w:tcW w:w="28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(29)</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(41)</w:t>
            </w:r>
          </w:p>
        </w:tc>
      </w:tr>
      <w:tr>
        <w:trPr>
          <w:trHeight w:val="196"/>
        </w:trPr>
        <w:tc>
          <w:tcPr>
            <w:tcW w:w="8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Equity income of affiliated companies</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(65)</w:t>
            </w:r>
          </w:p>
        </w:tc>
        <w:tc>
          <w:tcPr>
            <w:tcW w:w="28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(100)</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(61)</w:t>
            </w:r>
          </w:p>
        </w:tc>
      </w:tr>
      <w:tr>
        <w:trPr>
          <w:trHeight w:val="196"/>
        </w:trPr>
        <w:tc>
          <w:tcPr>
            <w:tcW w:w="8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Loss (gain) on sale of non-strategic businesses and assets</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1</w:t>
            </w:r>
          </w:p>
        </w:tc>
        <w:tc>
          <w:tcPr>
            <w:tcW w:w="28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(5)</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(22)</w:t>
            </w:r>
          </w:p>
        </w:tc>
      </w:tr>
      <w:tr>
        <w:trPr>
          <w:trHeight w:val="196"/>
        </w:trPr>
        <w:tc>
          <w:tcPr>
            <w:tcW w:w="8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Foreign exchange loss</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56</w:t>
            </w:r>
          </w:p>
        </w:tc>
        <w:tc>
          <w:tcPr>
            <w:tcW w:w="28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9</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48</w:t>
            </w:r>
          </w:p>
        </w:tc>
      </w:tr>
      <w:tr>
        <w:trPr>
          <w:trHeight w:val="196"/>
        </w:trPr>
        <w:tc>
          <w:tcPr>
            <w:tcW w:w="8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Expense related to UOP Matters</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45</w:t>
            </w:r>
          </w:p>
        </w:tc>
      </w:tr>
      <w:tr>
        <w:trPr>
          <w:trHeight w:val="196"/>
        </w:trPr>
        <w:tc>
          <w:tcPr>
            <w:tcW w:w="8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Expense (benefit) related to Russia-Ukraine conflict</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17</w:t>
            </w:r>
          </w:p>
        </w:tc>
        <w:tc>
          <w:tcPr>
            <w:tcW w:w="28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(3)</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45</w:t>
            </w:r>
          </w:p>
        </w:tc>
      </w:tr>
      <w:tr>
        <w:trPr>
          <w:trHeight w:val="196"/>
        </w:trPr>
        <w:tc>
          <w:tcPr>
            <w:tcW w:w="8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Net expense related to the NARCO Buyout and HWI Sale</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11</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342</w:t>
            </w:r>
          </w:p>
        </w:tc>
      </w:tr>
      <w:tr>
        <w:trPr>
          <w:trHeight w:val="196"/>
        </w:trPr>
        <w:tc>
          <w:tcPr>
            <w:tcW w:w="84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Other, net</w:t>
            </w:r>
          </w:p>
        </w:tc>
        <w:tc>
          <w:tcPr>
            <w:tcW w:w="1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129</w:t>
            </w:r>
          </w:p>
        </w:tc>
        <w:tc>
          <w:tcPr>
            <w:tcW w:w="28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39</w:t>
            </w:r>
          </w:p>
        </w:tc>
        <w:tc>
          <w:tcPr>
            <w:tcW w:w="28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18</w:t>
            </w:r>
          </w:p>
        </w:tc>
      </w:tr>
      <w:tr>
        <w:trPr>
          <w:trHeight w:val="199"/>
        </w:trPr>
        <w:tc>
          <w:tcPr>
            <w:tcW w:w="848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Other (income) expense</w:t>
            </w: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(830)</w:t>
            </w:r>
          </w:p>
        </w:tc>
        <w:tc>
          <w:tcPr>
            <w:tcW w:w="2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(840)</w:t>
            </w:r>
          </w:p>
        </w:tc>
        <w:tc>
          <w:tcPr>
            <w:tcW w:w="2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(366)</w:t>
            </w:r>
          </w:p>
        </w:tc>
      </w:tr>
    </w:tbl>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See Note 19 </w:t>
      </w:r>
      <w:r>
        <w:rPr>
          <w:rFonts w:ascii="Arial" w:cs="Arial" w:eastAsia="Arial" w:hAnsi="Arial"/>
          <w:sz w:val="16"/>
          <w:szCs w:val="16"/>
          <w:u w:val="single" w:color="auto"/>
          <w:color w:val="0000FF"/>
        </w:rPr>
        <w:t>Commitments and Contingencies</w:t>
      </w:r>
      <w:r>
        <w:rPr>
          <w:rFonts w:ascii="Arial" w:cs="Arial" w:eastAsia="Arial" w:hAnsi="Arial"/>
          <w:sz w:val="16"/>
          <w:szCs w:val="16"/>
          <w:color w:val="auto"/>
        </w:rPr>
        <w:t xml:space="preserve"> for more information on the UOP Matters, NARCO Buyout, and HWI Sale. See Note 4 </w:t>
      </w:r>
      <w:r>
        <w:rPr>
          <w:rFonts w:ascii="Arial" w:cs="Arial" w:eastAsia="Arial" w:hAnsi="Arial"/>
          <w:sz w:val="16"/>
          <w:szCs w:val="16"/>
          <w:u w:val="single" w:color="auto"/>
          <w:color w:val="0000FF"/>
        </w:rPr>
        <w:t>Repositioning and</w:t>
      </w:r>
      <w:r>
        <w:rPr>
          <w:rFonts w:ascii="Arial" w:cs="Arial" w:eastAsia="Arial" w:hAnsi="Arial"/>
          <w:sz w:val="16"/>
          <w:szCs w:val="16"/>
          <w:color w:val="auto"/>
        </w:rPr>
        <w:t xml:space="preserve"> </w:t>
      </w:r>
      <w:r>
        <w:rPr>
          <w:rFonts w:ascii="Arial" w:cs="Arial" w:eastAsia="Arial" w:hAnsi="Arial"/>
          <w:sz w:val="16"/>
          <w:szCs w:val="16"/>
          <w:u w:val="single" w:color="auto"/>
          <w:color w:val="0000FF"/>
        </w:rPr>
        <w:t>Other Charges</w:t>
      </w:r>
      <w:r>
        <w:rPr>
          <w:rFonts w:ascii="Arial" w:cs="Arial" w:eastAsia="Arial" w:hAnsi="Arial"/>
          <w:sz w:val="16"/>
          <w:szCs w:val="16"/>
          <w:color w:val="0000FF"/>
        </w:rPr>
        <w:t xml:space="preserve"> </w:t>
      </w:r>
      <w:r>
        <w:rPr>
          <w:rFonts w:ascii="Arial" w:cs="Arial" w:eastAsia="Arial" w:hAnsi="Arial"/>
          <w:sz w:val="16"/>
          <w:szCs w:val="16"/>
          <w:color w:val="000000"/>
        </w:rPr>
        <w:t>for further discussion of the expense related to the Russia-Ukraine conflict.</w:t>
      </w:r>
    </w:p>
    <w:p>
      <w:pPr>
        <w:spacing w:after="0" w:line="219" w:lineRule="exact"/>
        <w:rPr>
          <w:sz w:val="20"/>
          <w:szCs w:val="20"/>
          <w:color w:val="auto"/>
        </w:rPr>
      </w:pPr>
    </w:p>
    <w:p>
      <w:pPr>
        <w:spacing w:after="0"/>
        <w:rPr>
          <w:sz w:val="20"/>
          <w:szCs w:val="20"/>
          <w:color w:val="auto"/>
        </w:rPr>
      </w:pPr>
      <w:r>
        <w:rPr>
          <w:rFonts w:ascii="Arial" w:cs="Arial" w:eastAsia="Arial" w:hAnsi="Arial"/>
          <w:sz w:val="29"/>
          <w:szCs w:val="29"/>
          <w:color w:val="D7282F"/>
        </w:rPr>
        <w:t>NOTE 22. SEGMENT FINANCIAL DATA</w:t>
      </w:r>
    </w:p>
    <w:p>
      <w:pPr>
        <w:spacing w:after="0" w:line="238"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Honeywell globally manages its business operations through four reportable business segments. Segment information is consistent with how the Chairman and Chief Executive Officer, who is the Company's chief operating decision maker, and management reviews the businesses, makes investing and resource allocation decisions, and assesses operating performance.</w:t>
      </w:r>
    </w:p>
    <w:p>
      <w:pPr>
        <w:spacing w:after="0" w:line="5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Effective during the first quarter of 2024, the Company realigned certain of its business units comprising its historical Performance Materials and Technologies and Safety and Productivity Solutions reportable business segments by forming two new reportable business segments: Industrial Automation and Energy and Sustainability Solutions. Industrial Automation includes Sensing and Safety Technologies, Productivity Solutions and Services, and Warehouse and Workflow Solutions, previously included in Safety and Productivity Solutions, in addition to Process Solutions, previously included in Performance Materials and Technologies. Energy and Sustainability Solutions includes UOP and Advanced Materials, previously included in Performance Materials and Technologies. Further, as part of the realignment, the Company renamed its historical Aerospace and Honeywell Building Technologies reportable business segments to Aerospace Technologies and Building Automation, respectively. This realignment had no impact on the Company's historical consolidated financial position, results of operations, or cash flows. Prior period amounts have been recast to conform to current period segment presentation.</w:t>
      </w:r>
    </w:p>
    <w:p>
      <w:pPr>
        <w:spacing w:after="0" w:line="26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 xml:space="preserve">Effective during the second quarter of 2024, the Company updated its calculation of segment profit to exclude the impact of amortization expense for acquisition-related intangible assets and certain acquisition-related costs. </w:t>
      </w:r>
      <w:r>
        <w:rPr>
          <w:rFonts w:ascii="Arial" w:cs="Arial" w:eastAsia="Arial" w:hAnsi="Arial"/>
          <w:sz w:val="16"/>
          <w:szCs w:val="16"/>
          <w:color w:val="212529"/>
        </w:rPr>
        <w:t>The Company recast historical periods to reflect segment profit</w:t>
      </w:r>
      <w:r>
        <w:rPr>
          <w:rFonts w:ascii="Arial" w:cs="Arial" w:eastAsia="Arial" w:hAnsi="Arial"/>
          <w:sz w:val="16"/>
          <w:szCs w:val="16"/>
          <w:color w:val="auto"/>
        </w:rPr>
        <w:t xml:space="preserve"> under this new basis to facilitate comparability. In the third quarter of 2024, the Company clarified its calculation of segment profit to exclude divestiture-related costs and impairments.</w:t>
      </w:r>
    </w:p>
    <w:p>
      <w:pPr>
        <w:spacing w:after="0" w:line="7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Honeywell’s senior management evaluates segment performance based on segment profit. Each segment’s profit is measured as segment income (loss) before taxes excluding general corporate unallocated expense, interest and other financial charges, interest income, acquisition-related intangibles, impairment of assets held for sale, stock compensation expense, pension and other postretirement income (expense), repositioning and other charges, and other items within Other (income) expense.</w:t>
      </w:r>
    </w:p>
    <w:p>
      <w:pPr>
        <w:spacing w:after="0" w:line="200" w:lineRule="exact"/>
        <w:rPr>
          <w:sz w:val="20"/>
          <w:szCs w:val="20"/>
          <w:color w:val="auto"/>
        </w:rPr>
      </w:pPr>
    </w:p>
    <w:p>
      <w:pPr>
        <w:spacing w:after="0" w:line="204" w:lineRule="exact"/>
        <w:rPr>
          <w:sz w:val="20"/>
          <w:szCs w:val="20"/>
          <w:color w:val="auto"/>
        </w:rPr>
      </w:pPr>
    </w:p>
    <w:p>
      <w:pPr>
        <w:ind w:left="500" w:hanging="492"/>
        <w:spacing w:after="0"/>
        <w:tabs>
          <w:tab w:leader="none" w:pos="500" w:val="left"/>
        </w:tabs>
        <w:numPr>
          <w:ilvl w:val="0"/>
          <w:numId w:val="173"/>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12" w:name="page113"/>
    <w:bookmarkEnd w:id="112"/>
    <w:p>
      <w:pPr>
        <w:ind w:left="20"/>
        <w:spacing w:after="0"/>
        <w:tabs>
          <w:tab w:leader="none" w:pos="784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FINANCIAL STATEMENTS AND SUPPLEMENTARY DATA</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Aerospace</w:t>
            </w:r>
          </w:p>
        </w:tc>
        <w:tc>
          <w:tcPr>
            <w:tcW w:w="260" w:type="dxa"/>
            <w:vAlign w:val="bottom"/>
          </w:tcPr>
          <w:p>
            <w:pPr>
              <w:spacing w:after="0"/>
              <w:rPr>
                <w:sz w:val="15"/>
                <w:szCs w:val="15"/>
                <w:color w:val="auto"/>
              </w:rPr>
            </w:pPr>
          </w:p>
        </w:tc>
        <w:tc>
          <w:tcPr>
            <w:tcW w:w="106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Industrial</w:t>
            </w:r>
          </w:p>
        </w:tc>
        <w:tc>
          <w:tcPr>
            <w:tcW w:w="260" w:type="dxa"/>
            <w:vAlign w:val="bottom"/>
          </w:tcPr>
          <w:p>
            <w:pPr>
              <w:spacing w:after="0"/>
              <w:rPr>
                <w:sz w:val="15"/>
                <w:szCs w:val="15"/>
                <w:color w:val="auto"/>
              </w:rPr>
            </w:pPr>
          </w:p>
        </w:tc>
        <w:tc>
          <w:tcPr>
            <w:tcW w:w="108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Building</w:t>
            </w:r>
          </w:p>
        </w:tc>
        <w:tc>
          <w:tcPr>
            <w:tcW w:w="260" w:type="dxa"/>
            <w:vAlign w:val="bottom"/>
          </w:tcPr>
          <w:p>
            <w:pPr>
              <w:spacing w:after="0"/>
              <w:rPr>
                <w:sz w:val="15"/>
                <w:szCs w:val="15"/>
                <w:color w:val="auto"/>
              </w:rPr>
            </w:pPr>
          </w:p>
        </w:tc>
        <w:tc>
          <w:tcPr>
            <w:tcW w:w="1240" w:type="dxa"/>
            <w:vAlign w:val="bottom"/>
          </w:tcPr>
          <w:p>
            <w:pPr>
              <w:jc w:val="center"/>
              <w:ind w:right="148"/>
              <w:spacing w:after="0"/>
              <w:rPr>
                <w:sz w:val="20"/>
                <w:szCs w:val="20"/>
                <w:color w:val="auto"/>
              </w:rPr>
            </w:pPr>
            <w:r>
              <w:rPr>
                <w:rFonts w:ascii="Arial" w:cs="Arial" w:eastAsia="Arial" w:hAnsi="Arial"/>
                <w:sz w:val="14"/>
                <w:szCs w:val="14"/>
                <w:b w:val="1"/>
                <w:bCs w:val="1"/>
                <w:color w:val="auto"/>
              </w:rPr>
              <w:t>Energy and</w:t>
            </w:r>
          </w:p>
        </w:tc>
        <w:tc>
          <w:tcPr>
            <w:tcW w:w="260" w:type="dxa"/>
            <w:vAlign w:val="bottom"/>
          </w:tcPr>
          <w:p>
            <w:pPr>
              <w:spacing w:after="0"/>
              <w:rPr>
                <w:sz w:val="15"/>
                <w:szCs w:val="15"/>
                <w:color w:val="auto"/>
              </w:rPr>
            </w:pPr>
          </w:p>
        </w:tc>
        <w:tc>
          <w:tcPr>
            <w:tcW w:w="98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Corporate</w:t>
            </w:r>
          </w:p>
        </w:tc>
        <w:tc>
          <w:tcPr>
            <w:tcW w:w="260" w:type="dxa"/>
            <w:vAlign w:val="bottom"/>
          </w:tcPr>
          <w:p>
            <w:pPr>
              <w:spacing w:after="0"/>
              <w:rPr>
                <w:sz w:val="15"/>
                <w:szCs w:val="15"/>
                <w:color w:val="auto"/>
              </w:rPr>
            </w:pPr>
          </w:p>
        </w:tc>
        <w:tc>
          <w:tcPr>
            <w:tcW w:w="94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3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jc w:val="center"/>
              <w:ind w:right="148"/>
              <w:spacing w:after="0"/>
              <w:rPr>
                <w:sz w:val="20"/>
                <w:szCs w:val="20"/>
                <w:color w:val="auto"/>
              </w:rPr>
            </w:pPr>
            <w:r>
              <w:rPr>
                <w:rFonts w:ascii="Arial" w:cs="Arial" w:eastAsia="Arial" w:hAnsi="Arial"/>
                <w:sz w:val="14"/>
                <w:szCs w:val="14"/>
                <w:b w:val="1"/>
                <w:bCs w:val="1"/>
                <w:color w:val="auto"/>
              </w:rPr>
              <w:t>Sustainability</w:t>
            </w:r>
          </w:p>
        </w:tc>
        <w:tc>
          <w:tcPr>
            <w:tcW w:w="26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316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Year Ended December 31, 2024</w:t>
            </w:r>
          </w:p>
        </w:tc>
        <w:tc>
          <w:tcPr>
            <w:tcW w:w="300" w:type="dxa"/>
            <w:vAlign w:val="bottom"/>
            <w:tcBorders>
              <w:bottom w:val="single" w:sz="8" w:color="D7282F"/>
            </w:tcBorders>
          </w:tcPr>
          <w:p>
            <w:pPr>
              <w:spacing w:after="0"/>
              <w:rPr>
                <w:sz w:val="18"/>
                <w:szCs w:val="18"/>
                <w:color w:val="auto"/>
              </w:rPr>
            </w:pPr>
          </w:p>
        </w:tc>
        <w:tc>
          <w:tcPr>
            <w:tcW w:w="118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Technologies</w:t>
            </w:r>
          </w:p>
        </w:tc>
        <w:tc>
          <w:tcPr>
            <w:tcW w:w="260" w:type="dxa"/>
            <w:vAlign w:val="bottom"/>
            <w:tcBorders>
              <w:bottom w:val="single" w:sz="8" w:color="D7282F"/>
            </w:tcBorders>
          </w:tcPr>
          <w:p>
            <w:pPr>
              <w:spacing w:after="0"/>
              <w:rPr>
                <w:sz w:val="18"/>
                <w:szCs w:val="18"/>
                <w:color w:val="auto"/>
              </w:rPr>
            </w:pPr>
          </w:p>
        </w:tc>
        <w:tc>
          <w:tcPr>
            <w:tcW w:w="106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Automation</w:t>
            </w:r>
          </w:p>
        </w:tc>
        <w:tc>
          <w:tcPr>
            <w:tcW w:w="260" w:type="dxa"/>
            <w:vAlign w:val="bottom"/>
            <w:tcBorders>
              <w:bottom w:val="single" w:sz="8" w:color="D7282F"/>
            </w:tcBorders>
          </w:tcPr>
          <w:p>
            <w:pPr>
              <w:spacing w:after="0"/>
              <w:rPr>
                <w:sz w:val="18"/>
                <w:szCs w:val="18"/>
                <w:color w:val="auto"/>
              </w:rPr>
            </w:pPr>
          </w:p>
        </w:tc>
        <w:tc>
          <w:tcPr>
            <w:tcW w:w="1080" w:type="dxa"/>
            <w:vAlign w:val="bottom"/>
            <w:tcBorders>
              <w:bottom w:val="single" w:sz="8" w:color="D7282F"/>
            </w:tcBorders>
          </w:tcPr>
          <w:p>
            <w:pPr>
              <w:jc w:val="right"/>
              <w:ind w:right="188"/>
              <w:spacing w:after="0"/>
              <w:rPr>
                <w:sz w:val="20"/>
                <w:szCs w:val="20"/>
                <w:color w:val="auto"/>
              </w:rPr>
            </w:pPr>
            <w:r>
              <w:rPr>
                <w:rFonts w:ascii="Arial" w:cs="Arial" w:eastAsia="Arial" w:hAnsi="Arial"/>
                <w:sz w:val="14"/>
                <w:szCs w:val="14"/>
                <w:b w:val="1"/>
                <w:bCs w:val="1"/>
                <w:color w:val="auto"/>
              </w:rPr>
              <w:t>Automation</w:t>
            </w:r>
          </w:p>
        </w:tc>
        <w:tc>
          <w:tcPr>
            <w:tcW w:w="260" w:type="dxa"/>
            <w:vAlign w:val="bottom"/>
            <w:tcBorders>
              <w:bottom w:val="single" w:sz="8" w:color="D7282F"/>
            </w:tcBorders>
          </w:tcPr>
          <w:p>
            <w:pPr>
              <w:spacing w:after="0"/>
              <w:rPr>
                <w:sz w:val="18"/>
                <w:szCs w:val="18"/>
                <w:color w:val="auto"/>
              </w:rPr>
            </w:pPr>
          </w:p>
        </w:tc>
        <w:tc>
          <w:tcPr>
            <w:tcW w:w="1240" w:type="dxa"/>
            <w:vAlign w:val="bottom"/>
            <w:tcBorders>
              <w:bottom w:val="single" w:sz="8" w:color="D7282F"/>
            </w:tcBorders>
          </w:tcPr>
          <w:p>
            <w:pPr>
              <w:jc w:val="center"/>
              <w:ind w:right="148"/>
              <w:spacing w:after="0"/>
              <w:rPr>
                <w:sz w:val="20"/>
                <w:szCs w:val="20"/>
                <w:color w:val="auto"/>
              </w:rPr>
            </w:pPr>
            <w:r>
              <w:rPr>
                <w:rFonts w:ascii="Arial" w:cs="Arial" w:eastAsia="Arial" w:hAnsi="Arial"/>
                <w:sz w:val="14"/>
                <w:szCs w:val="14"/>
                <w:b w:val="1"/>
                <w:bCs w:val="1"/>
                <w:color w:val="auto"/>
              </w:rPr>
              <w:t>Solutions</w:t>
            </w:r>
          </w:p>
        </w:tc>
        <w:tc>
          <w:tcPr>
            <w:tcW w:w="1240" w:type="dxa"/>
            <w:vAlign w:val="bottom"/>
            <w:tcBorders>
              <w:bottom w:val="single" w:sz="8" w:color="D7282F"/>
            </w:tcBorders>
            <w:gridSpan w:val="2"/>
          </w:tcPr>
          <w:p>
            <w:pPr>
              <w:jc w:val="right"/>
              <w:ind w:right="88"/>
              <w:spacing w:after="0"/>
              <w:rPr>
                <w:sz w:val="20"/>
                <w:szCs w:val="20"/>
                <w:color w:val="auto"/>
              </w:rPr>
            </w:pPr>
            <w:r>
              <w:rPr>
                <w:rFonts w:ascii="Arial" w:cs="Arial" w:eastAsia="Arial" w:hAnsi="Arial"/>
                <w:sz w:val="14"/>
                <w:szCs w:val="14"/>
                <w:b w:val="1"/>
                <w:bCs w:val="1"/>
                <w:color w:val="auto"/>
              </w:rPr>
              <w:t>and All Other</w:t>
            </w:r>
          </w:p>
        </w:tc>
        <w:tc>
          <w:tcPr>
            <w:tcW w:w="260" w:type="dxa"/>
            <w:vAlign w:val="bottom"/>
            <w:tcBorders>
              <w:bottom w:val="single" w:sz="8" w:color="D7282F"/>
            </w:tcBorders>
          </w:tcPr>
          <w:p>
            <w:pPr>
              <w:spacing w:after="0"/>
              <w:rPr>
                <w:sz w:val="18"/>
                <w:szCs w:val="18"/>
                <w:color w:val="auto"/>
              </w:rPr>
            </w:pPr>
          </w:p>
        </w:tc>
        <w:tc>
          <w:tcPr>
            <w:tcW w:w="9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Honeywell</w:t>
            </w:r>
          </w:p>
        </w:tc>
        <w:tc>
          <w:tcPr>
            <w:tcW w:w="0" w:type="dxa"/>
            <w:vAlign w:val="bottom"/>
          </w:tcPr>
          <w:p>
            <w:pPr>
              <w:spacing w:after="0"/>
              <w:rPr>
                <w:sz w:val="1"/>
                <w:szCs w:val="1"/>
                <w:color w:val="auto"/>
              </w:rPr>
            </w:pPr>
          </w:p>
        </w:tc>
      </w:tr>
      <w:tr>
        <w:trPr>
          <w:trHeight w:val="196"/>
        </w:trPr>
        <w:tc>
          <w:tcPr>
            <w:tcW w:w="3160" w:type="dxa"/>
            <w:vAlign w:val="bottom"/>
            <w:tcBorders>
              <w:bottom w:val="single" w:sz="8" w:color="888B8D"/>
            </w:tcBorders>
          </w:tcPr>
          <w:p>
            <w:pPr>
              <w:ind w:left="20"/>
              <w:spacing w:after="0"/>
              <w:rPr>
                <w:sz w:val="20"/>
                <w:szCs w:val="20"/>
                <w:color w:val="auto"/>
              </w:rPr>
            </w:pPr>
            <w:r>
              <w:rPr>
                <w:rFonts w:ascii="Arial" w:cs="Arial" w:eastAsia="Arial" w:hAnsi="Arial"/>
                <w:sz w:val="14"/>
                <w:szCs w:val="14"/>
                <w:b w:val="1"/>
                <w:bCs w:val="1"/>
                <w:color w:val="auto"/>
              </w:rPr>
              <w:t>Net sales</w:t>
            </w:r>
          </w:p>
        </w:tc>
        <w:tc>
          <w:tcPr>
            <w:tcW w:w="300" w:type="dxa"/>
            <w:vAlign w:val="bottom"/>
            <w:tcBorders>
              <w:bottom w:val="single" w:sz="8" w:color="888B8D"/>
            </w:tcBorders>
          </w:tcPr>
          <w:p>
            <w:pPr>
              <w:spacing w:after="0"/>
              <w:rPr>
                <w:sz w:val="17"/>
                <w:szCs w:val="17"/>
                <w:color w:val="auto"/>
              </w:rPr>
            </w:pPr>
          </w:p>
        </w:tc>
        <w:tc>
          <w:tcPr>
            <w:tcW w:w="1180" w:type="dxa"/>
            <w:vAlign w:val="bottom"/>
            <w:tcBorders>
              <w:bottom w:val="single" w:sz="8" w:color="888B8D"/>
            </w:tcBorders>
          </w:tcPr>
          <w:p>
            <w:pPr>
              <w:spacing w:after="0"/>
              <w:rPr>
                <w:sz w:val="17"/>
                <w:szCs w:val="17"/>
                <w:color w:val="auto"/>
              </w:rPr>
            </w:pPr>
          </w:p>
        </w:tc>
        <w:tc>
          <w:tcPr>
            <w:tcW w:w="260" w:type="dxa"/>
            <w:vAlign w:val="bottom"/>
            <w:tcBorders>
              <w:bottom w:val="single" w:sz="8" w:color="888B8D"/>
            </w:tcBorders>
          </w:tcPr>
          <w:p>
            <w:pPr>
              <w:spacing w:after="0"/>
              <w:rPr>
                <w:sz w:val="17"/>
                <w:szCs w:val="17"/>
                <w:color w:val="auto"/>
              </w:rPr>
            </w:pPr>
          </w:p>
        </w:tc>
        <w:tc>
          <w:tcPr>
            <w:tcW w:w="1060" w:type="dxa"/>
            <w:vAlign w:val="bottom"/>
            <w:tcBorders>
              <w:bottom w:val="single" w:sz="8" w:color="888B8D"/>
            </w:tcBorders>
          </w:tcPr>
          <w:p>
            <w:pPr>
              <w:spacing w:after="0"/>
              <w:rPr>
                <w:sz w:val="17"/>
                <w:szCs w:val="17"/>
                <w:color w:val="auto"/>
              </w:rPr>
            </w:pPr>
          </w:p>
        </w:tc>
        <w:tc>
          <w:tcPr>
            <w:tcW w:w="260" w:type="dxa"/>
            <w:vAlign w:val="bottom"/>
            <w:tcBorders>
              <w:bottom w:val="single" w:sz="8" w:color="888B8D"/>
            </w:tcBorders>
          </w:tcPr>
          <w:p>
            <w:pPr>
              <w:spacing w:after="0"/>
              <w:rPr>
                <w:sz w:val="17"/>
                <w:szCs w:val="17"/>
                <w:color w:val="auto"/>
              </w:rPr>
            </w:pPr>
          </w:p>
        </w:tc>
        <w:tc>
          <w:tcPr>
            <w:tcW w:w="1080" w:type="dxa"/>
            <w:vAlign w:val="bottom"/>
            <w:tcBorders>
              <w:bottom w:val="single" w:sz="8" w:color="888B8D"/>
            </w:tcBorders>
          </w:tcPr>
          <w:p>
            <w:pPr>
              <w:spacing w:after="0"/>
              <w:rPr>
                <w:sz w:val="17"/>
                <w:szCs w:val="17"/>
                <w:color w:val="auto"/>
              </w:rPr>
            </w:pPr>
          </w:p>
        </w:tc>
        <w:tc>
          <w:tcPr>
            <w:tcW w:w="260" w:type="dxa"/>
            <w:vAlign w:val="bottom"/>
            <w:tcBorders>
              <w:bottom w:val="single" w:sz="8" w:color="888B8D"/>
            </w:tcBorders>
          </w:tcPr>
          <w:p>
            <w:pPr>
              <w:spacing w:after="0"/>
              <w:rPr>
                <w:sz w:val="17"/>
                <w:szCs w:val="17"/>
                <w:color w:val="auto"/>
              </w:rPr>
            </w:pPr>
          </w:p>
        </w:tc>
        <w:tc>
          <w:tcPr>
            <w:tcW w:w="1240" w:type="dxa"/>
            <w:vAlign w:val="bottom"/>
            <w:tcBorders>
              <w:bottom w:val="single" w:sz="8" w:color="888B8D"/>
            </w:tcBorders>
          </w:tcPr>
          <w:p>
            <w:pPr>
              <w:spacing w:after="0"/>
              <w:rPr>
                <w:sz w:val="17"/>
                <w:szCs w:val="17"/>
                <w:color w:val="auto"/>
              </w:rPr>
            </w:pPr>
          </w:p>
        </w:tc>
        <w:tc>
          <w:tcPr>
            <w:tcW w:w="260" w:type="dxa"/>
            <w:vAlign w:val="bottom"/>
            <w:tcBorders>
              <w:bottom w:val="single" w:sz="8" w:color="888B8D"/>
            </w:tcBorders>
          </w:tcPr>
          <w:p>
            <w:pPr>
              <w:spacing w:after="0"/>
              <w:rPr>
                <w:sz w:val="17"/>
                <w:szCs w:val="17"/>
                <w:color w:val="auto"/>
              </w:rPr>
            </w:pPr>
          </w:p>
        </w:tc>
        <w:tc>
          <w:tcPr>
            <w:tcW w:w="980" w:type="dxa"/>
            <w:vAlign w:val="bottom"/>
            <w:tcBorders>
              <w:bottom w:val="single" w:sz="8" w:color="888B8D"/>
            </w:tcBorders>
          </w:tcPr>
          <w:p>
            <w:pPr>
              <w:spacing w:after="0"/>
              <w:rPr>
                <w:sz w:val="17"/>
                <w:szCs w:val="17"/>
                <w:color w:val="auto"/>
              </w:rPr>
            </w:pPr>
          </w:p>
        </w:tc>
        <w:tc>
          <w:tcPr>
            <w:tcW w:w="260" w:type="dxa"/>
            <w:vAlign w:val="bottom"/>
            <w:tcBorders>
              <w:bottom w:val="single" w:sz="8" w:color="888B8D"/>
            </w:tcBorders>
          </w:tcPr>
          <w:p>
            <w:pPr>
              <w:spacing w:after="0"/>
              <w:rPr>
                <w:sz w:val="17"/>
                <w:szCs w:val="17"/>
                <w:color w:val="auto"/>
              </w:rPr>
            </w:pPr>
          </w:p>
        </w:tc>
        <w:tc>
          <w:tcPr>
            <w:tcW w:w="940" w:type="dxa"/>
            <w:vAlign w:val="bottom"/>
            <w:tcBorders>
              <w:bottom w:val="single" w:sz="8" w:color="888B8D"/>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16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Products</w:t>
            </w:r>
          </w:p>
        </w:tc>
        <w:tc>
          <w:tcPr>
            <w:tcW w:w="3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8,509</w:t>
            </w:r>
          </w:p>
        </w:tc>
        <w:tc>
          <w:tcPr>
            <w:tcW w:w="2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7,175</w:t>
            </w:r>
          </w:p>
        </w:tc>
        <w:tc>
          <w:tcPr>
            <w:tcW w:w="2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4,800</w:t>
            </w:r>
          </w:p>
        </w:tc>
        <w:tc>
          <w:tcPr>
            <w:tcW w:w="2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5,795</w:t>
            </w:r>
          </w:p>
        </w:tc>
        <w:tc>
          <w:tcPr>
            <w:tcW w:w="2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26,279</w:t>
            </w:r>
          </w:p>
        </w:tc>
        <w:tc>
          <w:tcPr>
            <w:tcW w:w="0" w:type="dxa"/>
            <w:vAlign w:val="bottom"/>
          </w:tcPr>
          <w:p>
            <w:pPr>
              <w:spacing w:after="0"/>
              <w:rPr>
                <w:sz w:val="1"/>
                <w:szCs w:val="1"/>
                <w:color w:val="auto"/>
              </w:rPr>
            </w:pPr>
          </w:p>
        </w:tc>
      </w:tr>
      <w:tr>
        <w:trPr>
          <w:trHeight w:val="196"/>
        </w:trPr>
        <w:tc>
          <w:tcPr>
            <w:tcW w:w="316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Services</w:t>
            </w:r>
          </w:p>
        </w:tc>
        <w:tc>
          <w:tcPr>
            <w:tcW w:w="300" w:type="dxa"/>
            <w:vAlign w:val="bottom"/>
            <w:tcBorders>
              <w:bottom w:val="single" w:sz="8" w:color="D7282F"/>
            </w:tcBorders>
          </w:tcPr>
          <w:p>
            <w:pPr>
              <w:spacing w:after="0"/>
              <w:rPr>
                <w:sz w:val="17"/>
                <w:szCs w:val="17"/>
                <w:color w:val="auto"/>
              </w:rPr>
            </w:pPr>
          </w:p>
        </w:tc>
        <w:tc>
          <w:tcPr>
            <w:tcW w:w="11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6,949</w:t>
            </w:r>
          </w:p>
        </w:tc>
        <w:tc>
          <w:tcPr>
            <w:tcW w:w="260" w:type="dxa"/>
            <w:vAlign w:val="bottom"/>
            <w:tcBorders>
              <w:bottom w:val="single" w:sz="8" w:color="D7282F"/>
            </w:tcBorders>
          </w:tcPr>
          <w:p>
            <w:pPr>
              <w:spacing w:after="0"/>
              <w:rPr>
                <w:sz w:val="17"/>
                <w:szCs w:val="17"/>
                <w:color w:val="auto"/>
              </w:rPr>
            </w:pPr>
          </w:p>
        </w:tc>
        <w:tc>
          <w:tcPr>
            <w:tcW w:w="10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2,876</w:t>
            </w:r>
          </w:p>
        </w:tc>
        <w:tc>
          <w:tcPr>
            <w:tcW w:w="260" w:type="dxa"/>
            <w:vAlign w:val="bottom"/>
            <w:tcBorders>
              <w:bottom w:val="single" w:sz="8" w:color="D7282F"/>
            </w:tcBorders>
          </w:tcPr>
          <w:p>
            <w:pPr>
              <w:spacing w:after="0"/>
              <w:rPr>
                <w:sz w:val="17"/>
                <w:szCs w:val="17"/>
                <w:color w:val="auto"/>
              </w:rPr>
            </w:pPr>
          </w:p>
        </w:tc>
        <w:tc>
          <w:tcPr>
            <w:tcW w:w="10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1,740</w:t>
            </w:r>
          </w:p>
        </w:tc>
        <w:tc>
          <w:tcPr>
            <w:tcW w:w="260" w:type="dxa"/>
            <w:vAlign w:val="bottom"/>
            <w:tcBorders>
              <w:bottom w:val="single" w:sz="8" w:color="D7282F"/>
            </w:tcBorders>
          </w:tcPr>
          <w:p>
            <w:pPr>
              <w:spacing w:after="0"/>
              <w:rPr>
                <w:sz w:val="17"/>
                <w:szCs w:val="17"/>
                <w:color w:val="auto"/>
              </w:rPr>
            </w:pPr>
          </w:p>
        </w:tc>
        <w:tc>
          <w:tcPr>
            <w:tcW w:w="12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630</w:t>
            </w:r>
          </w:p>
        </w:tc>
        <w:tc>
          <w:tcPr>
            <w:tcW w:w="260" w:type="dxa"/>
            <w:vAlign w:val="bottom"/>
            <w:tcBorders>
              <w:bottom w:val="single" w:sz="8" w:color="D7282F"/>
            </w:tcBorders>
          </w:tcPr>
          <w:p>
            <w:pPr>
              <w:spacing w:after="0"/>
              <w:rPr>
                <w:sz w:val="17"/>
                <w:szCs w:val="17"/>
                <w:color w:val="auto"/>
              </w:rPr>
            </w:pPr>
          </w:p>
        </w:tc>
        <w:tc>
          <w:tcPr>
            <w:tcW w:w="9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24</w:t>
            </w:r>
          </w:p>
        </w:tc>
        <w:tc>
          <w:tcPr>
            <w:tcW w:w="26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12,219</w:t>
            </w:r>
          </w:p>
        </w:tc>
        <w:tc>
          <w:tcPr>
            <w:tcW w:w="0" w:type="dxa"/>
            <w:vAlign w:val="bottom"/>
          </w:tcPr>
          <w:p>
            <w:pPr>
              <w:spacing w:after="0"/>
              <w:rPr>
                <w:sz w:val="1"/>
                <w:szCs w:val="1"/>
                <w:color w:val="auto"/>
              </w:rPr>
            </w:pPr>
          </w:p>
        </w:tc>
      </w:tr>
      <w:tr>
        <w:trPr>
          <w:trHeight w:val="199"/>
        </w:trPr>
        <w:tc>
          <w:tcPr>
            <w:tcW w:w="316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Net sales</w:t>
            </w:r>
          </w:p>
        </w:tc>
        <w:tc>
          <w:tcPr>
            <w:tcW w:w="300" w:type="dxa"/>
            <w:vAlign w:val="bottom"/>
            <w:tcBorders>
              <w:bottom w:val="single" w:sz="8" w:color="D7282F"/>
            </w:tcBorders>
          </w:tcPr>
          <w:p>
            <w:pPr>
              <w:spacing w:after="0"/>
              <w:rPr>
                <w:sz w:val="17"/>
                <w:szCs w:val="17"/>
                <w:color w:val="auto"/>
              </w:rPr>
            </w:pPr>
          </w:p>
        </w:tc>
        <w:tc>
          <w:tcPr>
            <w:tcW w:w="11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15,458</w:t>
            </w:r>
          </w:p>
        </w:tc>
        <w:tc>
          <w:tcPr>
            <w:tcW w:w="260" w:type="dxa"/>
            <w:vAlign w:val="bottom"/>
            <w:tcBorders>
              <w:bottom w:val="single" w:sz="8" w:color="D7282F"/>
            </w:tcBorders>
          </w:tcPr>
          <w:p>
            <w:pPr>
              <w:spacing w:after="0"/>
              <w:rPr>
                <w:sz w:val="17"/>
                <w:szCs w:val="17"/>
                <w:color w:val="auto"/>
              </w:rPr>
            </w:pPr>
          </w:p>
        </w:tc>
        <w:tc>
          <w:tcPr>
            <w:tcW w:w="10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10,051</w:t>
            </w:r>
          </w:p>
        </w:tc>
        <w:tc>
          <w:tcPr>
            <w:tcW w:w="260" w:type="dxa"/>
            <w:vAlign w:val="bottom"/>
            <w:tcBorders>
              <w:bottom w:val="single" w:sz="8" w:color="D7282F"/>
            </w:tcBorders>
          </w:tcPr>
          <w:p>
            <w:pPr>
              <w:spacing w:after="0"/>
              <w:rPr>
                <w:sz w:val="17"/>
                <w:szCs w:val="17"/>
                <w:color w:val="auto"/>
              </w:rPr>
            </w:pPr>
          </w:p>
        </w:tc>
        <w:tc>
          <w:tcPr>
            <w:tcW w:w="10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6,540</w:t>
            </w:r>
          </w:p>
        </w:tc>
        <w:tc>
          <w:tcPr>
            <w:tcW w:w="260" w:type="dxa"/>
            <w:vAlign w:val="bottom"/>
            <w:tcBorders>
              <w:bottom w:val="single" w:sz="8" w:color="D7282F"/>
            </w:tcBorders>
          </w:tcPr>
          <w:p>
            <w:pPr>
              <w:spacing w:after="0"/>
              <w:rPr>
                <w:sz w:val="17"/>
                <w:szCs w:val="17"/>
                <w:color w:val="auto"/>
              </w:rPr>
            </w:pPr>
          </w:p>
        </w:tc>
        <w:tc>
          <w:tcPr>
            <w:tcW w:w="12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6,425</w:t>
            </w:r>
          </w:p>
        </w:tc>
        <w:tc>
          <w:tcPr>
            <w:tcW w:w="260" w:type="dxa"/>
            <w:vAlign w:val="bottom"/>
            <w:tcBorders>
              <w:bottom w:val="single" w:sz="8" w:color="D7282F"/>
            </w:tcBorders>
          </w:tcPr>
          <w:p>
            <w:pPr>
              <w:spacing w:after="0"/>
              <w:rPr>
                <w:sz w:val="17"/>
                <w:szCs w:val="17"/>
                <w:color w:val="auto"/>
              </w:rPr>
            </w:pPr>
          </w:p>
        </w:tc>
        <w:tc>
          <w:tcPr>
            <w:tcW w:w="9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24</w:t>
            </w:r>
          </w:p>
        </w:tc>
        <w:tc>
          <w:tcPr>
            <w:tcW w:w="26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38,498</w:t>
            </w:r>
          </w:p>
        </w:tc>
        <w:tc>
          <w:tcPr>
            <w:tcW w:w="0" w:type="dxa"/>
            <w:vAlign w:val="bottom"/>
          </w:tcPr>
          <w:p>
            <w:pPr>
              <w:spacing w:after="0"/>
              <w:rPr>
                <w:sz w:val="1"/>
                <w:szCs w:val="1"/>
                <w:color w:val="auto"/>
              </w:rPr>
            </w:pPr>
          </w:p>
        </w:tc>
      </w:tr>
      <w:tr>
        <w:trPr>
          <w:trHeight w:val="196"/>
        </w:trPr>
        <w:tc>
          <w:tcPr>
            <w:tcW w:w="3160" w:type="dxa"/>
            <w:vAlign w:val="bottom"/>
            <w:tcBorders>
              <w:bottom w:val="single" w:sz="8" w:color="888B8D"/>
            </w:tcBorders>
          </w:tcPr>
          <w:p>
            <w:pPr>
              <w:ind w:left="20"/>
              <w:spacing w:after="0"/>
              <w:rPr>
                <w:sz w:val="20"/>
                <w:szCs w:val="20"/>
                <w:color w:val="auto"/>
              </w:rPr>
            </w:pPr>
            <w:r>
              <w:rPr>
                <w:rFonts w:ascii="Arial" w:cs="Arial" w:eastAsia="Arial" w:hAnsi="Arial"/>
                <w:sz w:val="14"/>
                <w:szCs w:val="14"/>
                <w:b w:val="1"/>
                <w:bCs w:val="1"/>
                <w:color w:val="auto"/>
              </w:rPr>
              <w:t>Less</w:t>
            </w:r>
          </w:p>
        </w:tc>
        <w:tc>
          <w:tcPr>
            <w:tcW w:w="300" w:type="dxa"/>
            <w:vAlign w:val="bottom"/>
            <w:tcBorders>
              <w:bottom w:val="single" w:sz="8" w:color="888B8D"/>
            </w:tcBorders>
          </w:tcPr>
          <w:p>
            <w:pPr>
              <w:spacing w:after="0"/>
              <w:rPr>
                <w:sz w:val="17"/>
                <w:szCs w:val="17"/>
                <w:color w:val="auto"/>
              </w:rPr>
            </w:pPr>
          </w:p>
        </w:tc>
        <w:tc>
          <w:tcPr>
            <w:tcW w:w="1180" w:type="dxa"/>
            <w:vAlign w:val="bottom"/>
            <w:tcBorders>
              <w:bottom w:val="single" w:sz="8" w:color="888B8D"/>
            </w:tcBorders>
          </w:tcPr>
          <w:p>
            <w:pPr>
              <w:spacing w:after="0"/>
              <w:rPr>
                <w:sz w:val="17"/>
                <w:szCs w:val="17"/>
                <w:color w:val="auto"/>
              </w:rPr>
            </w:pPr>
          </w:p>
        </w:tc>
        <w:tc>
          <w:tcPr>
            <w:tcW w:w="260" w:type="dxa"/>
            <w:vAlign w:val="bottom"/>
            <w:tcBorders>
              <w:bottom w:val="single" w:sz="8" w:color="888B8D"/>
            </w:tcBorders>
          </w:tcPr>
          <w:p>
            <w:pPr>
              <w:spacing w:after="0"/>
              <w:rPr>
                <w:sz w:val="17"/>
                <w:szCs w:val="17"/>
                <w:color w:val="auto"/>
              </w:rPr>
            </w:pPr>
          </w:p>
        </w:tc>
        <w:tc>
          <w:tcPr>
            <w:tcW w:w="1060" w:type="dxa"/>
            <w:vAlign w:val="bottom"/>
            <w:tcBorders>
              <w:bottom w:val="single" w:sz="8" w:color="888B8D"/>
            </w:tcBorders>
          </w:tcPr>
          <w:p>
            <w:pPr>
              <w:spacing w:after="0"/>
              <w:rPr>
                <w:sz w:val="17"/>
                <w:szCs w:val="17"/>
                <w:color w:val="auto"/>
              </w:rPr>
            </w:pPr>
          </w:p>
        </w:tc>
        <w:tc>
          <w:tcPr>
            <w:tcW w:w="260" w:type="dxa"/>
            <w:vAlign w:val="bottom"/>
            <w:tcBorders>
              <w:bottom w:val="single" w:sz="8" w:color="888B8D"/>
            </w:tcBorders>
          </w:tcPr>
          <w:p>
            <w:pPr>
              <w:spacing w:after="0"/>
              <w:rPr>
                <w:sz w:val="17"/>
                <w:szCs w:val="17"/>
                <w:color w:val="auto"/>
              </w:rPr>
            </w:pPr>
          </w:p>
        </w:tc>
        <w:tc>
          <w:tcPr>
            <w:tcW w:w="1080" w:type="dxa"/>
            <w:vAlign w:val="bottom"/>
            <w:tcBorders>
              <w:bottom w:val="single" w:sz="8" w:color="888B8D"/>
            </w:tcBorders>
          </w:tcPr>
          <w:p>
            <w:pPr>
              <w:spacing w:after="0"/>
              <w:rPr>
                <w:sz w:val="17"/>
                <w:szCs w:val="17"/>
                <w:color w:val="auto"/>
              </w:rPr>
            </w:pPr>
          </w:p>
        </w:tc>
        <w:tc>
          <w:tcPr>
            <w:tcW w:w="260" w:type="dxa"/>
            <w:vAlign w:val="bottom"/>
            <w:tcBorders>
              <w:bottom w:val="single" w:sz="8" w:color="888B8D"/>
            </w:tcBorders>
          </w:tcPr>
          <w:p>
            <w:pPr>
              <w:spacing w:after="0"/>
              <w:rPr>
                <w:sz w:val="17"/>
                <w:szCs w:val="17"/>
                <w:color w:val="auto"/>
              </w:rPr>
            </w:pPr>
          </w:p>
        </w:tc>
        <w:tc>
          <w:tcPr>
            <w:tcW w:w="1240" w:type="dxa"/>
            <w:vAlign w:val="bottom"/>
            <w:tcBorders>
              <w:bottom w:val="single" w:sz="8" w:color="888B8D"/>
            </w:tcBorders>
          </w:tcPr>
          <w:p>
            <w:pPr>
              <w:spacing w:after="0"/>
              <w:rPr>
                <w:sz w:val="17"/>
                <w:szCs w:val="17"/>
                <w:color w:val="auto"/>
              </w:rPr>
            </w:pPr>
          </w:p>
        </w:tc>
        <w:tc>
          <w:tcPr>
            <w:tcW w:w="260" w:type="dxa"/>
            <w:vAlign w:val="bottom"/>
            <w:tcBorders>
              <w:bottom w:val="single" w:sz="8" w:color="888B8D"/>
            </w:tcBorders>
          </w:tcPr>
          <w:p>
            <w:pPr>
              <w:spacing w:after="0"/>
              <w:rPr>
                <w:sz w:val="17"/>
                <w:szCs w:val="17"/>
                <w:color w:val="auto"/>
              </w:rPr>
            </w:pPr>
          </w:p>
        </w:tc>
        <w:tc>
          <w:tcPr>
            <w:tcW w:w="980" w:type="dxa"/>
            <w:vAlign w:val="bottom"/>
            <w:tcBorders>
              <w:bottom w:val="single" w:sz="8" w:color="888B8D"/>
            </w:tcBorders>
          </w:tcPr>
          <w:p>
            <w:pPr>
              <w:spacing w:after="0"/>
              <w:rPr>
                <w:sz w:val="17"/>
                <w:szCs w:val="17"/>
                <w:color w:val="auto"/>
              </w:rPr>
            </w:pPr>
          </w:p>
        </w:tc>
        <w:tc>
          <w:tcPr>
            <w:tcW w:w="260" w:type="dxa"/>
            <w:vAlign w:val="bottom"/>
            <w:tcBorders>
              <w:bottom w:val="single" w:sz="8" w:color="888B8D"/>
            </w:tcBorders>
          </w:tcPr>
          <w:p>
            <w:pPr>
              <w:spacing w:after="0"/>
              <w:rPr>
                <w:sz w:val="17"/>
                <w:szCs w:val="17"/>
                <w:color w:val="auto"/>
              </w:rPr>
            </w:pPr>
          </w:p>
        </w:tc>
        <w:tc>
          <w:tcPr>
            <w:tcW w:w="940" w:type="dxa"/>
            <w:vAlign w:val="bottom"/>
            <w:tcBorders>
              <w:bottom w:val="single" w:sz="8" w:color="888B8D"/>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16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Cost of products and services sold</w:t>
            </w:r>
          </w:p>
        </w:tc>
        <w:tc>
          <w:tcPr>
            <w:tcW w:w="300" w:type="dxa"/>
            <w:vAlign w:val="bottom"/>
            <w:tcBorders>
              <w:bottom w:val="single" w:sz="8" w:color="888B8D"/>
            </w:tcBorders>
          </w:tcPr>
          <w:p>
            <w:pPr>
              <w:spacing w:after="0"/>
              <w:rPr>
                <w:sz w:val="16"/>
                <w:szCs w:val="16"/>
                <w:color w:val="auto"/>
              </w:rPr>
            </w:pPr>
          </w:p>
        </w:tc>
        <w:tc>
          <w:tcPr>
            <w:tcW w:w="118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9,781</w:t>
            </w:r>
          </w:p>
        </w:tc>
        <w:tc>
          <w:tcPr>
            <w:tcW w:w="260" w:type="dxa"/>
            <w:vAlign w:val="bottom"/>
            <w:tcBorders>
              <w:bottom w:val="single" w:sz="8" w:color="888B8D"/>
            </w:tcBorders>
          </w:tcPr>
          <w:p>
            <w:pPr>
              <w:spacing w:after="0"/>
              <w:rPr>
                <w:sz w:val="16"/>
                <w:szCs w:val="16"/>
                <w:color w:val="auto"/>
              </w:rPr>
            </w:pPr>
          </w:p>
        </w:tc>
        <w:tc>
          <w:tcPr>
            <w:tcW w:w="106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5,880</w:t>
            </w:r>
          </w:p>
        </w:tc>
        <w:tc>
          <w:tcPr>
            <w:tcW w:w="260" w:type="dxa"/>
            <w:vAlign w:val="bottom"/>
            <w:tcBorders>
              <w:bottom w:val="single" w:sz="8" w:color="888B8D"/>
            </w:tcBorders>
          </w:tcPr>
          <w:p>
            <w:pPr>
              <w:spacing w:after="0"/>
              <w:rPr>
                <w:sz w:val="16"/>
                <w:szCs w:val="16"/>
                <w:color w:val="auto"/>
              </w:rPr>
            </w:pPr>
          </w:p>
        </w:tc>
        <w:tc>
          <w:tcPr>
            <w:tcW w:w="108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3,482</w:t>
            </w:r>
          </w:p>
        </w:tc>
        <w:tc>
          <w:tcPr>
            <w:tcW w:w="260" w:type="dxa"/>
            <w:vAlign w:val="bottom"/>
            <w:tcBorders>
              <w:bottom w:val="single" w:sz="8" w:color="888B8D"/>
            </w:tcBorders>
          </w:tcPr>
          <w:p>
            <w:pPr>
              <w:spacing w:after="0"/>
              <w:rPr>
                <w:sz w:val="16"/>
                <w:szCs w:val="16"/>
                <w:color w:val="auto"/>
              </w:rPr>
            </w:pPr>
          </w:p>
        </w:tc>
        <w:tc>
          <w:tcPr>
            <w:tcW w:w="124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4,030</w:t>
            </w:r>
          </w:p>
        </w:tc>
        <w:tc>
          <w:tcPr>
            <w:tcW w:w="260" w:type="dxa"/>
            <w:vAlign w:val="bottom"/>
            <w:tcBorders>
              <w:bottom w:val="single" w:sz="8" w:color="888B8D"/>
            </w:tcBorders>
          </w:tcPr>
          <w:p>
            <w:pPr>
              <w:spacing w:after="0"/>
              <w:rPr>
                <w:sz w:val="16"/>
                <w:szCs w:val="16"/>
                <w:color w:val="auto"/>
              </w:rPr>
            </w:pPr>
          </w:p>
        </w:tc>
        <w:tc>
          <w:tcPr>
            <w:tcW w:w="980" w:type="dxa"/>
            <w:vAlign w:val="bottom"/>
            <w:tcBorders>
              <w:bottom w:val="single" w:sz="8" w:color="888B8D"/>
            </w:tcBorders>
          </w:tcPr>
          <w:p>
            <w:pPr>
              <w:spacing w:after="0"/>
              <w:rPr>
                <w:sz w:val="16"/>
                <w:szCs w:val="16"/>
                <w:color w:val="auto"/>
              </w:rPr>
            </w:pPr>
          </w:p>
        </w:tc>
        <w:tc>
          <w:tcPr>
            <w:tcW w:w="260" w:type="dxa"/>
            <w:vAlign w:val="bottom"/>
            <w:tcBorders>
              <w:bottom w:val="single" w:sz="8" w:color="888B8D"/>
            </w:tcBorders>
          </w:tcPr>
          <w:p>
            <w:pPr>
              <w:spacing w:after="0"/>
              <w:rPr>
                <w:sz w:val="16"/>
                <w:szCs w:val="16"/>
                <w:color w:val="auto"/>
              </w:rPr>
            </w:pPr>
          </w:p>
        </w:tc>
        <w:tc>
          <w:tcPr>
            <w:tcW w:w="940" w:type="dxa"/>
            <w:vAlign w:val="bottom"/>
            <w:tcBorders>
              <w:bottom w:val="single" w:sz="8" w:color="888B8D"/>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16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Selling, general and administrative expenses</w:t>
            </w:r>
          </w:p>
        </w:tc>
        <w:tc>
          <w:tcPr>
            <w:tcW w:w="300" w:type="dxa"/>
            <w:vAlign w:val="bottom"/>
            <w:tcBorders>
              <w:bottom w:val="single" w:sz="8" w:color="888B8D"/>
            </w:tcBorders>
          </w:tcPr>
          <w:p>
            <w:pPr>
              <w:spacing w:after="0"/>
              <w:rPr>
                <w:sz w:val="17"/>
                <w:szCs w:val="17"/>
                <w:color w:val="auto"/>
              </w:rPr>
            </w:pPr>
          </w:p>
        </w:tc>
        <w:tc>
          <w:tcPr>
            <w:tcW w:w="118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645</w:t>
            </w:r>
          </w:p>
        </w:tc>
        <w:tc>
          <w:tcPr>
            <w:tcW w:w="260" w:type="dxa"/>
            <w:vAlign w:val="bottom"/>
            <w:tcBorders>
              <w:bottom w:val="single" w:sz="8" w:color="888B8D"/>
            </w:tcBorders>
          </w:tcPr>
          <w:p>
            <w:pPr>
              <w:spacing w:after="0"/>
              <w:rPr>
                <w:sz w:val="17"/>
                <w:szCs w:val="17"/>
                <w:color w:val="auto"/>
              </w:rPr>
            </w:pPr>
          </w:p>
        </w:tc>
        <w:tc>
          <w:tcPr>
            <w:tcW w:w="106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1,392</w:t>
            </w:r>
          </w:p>
        </w:tc>
        <w:tc>
          <w:tcPr>
            <w:tcW w:w="260" w:type="dxa"/>
            <w:vAlign w:val="bottom"/>
            <w:tcBorders>
              <w:bottom w:val="single" w:sz="8" w:color="888B8D"/>
            </w:tcBorders>
          </w:tcPr>
          <w:p>
            <w:pPr>
              <w:spacing w:after="0"/>
              <w:rPr>
                <w:sz w:val="17"/>
                <w:szCs w:val="17"/>
                <w:color w:val="auto"/>
              </w:rPr>
            </w:pPr>
          </w:p>
        </w:tc>
        <w:tc>
          <w:tcPr>
            <w:tcW w:w="108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954</w:t>
            </w:r>
          </w:p>
        </w:tc>
        <w:tc>
          <w:tcPr>
            <w:tcW w:w="260" w:type="dxa"/>
            <w:vAlign w:val="bottom"/>
            <w:tcBorders>
              <w:bottom w:val="single" w:sz="8" w:color="888B8D"/>
            </w:tcBorders>
          </w:tcPr>
          <w:p>
            <w:pPr>
              <w:spacing w:after="0"/>
              <w:rPr>
                <w:sz w:val="17"/>
                <w:szCs w:val="17"/>
                <w:color w:val="auto"/>
              </w:rPr>
            </w:pPr>
          </w:p>
        </w:tc>
        <w:tc>
          <w:tcPr>
            <w:tcW w:w="124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489</w:t>
            </w:r>
          </w:p>
        </w:tc>
        <w:tc>
          <w:tcPr>
            <w:tcW w:w="260" w:type="dxa"/>
            <w:vAlign w:val="bottom"/>
            <w:tcBorders>
              <w:bottom w:val="single" w:sz="8" w:color="888B8D"/>
            </w:tcBorders>
          </w:tcPr>
          <w:p>
            <w:pPr>
              <w:spacing w:after="0"/>
              <w:rPr>
                <w:sz w:val="17"/>
                <w:szCs w:val="17"/>
                <w:color w:val="auto"/>
              </w:rPr>
            </w:pPr>
          </w:p>
        </w:tc>
        <w:tc>
          <w:tcPr>
            <w:tcW w:w="980" w:type="dxa"/>
            <w:vAlign w:val="bottom"/>
            <w:tcBorders>
              <w:bottom w:val="single" w:sz="8" w:color="888B8D"/>
            </w:tcBorders>
          </w:tcPr>
          <w:p>
            <w:pPr>
              <w:spacing w:after="0"/>
              <w:rPr>
                <w:sz w:val="17"/>
                <w:szCs w:val="17"/>
                <w:color w:val="auto"/>
              </w:rPr>
            </w:pPr>
          </w:p>
        </w:tc>
        <w:tc>
          <w:tcPr>
            <w:tcW w:w="260" w:type="dxa"/>
            <w:vAlign w:val="bottom"/>
            <w:tcBorders>
              <w:bottom w:val="single" w:sz="8" w:color="888B8D"/>
            </w:tcBorders>
          </w:tcPr>
          <w:p>
            <w:pPr>
              <w:spacing w:after="0"/>
              <w:rPr>
                <w:sz w:val="17"/>
                <w:szCs w:val="17"/>
                <w:color w:val="auto"/>
              </w:rPr>
            </w:pPr>
          </w:p>
        </w:tc>
        <w:tc>
          <w:tcPr>
            <w:tcW w:w="940" w:type="dxa"/>
            <w:vAlign w:val="bottom"/>
            <w:tcBorders>
              <w:bottom w:val="single" w:sz="8" w:color="888B8D"/>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160" w:type="dxa"/>
            <w:vAlign w:val="bottom"/>
            <w:tcBorders>
              <w:bottom w:val="single" w:sz="8" w:color="D7282F"/>
            </w:tcBorders>
          </w:tcPr>
          <w:p>
            <w:pPr>
              <w:ind w:left="140"/>
              <w:spacing w:after="0" w:line="200" w:lineRule="exact"/>
              <w:rPr>
                <w:sz w:val="20"/>
                <w:szCs w:val="20"/>
                <w:color w:val="auto"/>
              </w:rPr>
            </w:pPr>
            <w:r>
              <w:rPr>
                <w:rFonts w:ascii="Arial" w:cs="Arial" w:eastAsia="Arial" w:hAnsi="Arial"/>
                <w:sz w:val="14"/>
                <w:szCs w:val="14"/>
                <w:color w:val="auto"/>
              </w:rPr>
              <w:t>Other segment items</w:t>
            </w:r>
            <w:r>
              <w:rPr>
                <w:rFonts w:ascii="Arial" w:cs="Arial" w:eastAsia="Arial" w:hAnsi="Arial"/>
                <w:sz w:val="18"/>
                <w:szCs w:val="18"/>
                <w:color w:val="auto"/>
                <w:vertAlign w:val="superscript"/>
              </w:rPr>
              <w:t>1</w:t>
            </w:r>
          </w:p>
        </w:tc>
        <w:tc>
          <w:tcPr>
            <w:tcW w:w="300" w:type="dxa"/>
            <w:vAlign w:val="bottom"/>
            <w:tcBorders>
              <w:bottom w:val="single" w:sz="8" w:color="D7282F"/>
            </w:tcBorders>
          </w:tcPr>
          <w:p>
            <w:pPr>
              <w:spacing w:after="0"/>
              <w:rPr>
                <w:sz w:val="17"/>
                <w:szCs w:val="17"/>
                <w:color w:val="auto"/>
              </w:rPr>
            </w:pPr>
          </w:p>
        </w:tc>
        <w:tc>
          <w:tcPr>
            <w:tcW w:w="11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1,044</w:t>
            </w:r>
          </w:p>
        </w:tc>
        <w:tc>
          <w:tcPr>
            <w:tcW w:w="260" w:type="dxa"/>
            <w:vAlign w:val="bottom"/>
            <w:tcBorders>
              <w:bottom w:val="single" w:sz="8" w:color="D7282F"/>
            </w:tcBorders>
          </w:tcPr>
          <w:p>
            <w:pPr>
              <w:spacing w:after="0"/>
              <w:rPr>
                <w:sz w:val="17"/>
                <w:szCs w:val="17"/>
                <w:color w:val="auto"/>
              </w:rPr>
            </w:pPr>
          </w:p>
        </w:tc>
        <w:tc>
          <w:tcPr>
            <w:tcW w:w="10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817</w:t>
            </w:r>
          </w:p>
        </w:tc>
        <w:tc>
          <w:tcPr>
            <w:tcW w:w="260" w:type="dxa"/>
            <w:vAlign w:val="bottom"/>
            <w:tcBorders>
              <w:bottom w:val="single" w:sz="8" w:color="D7282F"/>
            </w:tcBorders>
          </w:tcPr>
          <w:p>
            <w:pPr>
              <w:spacing w:after="0"/>
              <w:rPr>
                <w:sz w:val="17"/>
                <w:szCs w:val="17"/>
                <w:color w:val="auto"/>
              </w:rPr>
            </w:pPr>
          </w:p>
        </w:tc>
        <w:tc>
          <w:tcPr>
            <w:tcW w:w="10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423</w:t>
            </w:r>
          </w:p>
        </w:tc>
        <w:tc>
          <w:tcPr>
            <w:tcW w:w="260" w:type="dxa"/>
            <w:vAlign w:val="bottom"/>
            <w:tcBorders>
              <w:bottom w:val="single" w:sz="8" w:color="D7282F"/>
            </w:tcBorders>
          </w:tcPr>
          <w:p>
            <w:pPr>
              <w:spacing w:after="0"/>
              <w:rPr>
                <w:sz w:val="17"/>
                <w:szCs w:val="17"/>
                <w:color w:val="auto"/>
              </w:rPr>
            </w:pPr>
          </w:p>
        </w:tc>
        <w:tc>
          <w:tcPr>
            <w:tcW w:w="12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384</w:t>
            </w:r>
          </w:p>
        </w:tc>
        <w:tc>
          <w:tcPr>
            <w:tcW w:w="260" w:type="dxa"/>
            <w:vAlign w:val="bottom"/>
            <w:tcBorders>
              <w:bottom w:val="single" w:sz="8" w:color="D7282F"/>
            </w:tcBorders>
          </w:tcPr>
          <w:p>
            <w:pPr>
              <w:spacing w:after="0"/>
              <w:rPr>
                <w:sz w:val="17"/>
                <w:szCs w:val="17"/>
                <w:color w:val="auto"/>
              </w:rPr>
            </w:pPr>
          </w:p>
        </w:tc>
        <w:tc>
          <w:tcPr>
            <w:tcW w:w="980" w:type="dxa"/>
            <w:vAlign w:val="bottom"/>
            <w:tcBorders>
              <w:bottom w:val="single" w:sz="8" w:color="D7282F"/>
            </w:tcBorders>
          </w:tcPr>
          <w:p>
            <w:pPr>
              <w:spacing w:after="0"/>
              <w:rPr>
                <w:sz w:val="17"/>
                <w:szCs w:val="17"/>
                <w:color w:val="auto"/>
              </w:rPr>
            </w:pPr>
          </w:p>
        </w:tc>
        <w:tc>
          <w:tcPr>
            <w:tcW w:w="26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16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Segment profit</w:t>
            </w:r>
          </w:p>
        </w:tc>
        <w:tc>
          <w:tcPr>
            <w:tcW w:w="3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3,988</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1,962</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1,681</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1,522</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(454)</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8,699</w:t>
            </w:r>
          </w:p>
        </w:tc>
        <w:tc>
          <w:tcPr>
            <w:tcW w:w="0" w:type="dxa"/>
            <w:vAlign w:val="bottom"/>
          </w:tcPr>
          <w:p>
            <w:pPr>
              <w:spacing w:after="0"/>
              <w:rPr>
                <w:sz w:val="1"/>
                <w:szCs w:val="1"/>
                <w:color w:val="auto"/>
              </w:rPr>
            </w:pPr>
          </w:p>
        </w:tc>
      </w:tr>
      <w:tr>
        <w:trPr>
          <w:trHeight w:val="237"/>
        </w:trPr>
        <w:tc>
          <w:tcPr>
            <w:tcW w:w="3160" w:type="dxa"/>
            <w:vAlign w:val="bottom"/>
            <w:tcBorders>
              <w:bottom w:val="single" w:sz="8" w:color="D7282F"/>
            </w:tcBorders>
          </w:tcPr>
          <w:p>
            <w:pPr>
              <w:spacing w:after="0"/>
              <w:rPr>
                <w:sz w:val="20"/>
                <w:szCs w:val="20"/>
                <w:color w:val="auto"/>
              </w:rPr>
            </w:pPr>
          </w:p>
        </w:tc>
        <w:tc>
          <w:tcPr>
            <w:tcW w:w="300" w:type="dxa"/>
            <w:vAlign w:val="bottom"/>
            <w:tcBorders>
              <w:bottom w:val="single" w:sz="8" w:color="D7282F"/>
            </w:tcBorders>
          </w:tcPr>
          <w:p>
            <w:pPr>
              <w:spacing w:after="0"/>
              <w:rPr>
                <w:sz w:val="20"/>
                <w:szCs w:val="20"/>
                <w:color w:val="auto"/>
              </w:rPr>
            </w:pPr>
          </w:p>
        </w:tc>
        <w:tc>
          <w:tcPr>
            <w:tcW w:w="1180" w:type="dxa"/>
            <w:vAlign w:val="bottom"/>
            <w:tcBorders>
              <w:bottom w:val="single" w:sz="8" w:color="D7282F"/>
            </w:tcBorders>
          </w:tcPr>
          <w:p>
            <w:pPr>
              <w:spacing w:after="0"/>
              <w:rPr>
                <w:sz w:val="20"/>
                <w:szCs w:val="20"/>
                <w:color w:val="auto"/>
              </w:rPr>
            </w:pPr>
          </w:p>
        </w:tc>
        <w:tc>
          <w:tcPr>
            <w:tcW w:w="260" w:type="dxa"/>
            <w:vAlign w:val="bottom"/>
            <w:tcBorders>
              <w:bottom w:val="single" w:sz="8" w:color="D7282F"/>
            </w:tcBorders>
          </w:tcPr>
          <w:p>
            <w:pPr>
              <w:spacing w:after="0"/>
              <w:rPr>
                <w:sz w:val="20"/>
                <w:szCs w:val="20"/>
                <w:color w:val="auto"/>
              </w:rPr>
            </w:pPr>
          </w:p>
        </w:tc>
        <w:tc>
          <w:tcPr>
            <w:tcW w:w="1060" w:type="dxa"/>
            <w:vAlign w:val="bottom"/>
            <w:tcBorders>
              <w:bottom w:val="single" w:sz="8" w:color="D7282F"/>
            </w:tcBorders>
          </w:tcPr>
          <w:p>
            <w:pPr>
              <w:spacing w:after="0"/>
              <w:rPr>
                <w:sz w:val="20"/>
                <w:szCs w:val="20"/>
                <w:color w:val="auto"/>
              </w:rPr>
            </w:pPr>
          </w:p>
        </w:tc>
        <w:tc>
          <w:tcPr>
            <w:tcW w:w="260" w:type="dxa"/>
            <w:vAlign w:val="bottom"/>
            <w:tcBorders>
              <w:bottom w:val="single" w:sz="8" w:color="D7282F"/>
            </w:tcBorders>
          </w:tcPr>
          <w:p>
            <w:pPr>
              <w:spacing w:after="0"/>
              <w:rPr>
                <w:sz w:val="20"/>
                <w:szCs w:val="20"/>
                <w:color w:val="auto"/>
              </w:rPr>
            </w:pPr>
          </w:p>
        </w:tc>
        <w:tc>
          <w:tcPr>
            <w:tcW w:w="1080" w:type="dxa"/>
            <w:vAlign w:val="bottom"/>
            <w:tcBorders>
              <w:bottom w:val="single" w:sz="8" w:color="D7282F"/>
            </w:tcBorders>
          </w:tcPr>
          <w:p>
            <w:pPr>
              <w:spacing w:after="0"/>
              <w:rPr>
                <w:sz w:val="20"/>
                <w:szCs w:val="20"/>
                <w:color w:val="auto"/>
              </w:rPr>
            </w:pPr>
          </w:p>
        </w:tc>
        <w:tc>
          <w:tcPr>
            <w:tcW w:w="260" w:type="dxa"/>
            <w:vAlign w:val="bottom"/>
            <w:tcBorders>
              <w:bottom w:val="single" w:sz="8" w:color="D7282F"/>
            </w:tcBorders>
          </w:tcPr>
          <w:p>
            <w:pPr>
              <w:spacing w:after="0"/>
              <w:rPr>
                <w:sz w:val="20"/>
                <w:szCs w:val="20"/>
                <w:color w:val="auto"/>
              </w:rPr>
            </w:pPr>
          </w:p>
        </w:tc>
        <w:tc>
          <w:tcPr>
            <w:tcW w:w="1240" w:type="dxa"/>
            <w:vAlign w:val="bottom"/>
            <w:tcBorders>
              <w:bottom w:val="single" w:sz="8" w:color="D7282F"/>
            </w:tcBorders>
          </w:tcPr>
          <w:p>
            <w:pPr>
              <w:spacing w:after="0"/>
              <w:rPr>
                <w:sz w:val="20"/>
                <w:szCs w:val="20"/>
                <w:color w:val="auto"/>
              </w:rPr>
            </w:pPr>
          </w:p>
        </w:tc>
        <w:tc>
          <w:tcPr>
            <w:tcW w:w="260" w:type="dxa"/>
            <w:vAlign w:val="bottom"/>
            <w:tcBorders>
              <w:bottom w:val="single" w:sz="8" w:color="D7282F"/>
            </w:tcBorders>
          </w:tcPr>
          <w:p>
            <w:pPr>
              <w:spacing w:after="0"/>
              <w:rPr>
                <w:sz w:val="20"/>
                <w:szCs w:val="20"/>
                <w:color w:val="auto"/>
              </w:rPr>
            </w:pPr>
          </w:p>
        </w:tc>
        <w:tc>
          <w:tcPr>
            <w:tcW w:w="980" w:type="dxa"/>
            <w:vAlign w:val="bottom"/>
            <w:tcBorders>
              <w:bottom w:val="single" w:sz="8" w:color="D7282F"/>
            </w:tcBorders>
          </w:tcPr>
          <w:p>
            <w:pPr>
              <w:spacing w:after="0"/>
              <w:rPr>
                <w:sz w:val="20"/>
                <w:szCs w:val="20"/>
                <w:color w:val="auto"/>
              </w:rPr>
            </w:pPr>
          </w:p>
        </w:tc>
        <w:tc>
          <w:tcPr>
            <w:tcW w:w="260" w:type="dxa"/>
            <w:vAlign w:val="bottom"/>
            <w:tcBorders>
              <w:bottom w:val="single" w:sz="8" w:color="D7282F"/>
            </w:tcBorders>
          </w:tcPr>
          <w:p>
            <w:pPr>
              <w:spacing w:after="0"/>
              <w:rPr>
                <w:sz w:val="20"/>
                <w:szCs w:val="20"/>
                <w:color w:val="auto"/>
              </w:rPr>
            </w:pPr>
          </w:p>
        </w:tc>
        <w:tc>
          <w:tcPr>
            <w:tcW w:w="940" w:type="dxa"/>
            <w:vAlign w:val="bottom"/>
            <w:tcBorders>
              <w:bottom w:val="single" w:sz="8" w:color="D7282F"/>
            </w:tcBorders>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316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Depreciation and amortization</w:t>
            </w:r>
          </w:p>
        </w:tc>
        <w:tc>
          <w:tcPr>
            <w:tcW w:w="3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299</w:t>
            </w:r>
          </w:p>
        </w:tc>
        <w:tc>
          <w:tcPr>
            <w:tcW w:w="2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362</w:t>
            </w:r>
          </w:p>
        </w:tc>
        <w:tc>
          <w:tcPr>
            <w:tcW w:w="2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198</w:t>
            </w:r>
          </w:p>
        </w:tc>
        <w:tc>
          <w:tcPr>
            <w:tcW w:w="2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285</w:t>
            </w:r>
          </w:p>
        </w:tc>
        <w:tc>
          <w:tcPr>
            <w:tcW w:w="2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190</w:t>
            </w:r>
          </w:p>
        </w:tc>
        <w:tc>
          <w:tcPr>
            <w:tcW w:w="2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1,334</w:t>
            </w:r>
          </w:p>
        </w:tc>
        <w:tc>
          <w:tcPr>
            <w:tcW w:w="0" w:type="dxa"/>
            <w:vAlign w:val="bottom"/>
          </w:tcPr>
          <w:p>
            <w:pPr>
              <w:spacing w:after="0"/>
              <w:rPr>
                <w:sz w:val="1"/>
                <w:szCs w:val="1"/>
                <w:color w:val="auto"/>
              </w:rPr>
            </w:pPr>
          </w:p>
        </w:tc>
      </w:tr>
      <w:tr>
        <w:trPr>
          <w:trHeight w:val="196"/>
        </w:trPr>
        <w:tc>
          <w:tcPr>
            <w:tcW w:w="316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Capital expenditures</w:t>
            </w:r>
          </w:p>
        </w:tc>
        <w:tc>
          <w:tcPr>
            <w:tcW w:w="300" w:type="dxa"/>
            <w:vAlign w:val="bottom"/>
            <w:tcBorders>
              <w:bottom w:val="single" w:sz="8" w:color="888B8D"/>
            </w:tcBorders>
          </w:tcPr>
          <w:p>
            <w:pPr>
              <w:spacing w:after="0"/>
              <w:rPr>
                <w:sz w:val="17"/>
                <w:szCs w:val="17"/>
                <w:color w:val="auto"/>
              </w:rPr>
            </w:pPr>
          </w:p>
        </w:tc>
        <w:tc>
          <w:tcPr>
            <w:tcW w:w="118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371</w:t>
            </w:r>
          </w:p>
        </w:tc>
        <w:tc>
          <w:tcPr>
            <w:tcW w:w="260" w:type="dxa"/>
            <w:vAlign w:val="bottom"/>
            <w:tcBorders>
              <w:bottom w:val="single" w:sz="8" w:color="888B8D"/>
            </w:tcBorders>
          </w:tcPr>
          <w:p>
            <w:pPr>
              <w:spacing w:after="0"/>
              <w:rPr>
                <w:sz w:val="17"/>
                <w:szCs w:val="17"/>
                <w:color w:val="auto"/>
              </w:rPr>
            </w:pPr>
          </w:p>
        </w:tc>
        <w:tc>
          <w:tcPr>
            <w:tcW w:w="106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214</w:t>
            </w:r>
          </w:p>
        </w:tc>
        <w:tc>
          <w:tcPr>
            <w:tcW w:w="260" w:type="dxa"/>
            <w:vAlign w:val="bottom"/>
            <w:tcBorders>
              <w:bottom w:val="single" w:sz="8" w:color="888B8D"/>
            </w:tcBorders>
          </w:tcPr>
          <w:p>
            <w:pPr>
              <w:spacing w:after="0"/>
              <w:rPr>
                <w:sz w:val="17"/>
                <w:szCs w:val="17"/>
                <w:color w:val="auto"/>
              </w:rPr>
            </w:pPr>
          </w:p>
        </w:tc>
        <w:tc>
          <w:tcPr>
            <w:tcW w:w="108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78</w:t>
            </w:r>
          </w:p>
        </w:tc>
        <w:tc>
          <w:tcPr>
            <w:tcW w:w="260" w:type="dxa"/>
            <w:vAlign w:val="bottom"/>
            <w:tcBorders>
              <w:bottom w:val="single" w:sz="8" w:color="888B8D"/>
            </w:tcBorders>
          </w:tcPr>
          <w:p>
            <w:pPr>
              <w:spacing w:after="0"/>
              <w:rPr>
                <w:sz w:val="17"/>
                <w:szCs w:val="17"/>
                <w:color w:val="auto"/>
              </w:rPr>
            </w:pPr>
          </w:p>
        </w:tc>
        <w:tc>
          <w:tcPr>
            <w:tcW w:w="124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373</w:t>
            </w:r>
          </w:p>
        </w:tc>
        <w:tc>
          <w:tcPr>
            <w:tcW w:w="260" w:type="dxa"/>
            <w:vAlign w:val="bottom"/>
            <w:tcBorders>
              <w:bottom w:val="single" w:sz="8" w:color="888B8D"/>
            </w:tcBorders>
          </w:tcPr>
          <w:p>
            <w:pPr>
              <w:spacing w:after="0"/>
              <w:rPr>
                <w:sz w:val="17"/>
                <w:szCs w:val="17"/>
                <w:color w:val="auto"/>
              </w:rPr>
            </w:pPr>
          </w:p>
        </w:tc>
        <w:tc>
          <w:tcPr>
            <w:tcW w:w="98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128</w:t>
            </w:r>
          </w:p>
        </w:tc>
        <w:tc>
          <w:tcPr>
            <w:tcW w:w="260" w:type="dxa"/>
            <w:vAlign w:val="bottom"/>
            <w:tcBorders>
              <w:bottom w:val="single" w:sz="8" w:color="888B8D"/>
            </w:tcBorders>
          </w:tcPr>
          <w:p>
            <w:pPr>
              <w:spacing w:after="0"/>
              <w:rPr>
                <w:sz w:val="17"/>
                <w:szCs w:val="17"/>
                <w:color w:val="auto"/>
              </w:rPr>
            </w:pPr>
          </w:p>
        </w:tc>
        <w:tc>
          <w:tcPr>
            <w:tcW w:w="9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1,164</w:t>
            </w:r>
          </w:p>
        </w:tc>
        <w:tc>
          <w:tcPr>
            <w:tcW w:w="0" w:type="dxa"/>
            <w:vAlign w:val="bottom"/>
          </w:tcPr>
          <w:p>
            <w:pPr>
              <w:spacing w:after="0"/>
              <w:rPr>
                <w:sz w:val="1"/>
                <w:szCs w:val="1"/>
                <w:color w:val="auto"/>
              </w:rPr>
            </w:pPr>
          </w:p>
        </w:tc>
      </w:tr>
      <w:tr>
        <w:trPr>
          <w:trHeight w:val="196"/>
        </w:trPr>
        <w:tc>
          <w:tcPr>
            <w:tcW w:w="316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Total assets</w:t>
            </w:r>
          </w:p>
        </w:tc>
        <w:tc>
          <w:tcPr>
            <w:tcW w:w="300" w:type="dxa"/>
            <w:vAlign w:val="bottom"/>
            <w:tcBorders>
              <w:bottom w:val="single" w:sz="8" w:color="D7282F"/>
            </w:tcBorders>
          </w:tcPr>
          <w:p>
            <w:pPr>
              <w:spacing w:after="0"/>
              <w:rPr>
                <w:sz w:val="17"/>
                <w:szCs w:val="17"/>
                <w:color w:val="auto"/>
              </w:rPr>
            </w:pPr>
          </w:p>
        </w:tc>
        <w:tc>
          <w:tcPr>
            <w:tcW w:w="11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16,966</w:t>
            </w:r>
          </w:p>
        </w:tc>
        <w:tc>
          <w:tcPr>
            <w:tcW w:w="260" w:type="dxa"/>
            <w:vAlign w:val="bottom"/>
            <w:tcBorders>
              <w:bottom w:val="single" w:sz="8" w:color="D7282F"/>
            </w:tcBorders>
          </w:tcPr>
          <w:p>
            <w:pPr>
              <w:spacing w:after="0"/>
              <w:rPr>
                <w:sz w:val="17"/>
                <w:szCs w:val="17"/>
                <w:color w:val="auto"/>
              </w:rPr>
            </w:pPr>
          </w:p>
        </w:tc>
        <w:tc>
          <w:tcPr>
            <w:tcW w:w="10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21,035</w:t>
            </w:r>
          </w:p>
        </w:tc>
        <w:tc>
          <w:tcPr>
            <w:tcW w:w="260" w:type="dxa"/>
            <w:vAlign w:val="bottom"/>
            <w:tcBorders>
              <w:bottom w:val="single" w:sz="8" w:color="D7282F"/>
            </w:tcBorders>
          </w:tcPr>
          <w:p>
            <w:pPr>
              <w:spacing w:after="0"/>
              <w:rPr>
                <w:sz w:val="17"/>
                <w:szCs w:val="17"/>
                <w:color w:val="auto"/>
              </w:rPr>
            </w:pPr>
          </w:p>
        </w:tc>
        <w:tc>
          <w:tcPr>
            <w:tcW w:w="10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11,438</w:t>
            </w:r>
          </w:p>
        </w:tc>
        <w:tc>
          <w:tcPr>
            <w:tcW w:w="260" w:type="dxa"/>
            <w:vAlign w:val="bottom"/>
            <w:tcBorders>
              <w:bottom w:val="single" w:sz="8" w:color="D7282F"/>
            </w:tcBorders>
          </w:tcPr>
          <w:p>
            <w:pPr>
              <w:spacing w:after="0"/>
              <w:rPr>
                <w:sz w:val="17"/>
                <w:szCs w:val="17"/>
                <w:color w:val="auto"/>
              </w:rPr>
            </w:pPr>
          </w:p>
        </w:tc>
        <w:tc>
          <w:tcPr>
            <w:tcW w:w="12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10,337</w:t>
            </w:r>
          </w:p>
        </w:tc>
        <w:tc>
          <w:tcPr>
            <w:tcW w:w="260" w:type="dxa"/>
            <w:vAlign w:val="bottom"/>
            <w:tcBorders>
              <w:bottom w:val="single" w:sz="8" w:color="D7282F"/>
            </w:tcBorders>
          </w:tcPr>
          <w:p>
            <w:pPr>
              <w:spacing w:after="0"/>
              <w:rPr>
                <w:sz w:val="17"/>
                <w:szCs w:val="17"/>
                <w:color w:val="auto"/>
              </w:rPr>
            </w:pPr>
          </w:p>
        </w:tc>
        <w:tc>
          <w:tcPr>
            <w:tcW w:w="9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15,420</w:t>
            </w:r>
          </w:p>
        </w:tc>
        <w:tc>
          <w:tcPr>
            <w:tcW w:w="26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75,196</w:t>
            </w:r>
          </w:p>
        </w:tc>
        <w:tc>
          <w:tcPr>
            <w:tcW w:w="0" w:type="dxa"/>
            <w:vAlign w:val="bottom"/>
          </w:tcPr>
          <w:p>
            <w:pPr>
              <w:spacing w:after="0"/>
              <w:rPr>
                <w:sz w:val="1"/>
                <w:szCs w:val="1"/>
                <w:color w:val="auto"/>
              </w:rPr>
            </w:pPr>
          </w:p>
        </w:tc>
      </w:tr>
    </w:tbl>
    <w:p>
      <w:pPr>
        <w:spacing w:after="0" w:line="158" w:lineRule="exact"/>
        <w:rPr>
          <w:sz w:val="20"/>
          <w:szCs w:val="20"/>
          <w:color w:val="auto"/>
        </w:rPr>
      </w:pPr>
    </w:p>
    <w:p>
      <w:pPr>
        <w:jc w:val="both"/>
        <w:ind w:left="480" w:right="20" w:hanging="344"/>
        <w:spacing w:after="0" w:line="194" w:lineRule="auto"/>
        <w:tabs>
          <w:tab w:leader="none" w:pos="480" w:val="left"/>
        </w:tabs>
        <w:numPr>
          <w:ilvl w:val="0"/>
          <w:numId w:val="174"/>
        </w:numPr>
        <w:rPr>
          <w:rFonts w:ascii="Arial" w:cs="Arial" w:eastAsia="Arial" w:hAnsi="Arial"/>
          <w:sz w:val="25"/>
          <w:szCs w:val="25"/>
          <w:color w:val="auto"/>
          <w:vertAlign w:val="superscript"/>
        </w:rPr>
      </w:pPr>
      <w:r>
        <w:rPr>
          <w:rFonts w:ascii="Arial" w:cs="Arial" w:eastAsia="Arial" w:hAnsi="Arial"/>
          <w:sz w:val="13"/>
          <w:szCs w:val="13"/>
          <w:color w:val="auto"/>
        </w:rPr>
        <w:t>For each reportable segment, the other segment items category includes research and development expenses, equity income of affiliated companies and certain allocated overhead expenses, which are comprised of salaries and fringe benefits, professional &amp; purchased services, and other indirect spend across core corporate functions such as central IT, corporate finance, human resources, supply chain, legal, government relations, and other corporate functions.</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Aerospace</w:t>
            </w:r>
          </w:p>
        </w:tc>
        <w:tc>
          <w:tcPr>
            <w:tcW w:w="260" w:type="dxa"/>
            <w:vAlign w:val="bottom"/>
          </w:tcPr>
          <w:p>
            <w:pPr>
              <w:spacing w:after="0"/>
              <w:rPr>
                <w:sz w:val="15"/>
                <w:szCs w:val="15"/>
                <w:color w:val="auto"/>
              </w:rPr>
            </w:pPr>
          </w:p>
        </w:tc>
        <w:tc>
          <w:tcPr>
            <w:tcW w:w="106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Industrial</w:t>
            </w:r>
          </w:p>
        </w:tc>
        <w:tc>
          <w:tcPr>
            <w:tcW w:w="260" w:type="dxa"/>
            <w:vAlign w:val="bottom"/>
          </w:tcPr>
          <w:p>
            <w:pPr>
              <w:spacing w:after="0"/>
              <w:rPr>
                <w:sz w:val="15"/>
                <w:szCs w:val="15"/>
                <w:color w:val="auto"/>
              </w:rPr>
            </w:pPr>
          </w:p>
        </w:tc>
        <w:tc>
          <w:tcPr>
            <w:tcW w:w="108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Building</w:t>
            </w:r>
          </w:p>
        </w:tc>
        <w:tc>
          <w:tcPr>
            <w:tcW w:w="260" w:type="dxa"/>
            <w:vAlign w:val="bottom"/>
          </w:tcPr>
          <w:p>
            <w:pPr>
              <w:spacing w:after="0"/>
              <w:rPr>
                <w:sz w:val="15"/>
                <w:szCs w:val="15"/>
                <w:color w:val="auto"/>
              </w:rPr>
            </w:pPr>
          </w:p>
        </w:tc>
        <w:tc>
          <w:tcPr>
            <w:tcW w:w="1240" w:type="dxa"/>
            <w:vAlign w:val="bottom"/>
          </w:tcPr>
          <w:p>
            <w:pPr>
              <w:jc w:val="center"/>
              <w:ind w:right="148"/>
              <w:spacing w:after="0"/>
              <w:rPr>
                <w:sz w:val="20"/>
                <w:szCs w:val="20"/>
                <w:color w:val="auto"/>
              </w:rPr>
            </w:pPr>
            <w:r>
              <w:rPr>
                <w:rFonts w:ascii="Arial" w:cs="Arial" w:eastAsia="Arial" w:hAnsi="Arial"/>
                <w:sz w:val="14"/>
                <w:szCs w:val="14"/>
                <w:b w:val="1"/>
                <w:bCs w:val="1"/>
                <w:color w:val="auto"/>
              </w:rPr>
              <w:t>Energy and</w:t>
            </w:r>
          </w:p>
        </w:tc>
        <w:tc>
          <w:tcPr>
            <w:tcW w:w="260" w:type="dxa"/>
            <w:vAlign w:val="bottom"/>
          </w:tcPr>
          <w:p>
            <w:pPr>
              <w:spacing w:after="0"/>
              <w:rPr>
                <w:sz w:val="15"/>
                <w:szCs w:val="15"/>
                <w:color w:val="auto"/>
              </w:rPr>
            </w:pPr>
          </w:p>
        </w:tc>
        <w:tc>
          <w:tcPr>
            <w:tcW w:w="98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Corporate</w:t>
            </w:r>
          </w:p>
        </w:tc>
        <w:tc>
          <w:tcPr>
            <w:tcW w:w="260" w:type="dxa"/>
            <w:vAlign w:val="bottom"/>
          </w:tcPr>
          <w:p>
            <w:pPr>
              <w:spacing w:after="0"/>
              <w:rPr>
                <w:sz w:val="15"/>
                <w:szCs w:val="15"/>
                <w:color w:val="auto"/>
              </w:rPr>
            </w:pPr>
          </w:p>
        </w:tc>
        <w:tc>
          <w:tcPr>
            <w:tcW w:w="94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3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jc w:val="center"/>
              <w:ind w:right="148"/>
              <w:spacing w:after="0"/>
              <w:rPr>
                <w:sz w:val="20"/>
                <w:szCs w:val="20"/>
                <w:color w:val="auto"/>
              </w:rPr>
            </w:pPr>
            <w:r>
              <w:rPr>
                <w:rFonts w:ascii="Arial" w:cs="Arial" w:eastAsia="Arial" w:hAnsi="Arial"/>
                <w:sz w:val="14"/>
                <w:szCs w:val="14"/>
                <w:b w:val="1"/>
                <w:bCs w:val="1"/>
                <w:color w:val="auto"/>
              </w:rPr>
              <w:t>Sustainability</w:t>
            </w:r>
          </w:p>
        </w:tc>
        <w:tc>
          <w:tcPr>
            <w:tcW w:w="26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316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Year Ended December 31, 2023</w:t>
            </w:r>
          </w:p>
        </w:tc>
        <w:tc>
          <w:tcPr>
            <w:tcW w:w="300" w:type="dxa"/>
            <w:vAlign w:val="bottom"/>
            <w:tcBorders>
              <w:bottom w:val="single" w:sz="8" w:color="D7282F"/>
            </w:tcBorders>
          </w:tcPr>
          <w:p>
            <w:pPr>
              <w:spacing w:after="0"/>
              <w:rPr>
                <w:sz w:val="18"/>
                <w:szCs w:val="18"/>
                <w:color w:val="auto"/>
              </w:rPr>
            </w:pPr>
          </w:p>
        </w:tc>
        <w:tc>
          <w:tcPr>
            <w:tcW w:w="118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Technologies</w:t>
            </w:r>
          </w:p>
        </w:tc>
        <w:tc>
          <w:tcPr>
            <w:tcW w:w="260" w:type="dxa"/>
            <w:vAlign w:val="bottom"/>
            <w:tcBorders>
              <w:bottom w:val="single" w:sz="8" w:color="D7282F"/>
            </w:tcBorders>
          </w:tcPr>
          <w:p>
            <w:pPr>
              <w:spacing w:after="0"/>
              <w:rPr>
                <w:sz w:val="18"/>
                <w:szCs w:val="18"/>
                <w:color w:val="auto"/>
              </w:rPr>
            </w:pPr>
          </w:p>
        </w:tc>
        <w:tc>
          <w:tcPr>
            <w:tcW w:w="106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Automation</w:t>
            </w:r>
          </w:p>
        </w:tc>
        <w:tc>
          <w:tcPr>
            <w:tcW w:w="260" w:type="dxa"/>
            <w:vAlign w:val="bottom"/>
            <w:tcBorders>
              <w:bottom w:val="single" w:sz="8" w:color="D7282F"/>
            </w:tcBorders>
          </w:tcPr>
          <w:p>
            <w:pPr>
              <w:spacing w:after="0"/>
              <w:rPr>
                <w:sz w:val="18"/>
                <w:szCs w:val="18"/>
                <w:color w:val="auto"/>
              </w:rPr>
            </w:pPr>
          </w:p>
        </w:tc>
        <w:tc>
          <w:tcPr>
            <w:tcW w:w="1080" w:type="dxa"/>
            <w:vAlign w:val="bottom"/>
            <w:tcBorders>
              <w:bottom w:val="single" w:sz="8" w:color="D7282F"/>
            </w:tcBorders>
          </w:tcPr>
          <w:p>
            <w:pPr>
              <w:jc w:val="right"/>
              <w:ind w:right="188"/>
              <w:spacing w:after="0"/>
              <w:rPr>
                <w:sz w:val="20"/>
                <w:szCs w:val="20"/>
                <w:color w:val="auto"/>
              </w:rPr>
            </w:pPr>
            <w:r>
              <w:rPr>
                <w:rFonts w:ascii="Arial" w:cs="Arial" w:eastAsia="Arial" w:hAnsi="Arial"/>
                <w:sz w:val="14"/>
                <w:szCs w:val="14"/>
                <w:b w:val="1"/>
                <w:bCs w:val="1"/>
                <w:color w:val="auto"/>
              </w:rPr>
              <w:t>Automation</w:t>
            </w:r>
          </w:p>
        </w:tc>
        <w:tc>
          <w:tcPr>
            <w:tcW w:w="260" w:type="dxa"/>
            <w:vAlign w:val="bottom"/>
            <w:tcBorders>
              <w:bottom w:val="single" w:sz="8" w:color="D7282F"/>
            </w:tcBorders>
          </w:tcPr>
          <w:p>
            <w:pPr>
              <w:spacing w:after="0"/>
              <w:rPr>
                <w:sz w:val="18"/>
                <w:szCs w:val="18"/>
                <w:color w:val="auto"/>
              </w:rPr>
            </w:pPr>
          </w:p>
        </w:tc>
        <w:tc>
          <w:tcPr>
            <w:tcW w:w="1240" w:type="dxa"/>
            <w:vAlign w:val="bottom"/>
            <w:tcBorders>
              <w:bottom w:val="single" w:sz="8" w:color="D7282F"/>
            </w:tcBorders>
          </w:tcPr>
          <w:p>
            <w:pPr>
              <w:jc w:val="center"/>
              <w:ind w:right="148"/>
              <w:spacing w:after="0"/>
              <w:rPr>
                <w:sz w:val="20"/>
                <w:szCs w:val="20"/>
                <w:color w:val="auto"/>
              </w:rPr>
            </w:pPr>
            <w:r>
              <w:rPr>
                <w:rFonts w:ascii="Arial" w:cs="Arial" w:eastAsia="Arial" w:hAnsi="Arial"/>
                <w:sz w:val="14"/>
                <w:szCs w:val="14"/>
                <w:b w:val="1"/>
                <w:bCs w:val="1"/>
                <w:color w:val="auto"/>
              </w:rPr>
              <w:t>Solutions</w:t>
            </w:r>
          </w:p>
        </w:tc>
        <w:tc>
          <w:tcPr>
            <w:tcW w:w="1240" w:type="dxa"/>
            <w:vAlign w:val="bottom"/>
            <w:tcBorders>
              <w:bottom w:val="single" w:sz="8" w:color="D7282F"/>
            </w:tcBorders>
            <w:gridSpan w:val="2"/>
          </w:tcPr>
          <w:p>
            <w:pPr>
              <w:jc w:val="right"/>
              <w:ind w:right="88"/>
              <w:spacing w:after="0"/>
              <w:rPr>
                <w:sz w:val="20"/>
                <w:szCs w:val="20"/>
                <w:color w:val="auto"/>
              </w:rPr>
            </w:pPr>
            <w:r>
              <w:rPr>
                <w:rFonts w:ascii="Arial" w:cs="Arial" w:eastAsia="Arial" w:hAnsi="Arial"/>
                <w:sz w:val="14"/>
                <w:szCs w:val="14"/>
                <w:b w:val="1"/>
                <w:bCs w:val="1"/>
                <w:color w:val="auto"/>
              </w:rPr>
              <w:t>and All Other</w:t>
            </w:r>
          </w:p>
        </w:tc>
        <w:tc>
          <w:tcPr>
            <w:tcW w:w="260" w:type="dxa"/>
            <w:vAlign w:val="bottom"/>
            <w:tcBorders>
              <w:bottom w:val="single" w:sz="8" w:color="D7282F"/>
            </w:tcBorders>
          </w:tcPr>
          <w:p>
            <w:pPr>
              <w:spacing w:after="0"/>
              <w:rPr>
                <w:sz w:val="18"/>
                <w:szCs w:val="18"/>
                <w:color w:val="auto"/>
              </w:rPr>
            </w:pPr>
          </w:p>
        </w:tc>
        <w:tc>
          <w:tcPr>
            <w:tcW w:w="9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Honeywell</w:t>
            </w:r>
          </w:p>
        </w:tc>
        <w:tc>
          <w:tcPr>
            <w:tcW w:w="0" w:type="dxa"/>
            <w:vAlign w:val="bottom"/>
          </w:tcPr>
          <w:p>
            <w:pPr>
              <w:spacing w:after="0"/>
              <w:rPr>
                <w:sz w:val="1"/>
                <w:szCs w:val="1"/>
                <w:color w:val="auto"/>
              </w:rPr>
            </w:pPr>
          </w:p>
        </w:tc>
      </w:tr>
      <w:tr>
        <w:trPr>
          <w:trHeight w:val="196"/>
        </w:trPr>
        <w:tc>
          <w:tcPr>
            <w:tcW w:w="3160" w:type="dxa"/>
            <w:vAlign w:val="bottom"/>
            <w:tcBorders>
              <w:bottom w:val="single" w:sz="8" w:color="888B8D"/>
            </w:tcBorders>
          </w:tcPr>
          <w:p>
            <w:pPr>
              <w:ind w:left="20"/>
              <w:spacing w:after="0"/>
              <w:rPr>
                <w:sz w:val="20"/>
                <w:szCs w:val="20"/>
                <w:color w:val="auto"/>
              </w:rPr>
            </w:pPr>
            <w:r>
              <w:rPr>
                <w:rFonts w:ascii="Arial" w:cs="Arial" w:eastAsia="Arial" w:hAnsi="Arial"/>
                <w:sz w:val="14"/>
                <w:szCs w:val="14"/>
                <w:b w:val="1"/>
                <w:bCs w:val="1"/>
                <w:color w:val="auto"/>
              </w:rPr>
              <w:t>Net sales</w:t>
            </w:r>
          </w:p>
        </w:tc>
        <w:tc>
          <w:tcPr>
            <w:tcW w:w="300" w:type="dxa"/>
            <w:vAlign w:val="bottom"/>
            <w:tcBorders>
              <w:bottom w:val="single" w:sz="8" w:color="888B8D"/>
            </w:tcBorders>
          </w:tcPr>
          <w:p>
            <w:pPr>
              <w:spacing w:after="0"/>
              <w:rPr>
                <w:sz w:val="17"/>
                <w:szCs w:val="17"/>
                <w:color w:val="auto"/>
              </w:rPr>
            </w:pPr>
          </w:p>
        </w:tc>
        <w:tc>
          <w:tcPr>
            <w:tcW w:w="1180" w:type="dxa"/>
            <w:vAlign w:val="bottom"/>
            <w:tcBorders>
              <w:bottom w:val="single" w:sz="8" w:color="888B8D"/>
            </w:tcBorders>
          </w:tcPr>
          <w:p>
            <w:pPr>
              <w:spacing w:after="0"/>
              <w:rPr>
                <w:sz w:val="17"/>
                <w:szCs w:val="17"/>
                <w:color w:val="auto"/>
              </w:rPr>
            </w:pPr>
          </w:p>
        </w:tc>
        <w:tc>
          <w:tcPr>
            <w:tcW w:w="260" w:type="dxa"/>
            <w:vAlign w:val="bottom"/>
            <w:tcBorders>
              <w:bottom w:val="single" w:sz="8" w:color="888B8D"/>
            </w:tcBorders>
          </w:tcPr>
          <w:p>
            <w:pPr>
              <w:spacing w:after="0"/>
              <w:rPr>
                <w:sz w:val="17"/>
                <w:szCs w:val="17"/>
                <w:color w:val="auto"/>
              </w:rPr>
            </w:pPr>
          </w:p>
        </w:tc>
        <w:tc>
          <w:tcPr>
            <w:tcW w:w="1060" w:type="dxa"/>
            <w:vAlign w:val="bottom"/>
            <w:tcBorders>
              <w:bottom w:val="single" w:sz="8" w:color="888B8D"/>
            </w:tcBorders>
          </w:tcPr>
          <w:p>
            <w:pPr>
              <w:spacing w:after="0"/>
              <w:rPr>
                <w:sz w:val="17"/>
                <w:szCs w:val="17"/>
                <w:color w:val="auto"/>
              </w:rPr>
            </w:pPr>
          </w:p>
        </w:tc>
        <w:tc>
          <w:tcPr>
            <w:tcW w:w="260" w:type="dxa"/>
            <w:vAlign w:val="bottom"/>
            <w:tcBorders>
              <w:bottom w:val="single" w:sz="8" w:color="888B8D"/>
            </w:tcBorders>
          </w:tcPr>
          <w:p>
            <w:pPr>
              <w:spacing w:after="0"/>
              <w:rPr>
                <w:sz w:val="17"/>
                <w:szCs w:val="17"/>
                <w:color w:val="auto"/>
              </w:rPr>
            </w:pPr>
          </w:p>
        </w:tc>
        <w:tc>
          <w:tcPr>
            <w:tcW w:w="1080" w:type="dxa"/>
            <w:vAlign w:val="bottom"/>
            <w:tcBorders>
              <w:bottom w:val="single" w:sz="8" w:color="888B8D"/>
            </w:tcBorders>
          </w:tcPr>
          <w:p>
            <w:pPr>
              <w:spacing w:after="0"/>
              <w:rPr>
                <w:sz w:val="17"/>
                <w:szCs w:val="17"/>
                <w:color w:val="auto"/>
              </w:rPr>
            </w:pPr>
          </w:p>
        </w:tc>
        <w:tc>
          <w:tcPr>
            <w:tcW w:w="260" w:type="dxa"/>
            <w:vAlign w:val="bottom"/>
            <w:tcBorders>
              <w:bottom w:val="single" w:sz="8" w:color="888B8D"/>
            </w:tcBorders>
          </w:tcPr>
          <w:p>
            <w:pPr>
              <w:spacing w:after="0"/>
              <w:rPr>
                <w:sz w:val="17"/>
                <w:szCs w:val="17"/>
                <w:color w:val="auto"/>
              </w:rPr>
            </w:pPr>
          </w:p>
        </w:tc>
        <w:tc>
          <w:tcPr>
            <w:tcW w:w="1240" w:type="dxa"/>
            <w:vAlign w:val="bottom"/>
            <w:tcBorders>
              <w:bottom w:val="single" w:sz="8" w:color="888B8D"/>
            </w:tcBorders>
          </w:tcPr>
          <w:p>
            <w:pPr>
              <w:spacing w:after="0"/>
              <w:rPr>
                <w:sz w:val="17"/>
                <w:szCs w:val="17"/>
                <w:color w:val="auto"/>
              </w:rPr>
            </w:pPr>
          </w:p>
        </w:tc>
        <w:tc>
          <w:tcPr>
            <w:tcW w:w="260" w:type="dxa"/>
            <w:vAlign w:val="bottom"/>
            <w:tcBorders>
              <w:bottom w:val="single" w:sz="8" w:color="888B8D"/>
            </w:tcBorders>
          </w:tcPr>
          <w:p>
            <w:pPr>
              <w:spacing w:after="0"/>
              <w:rPr>
                <w:sz w:val="17"/>
                <w:szCs w:val="17"/>
                <w:color w:val="auto"/>
              </w:rPr>
            </w:pPr>
          </w:p>
        </w:tc>
        <w:tc>
          <w:tcPr>
            <w:tcW w:w="980" w:type="dxa"/>
            <w:vAlign w:val="bottom"/>
            <w:tcBorders>
              <w:bottom w:val="single" w:sz="8" w:color="888B8D"/>
            </w:tcBorders>
          </w:tcPr>
          <w:p>
            <w:pPr>
              <w:spacing w:after="0"/>
              <w:rPr>
                <w:sz w:val="17"/>
                <w:szCs w:val="17"/>
                <w:color w:val="auto"/>
              </w:rPr>
            </w:pPr>
          </w:p>
        </w:tc>
        <w:tc>
          <w:tcPr>
            <w:tcW w:w="260" w:type="dxa"/>
            <w:vAlign w:val="bottom"/>
            <w:tcBorders>
              <w:bottom w:val="single" w:sz="8" w:color="888B8D"/>
            </w:tcBorders>
          </w:tcPr>
          <w:p>
            <w:pPr>
              <w:spacing w:after="0"/>
              <w:rPr>
                <w:sz w:val="17"/>
                <w:szCs w:val="17"/>
                <w:color w:val="auto"/>
              </w:rPr>
            </w:pPr>
          </w:p>
        </w:tc>
        <w:tc>
          <w:tcPr>
            <w:tcW w:w="940" w:type="dxa"/>
            <w:vAlign w:val="bottom"/>
            <w:tcBorders>
              <w:bottom w:val="single" w:sz="8" w:color="888B8D"/>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16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Products</w:t>
            </w:r>
          </w:p>
        </w:tc>
        <w:tc>
          <w:tcPr>
            <w:tcW w:w="3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7,316</w:t>
            </w:r>
          </w:p>
        </w:tc>
        <w:tc>
          <w:tcPr>
            <w:tcW w:w="2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8,176</w:t>
            </w:r>
          </w:p>
        </w:tc>
        <w:tc>
          <w:tcPr>
            <w:tcW w:w="2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4,599</w:t>
            </w:r>
          </w:p>
        </w:tc>
        <w:tc>
          <w:tcPr>
            <w:tcW w:w="2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5,682</w:t>
            </w:r>
          </w:p>
        </w:tc>
        <w:tc>
          <w:tcPr>
            <w:tcW w:w="2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25,773</w:t>
            </w:r>
          </w:p>
        </w:tc>
        <w:tc>
          <w:tcPr>
            <w:tcW w:w="0" w:type="dxa"/>
            <w:vAlign w:val="bottom"/>
          </w:tcPr>
          <w:p>
            <w:pPr>
              <w:spacing w:after="0"/>
              <w:rPr>
                <w:sz w:val="1"/>
                <w:szCs w:val="1"/>
                <w:color w:val="auto"/>
              </w:rPr>
            </w:pPr>
          </w:p>
        </w:tc>
      </w:tr>
      <w:tr>
        <w:trPr>
          <w:trHeight w:val="196"/>
        </w:trPr>
        <w:tc>
          <w:tcPr>
            <w:tcW w:w="316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Services</w:t>
            </w:r>
          </w:p>
        </w:tc>
        <w:tc>
          <w:tcPr>
            <w:tcW w:w="300" w:type="dxa"/>
            <w:vAlign w:val="bottom"/>
            <w:tcBorders>
              <w:bottom w:val="single" w:sz="8" w:color="D7282F"/>
            </w:tcBorders>
          </w:tcPr>
          <w:p>
            <w:pPr>
              <w:spacing w:after="0"/>
              <w:rPr>
                <w:sz w:val="17"/>
                <w:szCs w:val="17"/>
                <w:color w:val="auto"/>
              </w:rPr>
            </w:pPr>
          </w:p>
        </w:tc>
        <w:tc>
          <w:tcPr>
            <w:tcW w:w="11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6,308</w:t>
            </w:r>
          </w:p>
        </w:tc>
        <w:tc>
          <w:tcPr>
            <w:tcW w:w="260" w:type="dxa"/>
            <w:vAlign w:val="bottom"/>
            <w:tcBorders>
              <w:bottom w:val="single" w:sz="8" w:color="D7282F"/>
            </w:tcBorders>
          </w:tcPr>
          <w:p>
            <w:pPr>
              <w:spacing w:after="0"/>
              <w:rPr>
                <w:sz w:val="17"/>
                <w:szCs w:val="17"/>
                <w:color w:val="auto"/>
              </w:rPr>
            </w:pPr>
          </w:p>
        </w:tc>
        <w:tc>
          <w:tcPr>
            <w:tcW w:w="10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2,580</w:t>
            </w:r>
          </w:p>
        </w:tc>
        <w:tc>
          <w:tcPr>
            <w:tcW w:w="260" w:type="dxa"/>
            <w:vAlign w:val="bottom"/>
            <w:tcBorders>
              <w:bottom w:val="single" w:sz="8" w:color="D7282F"/>
            </w:tcBorders>
          </w:tcPr>
          <w:p>
            <w:pPr>
              <w:spacing w:after="0"/>
              <w:rPr>
                <w:sz w:val="17"/>
                <w:szCs w:val="17"/>
                <w:color w:val="auto"/>
              </w:rPr>
            </w:pPr>
          </w:p>
        </w:tc>
        <w:tc>
          <w:tcPr>
            <w:tcW w:w="10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1,432</w:t>
            </w:r>
          </w:p>
        </w:tc>
        <w:tc>
          <w:tcPr>
            <w:tcW w:w="260" w:type="dxa"/>
            <w:vAlign w:val="bottom"/>
            <w:tcBorders>
              <w:bottom w:val="single" w:sz="8" w:color="D7282F"/>
            </w:tcBorders>
          </w:tcPr>
          <w:p>
            <w:pPr>
              <w:spacing w:after="0"/>
              <w:rPr>
                <w:sz w:val="17"/>
                <w:szCs w:val="17"/>
                <w:color w:val="auto"/>
              </w:rPr>
            </w:pPr>
          </w:p>
        </w:tc>
        <w:tc>
          <w:tcPr>
            <w:tcW w:w="12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557</w:t>
            </w:r>
          </w:p>
        </w:tc>
        <w:tc>
          <w:tcPr>
            <w:tcW w:w="260" w:type="dxa"/>
            <w:vAlign w:val="bottom"/>
            <w:tcBorders>
              <w:bottom w:val="single" w:sz="8" w:color="D7282F"/>
            </w:tcBorders>
          </w:tcPr>
          <w:p>
            <w:pPr>
              <w:spacing w:after="0"/>
              <w:rPr>
                <w:sz w:val="17"/>
                <w:szCs w:val="17"/>
                <w:color w:val="auto"/>
              </w:rPr>
            </w:pPr>
          </w:p>
        </w:tc>
        <w:tc>
          <w:tcPr>
            <w:tcW w:w="9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12</w:t>
            </w:r>
          </w:p>
        </w:tc>
        <w:tc>
          <w:tcPr>
            <w:tcW w:w="26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10,889</w:t>
            </w:r>
          </w:p>
        </w:tc>
        <w:tc>
          <w:tcPr>
            <w:tcW w:w="0" w:type="dxa"/>
            <w:vAlign w:val="bottom"/>
          </w:tcPr>
          <w:p>
            <w:pPr>
              <w:spacing w:after="0"/>
              <w:rPr>
                <w:sz w:val="1"/>
                <w:szCs w:val="1"/>
                <w:color w:val="auto"/>
              </w:rPr>
            </w:pPr>
          </w:p>
        </w:tc>
      </w:tr>
      <w:tr>
        <w:trPr>
          <w:trHeight w:val="199"/>
        </w:trPr>
        <w:tc>
          <w:tcPr>
            <w:tcW w:w="316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Net sales</w:t>
            </w:r>
          </w:p>
        </w:tc>
        <w:tc>
          <w:tcPr>
            <w:tcW w:w="300" w:type="dxa"/>
            <w:vAlign w:val="bottom"/>
            <w:tcBorders>
              <w:bottom w:val="single" w:sz="8" w:color="D7282F"/>
            </w:tcBorders>
          </w:tcPr>
          <w:p>
            <w:pPr>
              <w:spacing w:after="0"/>
              <w:rPr>
                <w:sz w:val="17"/>
                <w:szCs w:val="17"/>
                <w:color w:val="auto"/>
              </w:rPr>
            </w:pPr>
          </w:p>
        </w:tc>
        <w:tc>
          <w:tcPr>
            <w:tcW w:w="11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13,624</w:t>
            </w:r>
          </w:p>
        </w:tc>
        <w:tc>
          <w:tcPr>
            <w:tcW w:w="260" w:type="dxa"/>
            <w:vAlign w:val="bottom"/>
            <w:tcBorders>
              <w:bottom w:val="single" w:sz="8" w:color="D7282F"/>
            </w:tcBorders>
          </w:tcPr>
          <w:p>
            <w:pPr>
              <w:spacing w:after="0"/>
              <w:rPr>
                <w:sz w:val="17"/>
                <w:szCs w:val="17"/>
                <w:color w:val="auto"/>
              </w:rPr>
            </w:pPr>
          </w:p>
        </w:tc>
        <w:tc>
          <w:tcPr>
            <w:tcW w:w="10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10,756</w:t>
            </w:r>
          </w:p>
        </w:tc>
        <w:tc>
          <w:tcPr>
            <w:tcW w:w="260" w:type="dxa"/>
            <w:vAlign w:val="bottom"/>
            <w:tcBorders>
              <w:bottom w:val="single" w:sz="8" w:color="D7282F"/>
            </w:tcBorders>
          </w:tcPr>
          <w:p>
            <w:pPr>
              <w:spacing w:after="0"/>
              <w:rPr>
                <w:sz w:val="17"/>
                <w:szCs w:val="17"/>
                <w:color w:val="auto"/>
              </w:rPr>
            </w:pPr>
          </w:p>
        </w:tc>
        <w:tc>
          <w:tcPr>
            <w:tcW w:w="10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6,031</w:t>
            </w:r>
          </w:p>
        </w:tc>
        <w:tc>
          <w:tcPr>
            <w:tcW w:w="260" w:type="dxa"/>
            <w:vAlign w:val="bottom"/>
            <w:tcBorders>
              <w:bottom w:val="single" w:sz="8" w:color="D7282F"/>
            </w:tcBorders>
          </w:tcPr>
          <w:p>
            <w:pPr>
              <w:spacing w:after="0"/>
              <w:rPr>
                <w:sz w:val="17"/>
                <w:szCs w:val="17"/>
                <w:color w:val="auto"/>
              </w:rPr>
            </w:pPr>
          </w:p>
        </w:tc>
        <w:tc>
          <w:tcPr>
            <w:tcW w:w="12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6,239</w:t>
            </w:r>
          </w:p>
        </w:tc>
        <w:tc>
          <w:tcPr>
            <w:tcW w:w="260" w:type="dxa"/>
            <w:vAlign w:val="bottom"/>
            <w:tcBorders>
              <w:bottom w:val="single" w:sz="8" w:color="D7282F"/>
            </w:tcBorders>
          </w:tcPr>
          <w:p>
            <w:pPr>
              <w:spacing w:after="0"/>
              <w:rPr>
                <w:sz w:val="17"/>
                <w:szCs w:val="17"/>
                <w:color w:val="auto"/>
              </w:rPr>
            </w:pPr>
          </w:p>
        </w:tc>
        <w:tc>
          <w:tcPr>
            <w:tcW w:w="9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12</w:t>
            </w:r>
          </w:p>
        </w:tc>
        <w:tc>
          <w:tcPr>
            <w:tcW w:w="26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36,662</w:t>
            </w:r>
          </w:p>
        </w:tc>
        <w:tc>
          <w:tcPr>
            <w:tcW w:w="0" w:type="dxa"/>
            <w:vAlign w:val="bottom"/>
          </w:tcPr>
          <w:p>
            <w:pPr>
              <w:spacing w:after="0"/>
              <w:rPr>
                <w:sz w:val="1"/>
                <w:szCs w:val="1"/>
                <w:color w:val="auto"/>
              </w:rPr>
            </w:pPr>
          </w:p>
        </w:tc>
      </w:tr>
      <w:tr>
        <w:trPr>
          <w:trHeight w:val="196"/>
        </w:trPr>
        <w:tc>
          <w:tcPr>
            <w:tcW w:w="3160" w:type="dxa"/>
            <w:vAlign w:val="bottom"/>
            <w:tcBorders>
              <w:bottom w:val="single" w:sz="8" w:color="888B8D"/>
            </w:tcBorders>
          </w:tcPr>
          <w:p>
            <w:pPr>
              <w:ind w:left="20"/>
              <w:spacing w:after="0"/>
              <w:rPr>
                <w:sz w:val="20"/>
                <w:szCs w:val="20"/>
                <w:color w:val="auto"/>
              </w:rPr>
            </w:pPr>
            <w:r>
              <w:rPr>
                <w:rFonts w:ascii="Arial" w:cs="Arial" w:eastAsia="Arial" w:hAnsi="Arial"/>
                <w:sz w:val="14"/>
                <w:szCs w:val="14"/>
                <w:b w:val="1"/>
                <w:bCs w:val="1"/>
                <w:color w:val="auto"/>
              </w:rPr>
              <w:t>Less</w:t>
            </w:r>
          </w:p>
        </w:tc>
        <w:tc>
          <w:tcPr>
            <w:tcW w:w="300" w:type="dxa"/>
            <w:vAlign w:val="bottom"/>
            <w:tcBorders>
              <w:bottom w:val="single" w:sz="8" w:color="888B8D"/>
            </w:tcBorders>
          </w:tcPr>
          <w:p>
            <w:pPr>
              <w:spacing w:after="0"/>
              <w:rPr>
                <w:sz w:val="17"/>
                <w:szCs w:val="17"/>
                <w:color w:val="auto"/>
              </w:rPr>
            </w:pPr>
          </w:p>
        </w:tc>
        <w:tc>
          <w:tcPr>
            <w:tcW w:w="1180" w:type="dxa"/>
            <w:vAlign w:val="bottom"/>
            <w:tcBorders>
              <w:bottom w:val="single" w:sz="8" w:color="888B8D"/>
            </w:tcBorders>
          </w:tcPr>
          <w:p>
            <w:pPr>
              <w:spacing w:after="0"/>
              <w:rPr>
                <w:sz w:val="17"/>
                <w:szCs w:val="17"/>
                <w:color w:val="auto"/>
              </w:rPr>
            </w:pPr>
          </w:p>
        </w:tc>
        <w:tc>
          <w:tcPr>
            <w:tcW w:w="260" w:type="dxa"/>
            <w:vAlign w:val="bottom"/>
            <w:tcBorders>
              <w:bottom w:val="single" w:sz="8" w:color="888B8D"/>
            </w:tcBorders>
          </w:tcPr>
          <w:p>
            <w:pPr>
              <w:spacing w:after="0"/>
              <w:rPr>
                <w:sz w:val="17"/>
                <w:szCs w:val="17"/>
                <w:color w:val="auto"/>
              </w:rPr>
            </w:pPr>
          </w:p>
        </w:tc>
        <w:tc>
          <w:tcPr>
            <w:tcW w:w="1060" w:type="dxa"/>
            <w:vAlign w:val="bottom"/>
            <w:tcBorders>
              <w:bottom w:val="single" w:sz="8" w:color="888B8D"/>
            </w:tcBorders>
          </w:tcPr>
          <w:p>
            <w:pPr>
              <w:spacing w:after="0"/>
              <w:rPr>
                <w:sz w:val="17"/>
                <w:szCs w:val="17"/>
                <w:color w:val="auto"/>
              </w:rPr>
            </w:pPr>
          </w:p>
        </w:tc>
        <w:tc>
          <w:tcPr>
            <w:tcW w:w="260" w:type="dxa"/>
            <w:vAlign w:val="bottom"/>
            <w:tcBorders>
              <w:bottom w:val="single" w:sz="8" w:color="888B8D"/>
            </w:tcBorders>
          </w:tcPr>
          <w:p>
            <w:pPr>
              <w:spacing w:after="0"/>
              <w:rPr>
                <w:sz w:val="17"/>
                <w:szCs w:val="17"/>
                <w:color w:val="auto"/>
              </w:rPr>
            </w:pPr>
          </w:p>
        </w:tc>
        <w:tc>
          <w:tcPr>
            <w:tcW w:w="1080" w:type="dxa"/>
            <w:vAlign w:val="bottom"/>
            <w:tcBorders>
              <w:bottom w:val="single" w:sz="8" w:color="888B8D"/>
            </w:tcBorders>
          </w:tcPr>
          <w:p>
            <w:pPr>
              <w:spacing w:after="0"/>
              <w:rPr>
                <w:sz w:val="17"/>
                <w:szCs w:val="17"/>
                <w:color w:val="auto"/>
              </w:rPr>
            </w:pPr>
          </w:p>
        </w:tc>
        <w:tc>
          <w:tcPr>
            <w:tcW w:w="260" w:type="dxa"/>
            <w:vAlign w:val="bottom"/>
            <w:tcBorders>
              <w:bottom w:val="single" w:sz="8" w:color="888B8D"/>
            </w:tcBorders>
          </w:tcPr>
          <w:p>
            <w:pPr>
              <w:spacing w:after="0"/>
              <w:rPr>
                <w:sz w:val="17"/>
                <w:szCs w:val="17"/>
                <w:color w:val="auto"/>
              </w:rPr>
            </w:pPr>
          </w:p>
        </w:tc>
        <w:tc>
          <w:tcPr>
            <w:tcW w:w="1240" w:type="dxa"/>
            <w:vAlign w:val="bottom"/>
            <w:tcBorders>
              <w:bottom w:val="single" w:sz="8" w:color="888B8D"/>
            </w:tcBorders>
          </w:tcPr>
          <w:p>
            <w:pPr>
              <w:spacing w:after="0"/>
              <w:rPr>
                <w:sz w:val="17"/>
                <w:szCs w:val="17"/>
                <w:color w:val="auto"/>
              </w:rPr>
            </w:pPr>
          </w:p>
        </w:tc>
        <w:tc>
          <w:tcPr>
            <w:tcW w:w="260" w:type="dxa"/>
            <w:vAlign w:val="bottom"/>
            <w:tcBorders>
              <w:bottom w:val="single" w:sz="8" w:color="888B8D"/>
            </w:tcBorders>
          </w:tcPr>
          <w:p>
            <w:pPr>
              <w:spacing w:after="0"/>
              <w:rPr>
                <w:sz w:val="17"/>
                <w:szCs w:val="17"/>
                <w:color w:val="auto"/>
              </w:rPr>
            </w:pPr>
          </w:p>
        </w:tc>
        <w:tc>
          <w:tcPr>
            <w:tcW w:w="980" w:type="dxa"/>
            <w:vAlign w:val="bottom"/>
            <w:tcBorders>
              <w:bottom w:val="single" w:sz="8" w:color="888B8D"/>
            </w:tcBorders>
          </w:tcPr>
          <w:p>
            <w:pPr>
              <w:spacing w:after="0"/>
              <w:rPr>
                <w:sz w:val="17"/>
                <w:szCs w:val="17"/>
                <w:color w:val="auto"/>
              </w:rPr>
            </w:pPr>
          </w:p>
        </w:tc>
        <w:tc>
          <w:tcPr>
            <w:tcW w:w="260" w:type="dxa"/>
            <w:vAlign w:val="bottom"/>
            <w:tcBorders>
              <w:bottom w:val="single" w:sz="8" w:color="888B8D"/>
            </w:tcBorders>
          </w:tcPr>
          <w:p>
            <w:pPr>
              <w:spacing w:after="0"/>
              <w:rPr>
                <w:sz w:val="17"/>
                <w:szCs w:val="17"/>
                <w:color w:val="auto"/>
              </w:rPr>
            </w:pPr>
          </w:p>
        </w:tc>
        <w:tc>
          <w:tcPr>
            <w:tcW w:w="940" w:type="dxa"/>
            <w:vAlign w:val="bottom"/>
            <w:tcBorders>
              <w:bottom w:val="single" w:sz="8" w:color="888B8D"/>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16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Cost of products and services sold</w:t>
            </w:r>
          </w:p>
        </w:tc>
        <w:tc>
          <w:tcPr>
            <w:tcW w:w="300" w:type="dxa"/>
            <w:vAlign w:val="bottom"/>
            <w:tcBorders>
              <w:bottom w:val="single" w:sz="8" w:color="888B8D"/>
            </w:tcBorders>
          </w:tcPr>
          <w:p>
            <w:pPr>
              <w:spacing w:after="0"/>
              <w:rPr>
                <w:sz w:val="16"/>
                <w:szCs w:val="16"/>
                <w:color w:val="auto"/>
              </w:rPr>
            </w:pPr>
          </w:p>
        </w:tc>
        <w:tc>
          <w:tcPr>
            <w:tcW w:w="118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8,362</w:t>
            </w:r>
          </w:p>
        </w:tc>
        <w:tc>
          <w:tcPr>
            <w:tcW w:w="260" w:type="dxa"/>
            <w:vAlign w:val="bottom"/>
            <w:tcBorders>
              <w:bottom w:val="single" w:sz="8" w:color="888B8D"/>
            </w:tcBorders>
          </w:tcPr>
          <w:p>
            <w:pPr>
              <w:spacing w:after="0"/>
              <w:rPr>
                <w:sz w:val="16"/>
                <w:szCs w:val="16"/>
                <w:color w:val="auto"/>
              </w:rPr>
            </w:pPr>
          </w:p>
        </w:tc>
        <w:tc>
          <w:tcPr>
            <w:tcW w:w="106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6,379</w:t>
            </w:r>
          </w:p>
        </w:tc>
        <w:tc>
          <w:tcPr>
            <w:tcW w:w="260" w:type="dxa"/>
            <w:vAlign w:val="bottom"/>
            <w:tcBorders>
              <w:bottom w:val="single" w:sz="8" w:color="888B8D"/>
            </w:tcBorders>
          </w:tcPr>
          <w:p>
            <w:pPr>
              <w:spacing w:after="0"/>
              <w:rPr>
                <w:sz w:val="16"/>
                <w:szCs w:val="16"/>
                <w:color w:val="auto"/>
              </w:rPr>
            </w:pPr>
          </w:p>
        </w:tc>
        <w:tc>
          <w:tcPr>
            <w:tcW w:w="108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3,240</w:t>
            </w:r>
          </w:p>
        </w:tc>
        <w:tc>
          <w:tcPr>
            <w:tcW w:w="260" w:type="dxa"/>
            <w:vAlign w:val="bottom"/>
            <w:tcBorders>
              <w:bottom w:val="single" w:sz="8" w:color="888B8D"/>
            </w:tcBorders>
          </w:tcPr>
          <w:p>
            <w:pPr>
              <w:spacing w:after="0"/>
              <w:rPr>
                <w:sz w:val="16"/>
                <w:szCs w:val="16"/>
                <w:color w:val="auto"/>
              </w:rPr>
            </w:pPr>
          </w:p>
        </w:tc>
        <w:tc>
          <w:tcPr>
            <w:tcW w:w="124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3,950</w:t>
            </w:r>
          </w:p>
        </w:tc>
        <w:tc>
          <w:tcPr>
            <w:tcW w:w="260" w:type="dxa"/>
            <w:vAlign w:val="bottom"/>
            <w:tcBorders>
              <w:bottom w:val="single" w:sz="8" w:color="888B8D"/>
            </w:tcBorders>
          </w:tcPr>
          <w:p>
            <w:pPr>
              <w:spacing w:after="0"/>
              <w:rPr>
                <w:sz w:val="16"/>
                <w:szCs w:val="16"/>
                <w:color w:val="auto"/>
              </w:rPr>
            </w:pPr>
          </w:p>
        </w:tc>
        <w:tc>
          <w:tcPr>
            <w:tcW w:w="980" w:type="dxa"/>
            <w:vAlign w:val="bottom"/>
            <w:tcBorders>
              <w:bottom w:val="single" w:sz="8" w:color="888B8D"/>
            </w:tcBorders>
          </w:tcPr>
          <w:p>
            <w:pPr>
              <w:spacing w:after="0"/>
              <w:rPr>
                <w:sz w:val="16"/>
                <w:szCs w:val="16"/>
                <w:color w:val="auto"/>
              </w:rPr>
            </w:pPr>
          </w:p>
        </w:tc>
        <w:tc>
          <w:tcPr>
            <w:tcW w:w="260" w:type="dxa"/>
            <w:vAlign w:val="bottom"/>
            <w:tcBorders>
              <w:bottom w:val="single" w:sz="8" w:color="888B8D"/>
            </w:tcBorders>
          </w:tcPr>
          <w:p>
            <w:pPr>
              <w:spacing w:after="0"/>
              <w:rPr>
                <w:sz w:val="16"/>
                <w:szCs w:val="16"/>
                <w:color w:val="auto"/>
              </w:rPr>
            </w:pPr>
          </w:p>
        </w:tc>
        <w:tc>
          <w:tcPr>
            <w:tcW w:w="940" w:type="dxa"/>
            <w:vAlign w:val="bottom"/>
            <w:tcBorders>
              <w:bottom w:val="single" w:sz="8" w:color="888B8D"/>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16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Selling, general and administrative expenses</w:t>
            </w:r>
          </w:p>
        </w:tc>
        <w:tc>
          <w:tcPr>
            <w:tcW w:w="300" w:type="dxa"/>
            <w:vAlign w:val="bottom"/>
            <w:tcBorders>
              <w:bottom w:val="single" w:sz="8" w:color="888B8D"/>
            </w:tcBorders>
          </w:tcPr>
          <w:p>
            <w:pPr>
              <w:spacing w:after="0"/>
              <w:rPr>
                <w:sz w:val="17"/>
                <w:szCs w:val="17"/>
                <w:color w:val="auto"/>
              </w:rPr>
            </w:pPr>
          </w:p>
        </w:tc>
        <w:tc>
          <w:tcPr>
            <w:tcW w:w="118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538</w:t>
            </w:r>
          </w:p>
        </w:tc>
        <w:tc>
          <w:tcPr>
            <w:tcW w:w="260" w:type="dxa"/>
            <w:vAlign w:val="bottom"/>
            <w:tcBorders>
              <w:bottom w:val="single" w:sz="8" w:color="888B8D"/>
            </w:tcBorders>
          </w:tcPr>
          <w:p>
            <w:pPr>
              <w:spacing w:after="0"/>
              <w:rPr>
                <w:sz w:val="17"/>
                <w:szCs w:val="17"/>
                <w:color w:val="auto"/>
              </w:rPr>
            </w:pPr>
          </w:p>
        </w:tc>
        <w:tc>
          <w:tcPr>
            <w:tcW w:w="106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1,361</w:t>
            </w:r>
          </w:p>
        </w:tc>
        <w:tc>
          <w:tcPr>
            <w:tcW w:w="260" w:type="dxa"/>
            <w:vAlign w:val="bottom"/>
            <w:tcBorders>
              <w:bottom w:val="single" w:sz="8" w:color="888B8D"/>
            </w:tcBorders>
          </w:tcPr>
          <w:p>
            <w:pPr>
              <w:spacing w:after="0"/>
              <w:rPr>
                <w:sz w:val="17"/>
                <w:szCs w:val="17"/>
                <w:color w:val="auto"/>
              </w:rPr>
            </w:pPr>
          </w:p>
        </w:tc>
        <w:tc>
          <w:tcPr>
            <w:tcW w:w="108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884</w:t>
            </w:r>
          </w:p>
        </w:tc>
        <w:tc>
          <w:tcPr>
            <w:tcW w:w="260" w:type="dxa"/>
            <w:vAlign w:val="bottom"/>
            <w:tcBorders>
              <w:bottom w:val="single" w:sz="8" w:color="888B8D"/>
            </w:tcBorders>
          </w:tcPr>
          <w:p>
            <w:pPr>
              <w:spacing w:after="0"/>
              <w:rPr>
                <w:sz w:val="17"/>
                <w:szCs w:val="17"/>
                <w:color w:val="auto"/>
              </w:rPr>
            </w:pPr>
          </w:p>
        </w:tc>
        <w:tc>
          <w:tcPr>
            <w:tcW w:w="124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429</w:t>
            </w:r>
          </w:p>
        </w:tc>
        <w:tc>
          <w:tcPr>
            <w:tcW w:w="260" w:type="dxa"/>
            <w:vAlign w:val="bottom"/>
            <w:tcBorders>
              <w:bottom w:val="single" w:sz="8" w:color="888B8D"/>
            </w:tcBorders>
          </w:tcPr>
          <w:p>
            <w:pPr>
              <w:spacing w:after="0"/>
              <w:rPr>
                <w:sz w:val="17"/>
                <w:szCs w:val="17"/>
                <w:color w:val="auto"/>
              </w:rPr>
            </w:pPr>
          </w:p>
        </w:tc>
        <w:tc>
          <w:tcPr>
            <w:tcW w:w="980" w:type="dxa"/>
            <w:vAlign w:val="bottom"/>
            <w:tcBorders>
              <w:bottom w:val="single" w:sz="8" w:color="888B8D"/>
            </w:tcBorders>
          </w:tcPr>
          <w:p>
            <w:pPr>
              <w:spacing w:after="0"/>
              <w:rPr>
                <w:sz w:val="17"/>
                <w:szCs w:val="17"/>
                <w:color w:val="auto"/>
              </w:rPr>
            </w:pPr>
          </w:p>
        </w:tc>
        <w:tc>
          <w:tcPr>
            <w:tcW w:w="260" w:type="dxa"/>
            <w:vAlign w:val="bottom"/>
            <w:tcBorders>
              <w:bottom w:val="single" w:sz="8" w:color="888B8D"/>
            </w:tcBorders>
          </w:tcPr>
          <w:p>
            <w:pPr>
              <w:spacing w:after="0"/>
              <w:rPr>
                <w:sz w:val="17"/>
                <w:szCs w:val="17"/>
                <w:color w:val="auto"/>
              </w:rPr>
            </w:pPr>
          </w:p>
        </w:tc>
        <w:tc>
          <w:tcPr>
            <w:tcW w:w="940" w:type="dxa"/>
            <w:vAlign w:val="bottom"/>
            <w:tcBorders>
              <w:bottom w:val="single" w:sz="8" w:color="888B8D"/>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16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Other segment items</w:t>
            </w:r>
            <w:r>
              <w:rPr>
                <w:rFonts w:ascii="Arial" w:cs="Arial" w:eastAsia="Arial" w:hAnsi="Arial"/>
                <w:sz w:val="9"/>
                <w:szCs w:val="9"/>
                <w:color w:val="auto"/>
              </w:rPr>
              <w:t>1</w:t>
            </w:r>
          </w:p>
        </w:tc>
        <w:tc>
          <w:tcPr>
            <w:tcW w:w="300" w:type="dxa"/>
            <w:vAlign w:val="bottom"/>
            <w:tcBorders>
              <w:bottom w:val="single" w:sz="8" w:color="D7282F"/>
            </w:tcBorders>
          </w:tcPr>
          <w:p>
            <w:pPr>
              <w:spacing w:after="0"/>
              <w:rPr>
                <w:sz w:val="17"/>
                <w:szCs w:val="17"/>
                <w:color w:val="auto"/>
              </w:rPr>
            </w:pPr>
          </w:p>
        </w:tc>
        <w:tc>
          <w:tcPr>
            <w:tcW w:w="11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964</w:t>
            </w:r>
          </w:p>
        </w:tc>
        <w:tc>
          <w:tcPr>
            <w:tcW w:w="260" w:type="dxa"/>
            <w:vAlign w:val="bottom"/>
            <w:tcBorders>
              <w:bottom w:val="single" w:sz="8" w:color="D7282F"/>
            </w:tcBorders>
          </w:tcPr>
          <w:p>
            <w:pPr>
              <w:spacing w:after="0"/>
              <w:rPr>
                <w:sz w:val="17"/>
                <w:szCs w:val="17"/>
                <w:color w:val="auto"/>
              </w:rPr>
            </w:pPr>
          </w:p>
        </w:tc>
        <w:tc>
          <w:tcPr>
            <w:tcW w:w="10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807</w:t>
            </w:r>
          </w:p>
        </w:tc>
        <w:tc>
          <w:tcPr>
            <w:tcW w:w="260" w:type="dxa"/>
            <w:vAlign w:val="bottom"/>
            <w:tcBorders>
              <w:bottom w:val="single" w:sz="8" w:color="D7282F"/>
            </w:tcBorders>
          </w:tcPr>
          <w:p>
            <w:pPr>
              <w:spacing w:after="0"/>
              <w:rPr>
                <w:sz w:val="17"/>
                <w:szCs w:val="17"/>
                <w:color w:val="auto"/>
              </w:rPr>
            </w:pPr>
          </w:p>
        </w:tc>
        <w:tc>
          <w:tcPr>
            <w:tcW w:w="10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378</w:t>
            </w:r>
          </w:p>
        </w:tc>
        <w:tc>
          <w:tcPr>
            <w:tcW w:w="260" w:type="dxa"/>
            <w:vAlign w:val="bottom"/>
            <w:tcBorders>
              <w:bottom w:val="single" w:sz="8" w:color="D7282F"/>
            </w:tcBorders>
          </w:tcPr>
          <w:p>
            <w:pPr>
              <w:spacing w:after="0"/>
              <w:rPr>
                <w:sz w:val="17"/>
                <w:szCs w:val="17"/>
                <w:color w:val="auto"/>
              </w:rPr>
            </w:pPr>
          </w:p>
        </w:tc>
        <w:tc>
          <w:tcPr>
            <w:tcW w:w="12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373</w:t>
            </w:r>
          </w:p>
        </w:tc>
        <w:tc>
          <w:tcPr>
            <w:tcW w:w="260" w:type="dxa"/>
            <w:vAlign w:val="bottom"/>
            <w:tcBorders>
              <w:bottom w:val="single" w:sz="8" w:color="D7282F"/>
            </w:tcBorders>
          </w:tcPr>
          <w:p>
            <w:pPr>
              <w:spacing w:after="0"/>
              <w:rPr>
                <w:sz w:val="17"/>
                <w:szCs w:val="17"/>
                <w:color w:val="auto"/>
              </w:rPr>
            </w:pPr>
          </w:p>
        </w:tc>
        <w:tc>
          <w:tcPr>
            <w:tcW w:w="980" w:type="dxa"/>
            <w:vAlign w:val="bottom"/>
            <w:tcBorders>
              <w:bottom w:val="single" w:sz="8" w:color="D7282F"/>
            </w:tcBorders>
          </w:tcPr>
          <w:p>
            <w:pPr>
              <w:spacing w:after="0"/>
              <w:rPr>
                <w:sz w:val="17"/>
                <w:szCs w:val="17"/>
                <w:color w:val="auto"/>
              </w:rPr>
            </w:pPr>
          </w:p>
        </w:tc>
        <w:tc>
          <w:tcPr>
            <w:tcW w:w="26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16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Segment profit</w:t>
            </w:r>
          </w:p>
        </w:tc>
        <w:tc>
          <w:tcPr>
            <w:tcW w:w="3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3,760</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2,209</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1,529</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1,487</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(387)</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8,598</w:t>
            </w:r>
          </w:p>
        </w:tc>
        <w:tc>
          <w:tcPr>
            <w:tcW w:w="0" w:type="dxa"/>
            <w:vAlign w:val="bottom"/>
          </w:tcPr>
          <w:p>
            <w:pPr>
              <w:spacing w:after="0"/>
              <w:rPr>
                <w:sz w:val="1"/>
                <w:szCs w:val="1"/>
                <w:color w:val="auto"/>
              </w:rPr>
            </w:pPr>
          </w:p>
        </w:tc>
      </w:tr>
      <w:tr>
        <w:trPr>
          <w:trHeight w:val="251"/>
        </w:trPr>
        <w:tc>
          <w:tcPr>
            <w:tcW w:w="3160" w:type="dxa"/>
            <w:vAlign w:val="bottom"/>
            <w:tcBorders>
              <w:bottom w:val="single" w:sz="8" w:color="D7282F"/>
            </w:tcBorders>
          </w:tcPr>
          <w:p>
            <w:pPr>
              <w:spacing w:after="0"/>
              <w:rPr>
                <w:sz w:val="21"/>
                <w:szCs w:val="21"/>
                <w:color w:val="auto"/>
              </w:rPr>
            </w:pPr>
          </w:p>
        </w:tc>
        <w:tc>
          <w:tcPr>
            <w:tcW w:w="300" w:type="dxa"/>
            <w:vAlign w:val="bottom"/>
            <w:tcBorders>
              <w:bottom w:val="single" w:sz="8" w:color="D7282F"/>
            </w:tcBorders>
          </w:tcPr>
          <w:p>
            <w:pPr>
              <w:spacing w:after="0"/>
              <w:rPr>
                <w:sz w:val="21"/>
                <w:szCs w:val="21"/>
                <w:color w:val="auto"/>
              </w:rPr>
            </w:pPr>
          </w:p>
        </w:tc>
        <w:tc>
          <w:tcPr>
            <w:tcW w:w="1180" w:type="dxa"/>
            <w:vAlign w:val="bottom"/>
            <w:tcBorders>
              <w:bottom w:val="single" w:sz="8" w:color="D7282F"/>
            </w:tcBorders>
          </w:tcPr>
          <w:p>
            <w:pPr>
              <w:spacing w:after="0"/>
              <w:rPr>
                <w:sz w:val="21"/>
                <w:szCs w:val="21"/>
                <w:color w:val="auto"/>
              </w:rPr>
            </w:pPr>
          </w:p>
        </w:tc>
        <w:tc>
          <w:tcPr>
            <w:tcW w:w="260" w:type="dxa"/>
            <w:vAlign w:val="bottom"/>
            <w:tcBorders>
              <w:bottom w:val="single" w:sz="8" w:color="D7282F"/>
            </w:tcBorders>
          </w:tcPr>
          <w:p>
            <w:pPr>
              <w:spacing w:after="0"/>
              <w:rPr>
                <w:sz w:val="21"/>
                <w:szCs w:val="21"/>
                <w:color w:val="auto"/>
              </w:rPr>
            </w:pPr>
          </w:p>
        </w:tc>
        <w:tc>
          <w:tcPr>
            <w:tcW w:w="1060" w:type="dxa"/>
            <w:vAlign w:val="bottom"/>
            <w:tcBorders>
              <w:bottom w:val="single" w:sz="8" w:color="D7282F"/>
            </w:tcBorders>
          </w:tcPr>
          <w:p>
            <w:pPr>
              <w:spacing w:after="0"/>
              <w:rPr>
                <w:sz w:val="21"/>
                <w:szCs w:val="21"/>
                <w:color w:val="auto"/>
              </w:rPr>
            </w:pPr>
          </w:p>
        </w:tc>
        <w:tc>
          <w:tcPr>
            <w:tcW w:w="260" w:type="dxa"/>
            <w:vAlign w:val="bottom"/>
            <w:tcBorders>
              <w:bottom w:val="single" w:sz="8" w:color="D7282F"/>
            </w:tcBorders>
          </w:tcPr>
          <w:p>
            <w:pPr>
              <w:spacing w:after="0"/>
              <w:rPr>
                <w:sz w:val="21"/>
                <w:szCs w:val="21"/>
                <w:color w:val="auto"/>
              </w:rPr>
            </w:pPr>
          </w:p>
        </w:tc>
        <w:tc>
          <w:tcPr>
            <w:tcW w:w="1080" w:type="dxa"/>
            <w:vAlign w:val="bottom"/>
            <w:tcBorders>
              <w:bottom w:val="single" w:sz="8" w:color="D7282F"/>
            </w:tcBorders>
          </w:tcPr>
          <w:p>
            <w:pPr>
              <w:spacing w:after="0"/>
              <w:rPr>
                <w:sz w:val="21"/>
                <w:szCs w:val="21"/>
                <w:color w:val="auto"/>
              </w:rPr>
            </w:pPr>
          </w:p>
        </w:tc>
        <w:tc>
          <w:tcPr>
            <w:tcW w:w="260" w:type="dxa"/>
            <w:vAlign w:val="bottom"/>
            <w:tcBorders>
              <w:bottom w:val="single" w:sz="8" w:color="D7282F"/>
            </w:tcBorders>
          </w:tcPr>
          <w:p>
            <w:pPr>
              <w:spacing w:after="0"/>
              <w:rPr>
                <w:sz w:val="21"/>
                <w:szCs w:val="21"/>
                <w:color w:val="auto"/>
              </w:rPr>
            </w:pPr>
          </w:p>
        </w:tc>
        <w:tc>
          <w:tcPr>
            <w:tcW w:w="1240" w:type="dxa"/>
            <w:vAlign w:val="bottom"/>
            <w:tcBorders>
              <w:bottom w:val="single" w:sz="8" w:color="D7282F"/>
            </w:tcBorders>
          </w:tcPr>
          <w:p>
            <w:pPr>
              <w:spacing w:after="0"/>
              <w:rPr>
                <w:sz w:val="21"/>
                <w:szCs w:val="21"/>
                <w:color w:val="auto"/>
              </w:rPr>
            </w:pPr>
          </w:p>
        </w:tc>
        <w:tc>
          <w:tcPr>
            <w:tcW w:w="260" w:type="dxa"/>
            <w:vAlign w:val="bottom"/>
            <w:tcBorders>
              <w:bottom w:val="single" w:sz="8" w:color="D7282F"/>
            </w:tcBorders>
          </w:tcPr>
          <w:p>
            <w:pPr>
              <w:spacing w:after="0"/>
              <w:rPr>
                <w:sz w:val="21"/>
                <w:szCs w:val="21"/>
                <w:color w:val="auto"/>
              </w:rPr>
            </w:pPr>
          </w:p>
        </w:tc>
        <w:tc>
          <w:tcPr>
            <w:tcW w:w="980" w:type="dxa"/>
            <w:vAlign w:val="bottom"/>
            <w:tcBorders>
              <w:bottom w:val="single" w:sz="8" w:color="D7282F"/>
            </w:tcBorders>
          </w:tcPr>
          <w:p>
            <w:pPr>
              <w:spacing w:after="0"/>
              <w:rPr>
                <w:sz w:val="21"/>
                <w:szCs w:val="21"/>
                <w:color w:val="auto"/>
              </w:rPr>
            </w:pPr>
          </w:p>
        </w:tc>
        <w:tc>
          <w:tcPr>
            <w:tcW w:w="260" w:type="dxa"/>
            <w:vAlign w:val="bottom"/>
            <w:tcBorders>
              <w:bottom w:val="single" w:sz="8" w:color="D7282F"/>
            </w:tcBorders>
          </w:tcPr>
          <w:p>
            <w:pPr>
              <w:spacing w:after="0"/>
              <w:rPr>
                <w:sz w:val="21"/>
                <w:szCs w:val="21"/>
                <w:color w:val="auto"/>
              </w:rPr>
            </w:pPr>
          </w:p>
        </w:tc>
        <w:tc>
          <w:tcPr>
            <w:tcW w:w="940" w:type="dxa"/>
            <w:vAlign w:val="bottom"/>
            <w:tcBorders>
              <w:bottom w:val="single" w:sz="8" w:color="D7282F"/>
            </w:tcBorders>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316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Depreciation and amortization</w:t>
            </w:r>
          </w:p>
        </w:tc>
        <w:tc>
          <w:tcPr>
            <w:tcW w:w="3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267</w:t>
            </w:r>
          </w:p>
        </w:tc>
        <w:tc>
          <w:tcPr>
            <w:tcW w:w="2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386</w:t>
            </w:r>
          </w:p>
        </w:tc>
        <w:tc>
          <w:tcPr>
            <w:tcW w:w="2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107</w:t>
            </w:r>
          </w:p>
        </w:tc>
        <w:tc>
          <w:tcPr>
            <w:tcW w:w="2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253</w:t>
            </w:r>
          </w:p>
        </w:tc>
        <w:tc>
          <w:tcPr>
            <w:tcW w:w="2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163</w:t>
            </w:r>
          </w:p>
        </w:tc>
        <w:tc>
          <w:tcPr>
            <w:tcW w:w="2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1,176</w:t>
            </w:r>
          </w:p>
        </w:tc>
        <w:tc>
          <w:tcPr>
            <w:tcW w:w="0" w:type="dxa"/>
            <w:vAlign w:val="bottom"/>
          </w:tcPr>
          <w:p>
            <w:pPr>
              <w:spacing w:after="0"/>
              <w:rPr>
                <w:sz w:val="1"/>
                <w:szCs w:val="1"/>
                <w:color w:val="auto"/>
              </w:rPr>
            </w:pPr>
          </w:p>
        </w:tc>
      </w:tr>
      <w:tr>
        <w:trPr>
          <w:trHeight w:val="196"/>
        </w:trPr>
        <w:tc>
          <w:tcPr>
            <w:tcW w:w="316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Capital expenditures</w:t>
            </w:r>
          </w:p>
        </w:tc>
        <w:tc>
          <w:tcPr>
            <w:tcW w:w="300" w:type="dxa"/>
            <w:vAlign w:val="bottom"/>
            <w:tcBorders>
              <w:bottom w:val="single" w:sz="8" w:color="888B8D"/>
            </w:tcBorders>
          </w:tcPr>
          <w:p>
            <w:pPr>
              <w:spacing w:after="0"/>
              <w:rPr>
                <w:sz w:val="17"/>
                <w:szCs w:val="17"/>
                <w:color w:val="auto"/>
              </w:rPr>
            </w:pPr>
          </w:p>
        </w:tc>
        <w:tc>
          <w:tcPr>
            <w:tcW w:w="118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310</w:t>
            </w:r>
          </w:p>
        </w:tc>
        <w:tc>
          <w:tcPr>
            <w:tcW w:w="260" w:type="dxa"/>
            <w:vAlign w:val="bottom"/>
            <w:tcBorders>
              <w:bottom w:val="single" w:sz="8" w:color="888B8D"/>
            </w:tcBorders>
          </w:tcPr>
          <w:p>
            <w:pPr>
              <w:spacing w:after="0"/>
              <w:rPr>
                <w:sz w:val="17"/>
                <w:szCs w:val="17"/>
                <w:color w:val="auto"/>
              </w:rPr>
            </w:pPr>
          </w:p>
        </w:tc>
        <w:tc>
          <w:tcPr>
            <w:tcW w:w="106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194</w:t>
            </w:r>
          </w:p>
        </w:tc>
        <w:tc>
          <w:tcPr>
            <w:tcW w:w="260" w:type="dxa"/>
            <w:vAlign w:val="bottom"/>
            <w:tcBorders>
              <w:bottom w:val="single" w:sz="8" w:color="888B8D"/>
            </w:tcBorders>
          </w:tcPr>
          <w:p>
            <w:pPr>
              <w:spacing w:after="0"/>
              <w:rPr>
                <w:sz w:val="17"/>
                <w:szCs w:val="17"/>
                <w:color w:val="auto"/>
              </w:rPr>
            </w:pPr>
          </w:p>
        </w:tc>
        <w:tc>
          <w:tcPr>
            <w:tcW w:w="108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79</w:t>
            </w:r>
          </w:p>
        </w:tc>
        <w:tc>
          <w:tcPr>
            <w:tcW w:w="260" w:type="dxa"/>
            <w:vAlign w:val="bottom"/>
            <w:tcBorders>
              <w:bottom w:val="single" w:sz="8" w:color="888B8D"/>
            </w:tcBorders>
          </w:tcPr>
          <w:p>
            <w:pPr>
              <w:spacing w:after="0"/>
              <w:rPr>
                <w:sz w:val="17"/>
                <w:szCs w:val="17"/>
                <w:color w:val="auto"/>
              </w:rPr>
            </w:pPr>
          </w:p>
        </w:tc>
        <w:tc>
          <w:tcPr>
            <w:tcW w:w="124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374</w:t>
            </w:r>
          </w:p>
        </w:tc>
        <w:tc>
          <w:tcPr>
            <w:tcW w:w="260" w:type="dxa"/>
            <w:vAlign w:val="bottom"/>
            <w:tcBorders>
              <w:bottom w:val="single" w:sz="8" w:color="888B8D"/>
            </w:tcBorders>
          </w:tcPr>
          <w:p>
            <w:pPr>
              <w:spacing w:after="0"/>
              <w:rPr>
                <w:sz w:val="17"/>
                <w:szCs w:val="17"/>
                <w:color w:val="auto"/>
              </w:rPr>
            </w:pPr>
          </w:p>
        </w:tc>
        <w:tc>
          <w:tcPr>
            <w:tcW w:w="98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82</w:t>
            </w:r>
          </w:p>
        </w:tc>
        <w:tc>
          <w:tcPr>
            <w:tcW w:w="260" w:type="dxa"/>
            <w:vAlign w:val="bottom"/>
            <w:tcBorders>
              <w:bottom w:val="single" w:sz="8" w:color="888B8D"/>
            </w:tcBorders>
          </w:tcPr>
          <w:p>
            <w:pPr>
              <w:spacing w:after="0"/>
              <w:rPr>
                <w:sz w:val="17"/>
                <w:szCs w:val="17"/>
                <w:color w:val="auto"/>
              </w:rPr>
            </w:pPr>
          </w:p>
        </w:tc>
        <w:tc>
          <w:tcPr>
            <w:tcW w:w="9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1,039</w:t>
            </w:r>
          </w:p>
        </w:tc>
        <w:tc>
          <w:tcPr>
            <w:tcW w:w="0" w:type="dxa"/>
            <w:vAlign w:val="bottom"/>
          </w:tcPr>
          <w:p>
            <w:pPr>
              <w:spacing w:after="0"/>
              <w:rPr>
                <w:sz w:val="1"/>
                <w:szCs w:val="1"/>
                <w:color w:val="auto"/>
              </w:rPr>
            </w:pPr>
          </w:p>
        </w:tc>
      </w:tr>
      <w:tr>
        <w:trPr>
          <w:trHeight w:val="196"/>
        </w:trPr>
        <w:tc>
          <w:tcPr>
            <w:tcW w:w="316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Total assets</w:t>
            </w:r>
          </w:p>
        </w:tc>
        <w:tc>
          <w:tcPr>
            <w:tcW w:w="300" w:type="dxa"/>
            <w:vAlign w:val="bottom"/>
            <w:tcBorders>
              <w:bottom w:val="single" w:sz="8" w:color="D7282F"/>
            </w:tcBorders>
          </w:tcPr>
          <w:p>
            <w:pPr>
              <w:spacing w:after="0"/>
              <w:rPr>
                <w:sz w:val="17"/>
                <w:szCs w:val="17"/>
                <w:color w:val="auto"/>
              </w:rPr>
            </w:pPr>
          </w:p>
        </w:tc>
        <w:tc>
          <w:tcPr>
            <w:tcW w:w="11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12,976</w:t>
            </w:r>
          </w:p>
        </w:tc>
        <w:tc>
          <w:tcPr>
            <w:tcW w:w="260" w:type="dxa"/>
            <w:vAlign w:val="bottom"/>
            <w:tcBorders>
              <w:bottom w:val="single" w:sz="8" w:color="D7282F"/>
            </w:tcBorders>
          </w:tcPr>
          <w:p>
            <w:pPr>
              <w:spacing w:after="0"/>
              <w:rPr>
                <w:sz w:val="17"/>
                <w:szCs w:val="17"/>
                <w:color w:val="auto"/>
              </w:rPr>
            </w:pPr>
          </w:p>
        </w:tc>
        <w:tc>
          <w:tcPr>
            <w:tcW w:w="10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22,026</w:t>
            </w:r>
          </w:p>
        </w:tc>
        <w:tc>
          <w:tcPr>
            <w:tcW w:w="260" w:type="dxa"/>
            <w:vAlign w:val="bottom"/>
            <w:tcBorders>
              <w:bottom w:val="single" w:sz="8" w:color="D7282F"/>
            </w:tcBorders>
          </w:tcPr>
          <w:p>
            <w:pPr>
              <w:spacing w:after="0"/>
              <w:rPr>
                <w:sz w:val="17"/>
                <w:szCs w:val="17"/>
                <w:color w:val="auto"/>
              </w:rPr>
            </w:pPr>
          </w:p>
        </w:tc>
        <w:tc>
          <w:tcPr>
            <w:tcW w:w="10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6,723</w:t>
            </w:r>
          </w:p>
        </w:tc>
        <w:tc>
          <w:tcPr>
            <w:tcW w:w="260" w:type="dxa"/>
            <w:vAlign w:val="bottom"/>
            <w:tcBorders>
              <w:bottom w:val="single" w:sz="8" w:color="D7282F"/>
            </w:tcBorders>
          </w:tcPr>
          <w:p>
            <w:pPr>
              <w:spacing w:after="0"/>
              <w:rPr>
                <w:sz w:val="17"/>
                <w:szCs w:val="17"/>
                <w:color w:val="auto"/>
              </w:rPr>
            </w:pPr>
          </w:p>
        </w:tc>
        <w:tc>
          <w:tcPr>
            <w:tcW w:w="12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8,048</w:t>
            </w:r>
          </w:p>
        </w:tc>
        <w:tc>
          <w:tcPr>
            <w:tcW w:w="260" w:type="dxa"/>
            <w:vAlign w:val="bottom"/>
            <w:tcBorders>
              <w:bottom w:val="single" w:sz="8" w:color="D7282F"/>
            </w:tcBorders>
          </w:tcPr>
          <w:p>
            <w:pPr>
              <w:spacing w:after="0"/>
              <w:rPr>
                <w:sz w:val="17"/>
                <w:szCs w:val="17"/>
                <w:color w:val="auto"/>
              </w:rPr>
            </w:pPr>
          </w:p>
        </w:tc>
        <w:tc>
          <w:tcPr>
            <w:tcW w:w="9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11,752</w:t>
            </w:r>
          </w:p>
        </w:tc>
        <w:tc>
          <w:tcPr>
            <w:tcW w:w="26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61,525</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ind w:left="480" w:right="20" w:hanging="344"/>
        <w:spacing w:after="0" w:line="189" w:lineRule="auto"/>
        <w:tabs>
          <w:tab w:leader="none" w:pos="480" w:val="left"/>
        </w:tabs>
        <w:numPr>
          <w:ilvl w:val="0"/>
          <w:numId w:val="175"/>
        </w:numPr>
        <w:rPr>
          <w:rFonts w:ascii="Arial" w:cs="Arial" w:eastAsia="Arial" w:hAnsi="Arial"/>
          <w:sz w:val="25"/>
          <w:szCs w:val="25"/>
          <w:color w:val="auto"/>
          <w:vertAlign w:val="superscript"/>
        </w:rPr>
      </w:pPr>
      <w:r>
        <w:rPr>
          <w:rFonts w:ascii="Arial" w:cs="Arial" w:eastAsia="Arial" w:hAnsi="Arial"/>
          <w:sz w:val="13"/>
          <w:szCs w:val="13"/>
          <w:color w:val="auto"/>
        </w:rPr>
        <w:t>For each reportable segment, the other segment items category includes research and development expenses, equity income of affiliated companies and certain allocated overhead expenses, which are comprised of salaries and fringe benefits, professional &amp; purchased services, and other indirect spend across core corporate functions such as central IT, corporate finance, human resources, supply chain, legal, government relations, and other corporate functions.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80" w:hanging="472"/>
        <w:spacing w:after="0"/>
        <w:tabs>
          <w:tab w:leader="none" w:pos="480" w:val="left"/>
        </w:tabs>
        <w:numPr>
          <w:ilvl w:val="0"/>
          <w:numId w:val="176"/>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13" w:name="page114"/>
    <w:bookmarkEnd w:id="113"/>
    <w:p>
      <w:pPr>
        <w:ind w:left="20"/>
        <w:spacing w:after="0"/>
        <w:tabs>
          <w:tab w:leader="none" w:pos="784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FINANCIAL STATEMENTS AND SUPPLEMENTARY DATA</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rPr>
              <w:t>Aerospace</w:t>
            </w:r>
          </w:p>
        </w:tc>
        <w:tc>
          <w:tcPr>
            <w:tcW w:w="120" w:type="dxa"/>
            <w:vAlign w:val="bottom"/>
          </w:tcPr>
          <w:p>
            <w:pPr>
              <w:spacing w:after="0"/>
              <w:rPr>
                <w:sz w:val="15"/>
                <w:szCs w:val="15"/>
                <w:color w:val="auto"/>
              </w:rPr>
            </w:pPr>
          </w:p>
        </w:tc>
        <w:tc>
          <w:tcPr>
            <w:tcW w:w="12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rPr>
              <w:t>Industrial</w:t>
            </w:r>
          </w:p>
        </w:tc>
        <w:tc>
          <w:tcPr>
            <w:tcW w:w="120" w:type="dxa"/>
            <w:vAlign w:val="bottom"/>
          </w:tcPr>
          <w:p>
            <w:pPr>
              <w:spacing w:after="0"/>
              <w:rPr>
                <w:sz w:val="15"/>
                <w:szCs w:val="15"/>
                <w:color w:val="auto"/>
              </w:rPr>
            </w:pPr>
          </w:p>
        </w:tc>
        <w:tc>
          <w:tcPr>
            <w:tcW w:w="12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rPr>
              <w:t>Building</w:t>
            </w:r>
          </w:p>
        </w:tc>
        <w:tc>
          <w:tcPr>
            <w:tcW w:w="120" w:type="dxa"/>
            <w:vAlign w:val="bottom"/>
          </w:tcPr>
          <w:p>
            <w:pPr>
              <w:spacing w:after="0"/>
              <w:rPr>
                <w:sz w:val="15"/>
                <w:szCs w:val="15"/>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Energy and</w:t>
            </w:r>
          </w:p>
        </w:tc>
        <w:tc>
          <w:tcPr>
            <w:tcW w:w="120" w:type="dxa"/>
            <w:vAlign w:val="bottom"/>
          </w:tcPr>
          <w:p>
            <w:pPr>
              <w:spacing w:after="0"/>
              <w:rPr>
                <w:sz w:val="15"/>
                <w:szCs w:val="15"/>
                <w:color w:val="auto"/>
              </w:rPr>
            </w:pPr>
          </w:p>
        </w:tc>
        <w:tc>
          <w:tcPr>
            <w:tcW w:w="11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rPr>
              <w:t>Corporate</w:t>
            </w:r>
          </w:p>
        </w:tc>
        <w:tc>
          <w:tcPr>
            <w:tcW w:w="140" w:type="dxa"/>
            <w:vAlign w:val="bottom"/>
          </w:tcPr>
          <w:p>
            <w:pPr>
              <w:spacing w:after="0"/>
              <w:rPr>
                <w:sz w:val="15"/>
                <w:szCs w:val="15"/>
                <w:color w:val="auto"/>
              </w:rPr>
            </w:pPr>
          </w:p>
        </w:tc>
        <w:tc>
          <w:tcPr>
            <w:tcW w:w="94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3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Sustainability</w:t>
            </w:r>
          </w:p>
        </w:tc>
        <w:tc>
          <w:tcPr>
            <w:tcW w:w="12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332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Year Ended December 31, 2022</w:t>
            </w:r>
          </w:p>
        </w:tc>
        <w:tc>
          <w:tcPr>
            <w:tcW w:w="140" w:type="dxa"/>
            <w:vAlign w:val="bottom"/>
            <w:tcBorders>
              <w:bottom w:val="single" w:sz="8" w:color="D7282F"/>
            </w:tcBorders>
          </w:tcPr>
          <w:p>
            <w:pPr>
              <w:spacing w:after="0"/>
              <w:rPr>
                <w:sz w:val="18"/>
                <w:szCs w:val="18"/>
                <w:color w:val="auto"/>
              </w:rPr>
            </w:pPr>
          </w:p>
        </w:tc>
        <w:tc>
          <w:tcPr>
            <w:tcW w:w="1320" w:type="dxa"/>
            <w:vAlign w:val="bottom"/>
            <w:tcBorders>
              <w:bottom w:val="single" w:sz="8" w:color="D7282F"/>
            </w:tcBorders>
            <w:gridSpan w:val="2"/>
          </w:tcPr>
          <w:p>
            <w:pPr>
              <w:jc w:val="center"/>
              <w:ind w:right="360"/>
              <w:spacing w:after="0"/>
              <w:rPr>
                <w:sz w:val="20"/>
                <w:szCs w:val="20"/>
                <w:color w:val="auto"/>
              </w:rPr>
            </w:pPr>
            <w:r>
              <w:rPr>
                <w:rFonts w:ascii="Arial" w:cs="Arial" w:eastAsia="Arial" w:hAnsi="Arial"/>
                <w:sz w:val="14"/>
                <w:szCs w:val="14"/>
                <w:b w:val="1"/>
                <w:bCs w:val="1"/>
                <w:color w:val="auto"/>
              </w:rPr>
              <w:t>Technologies</w:t>
            </w:r>
          </w:p>
        </w:tc>
        <w:tc>
          <w:tcPr>
            <w:tcW w:w="120" w:type="dxa"/>
            <w:vAlign w:val="bottom"/>
            <w:tcBorders>
              <w:bottom w:val="single" w:sz="8" w:color="D7282F"/>
            </w:tcBorders>
          </w:tcPr>
          <w:p>
            <w:pPr>
              <w:spacing w:after="0"/>
              <w:rPr>
                <w:sz w:val="18"/>
                <w:szCs w:val="18"/>
                <w:color w:val="auto"/>
              </w:rPr>
            </w:pPr>
          </w:p>
        </w:tc>
        <w:tc>
          <w:tcPr>
            <w:tcW w:w="1200" w:type="dxa"/>
            <w:vAlign w:val="bottom"/>
            <w:tcBorders>
              <w:bottom w:val="single" w:sz="8" w:color="D7282F"/>
            </w:tcBorders>
            <w:gridSpan w:val="2"/>
          </w:tcPr>
          <w:p>
            <w:pPr>
              <w:jc w:val="center"/>
              <w:ind w:right="360"/>
              <w:spacing w:after="0"/>
              <w:rPr>
                <w:sz w:val="20"/>
                <w:szCs w:val="20"/>
                <w:color w:val="auto"/>
              </w:rPr>
            </w:pPr>
            <w:r>
              <w:rPr>
                <w:rFonts w:ascii="Arial" w:cs="Arial" w:eastAsia="Arial" w:hAnsi="Arial"/>
                <w:sz w:val="14"/>
                <w:szCs w:val="14"/>
                <w:b w:val="1"/>
                <w:bCs w:val="1"/>
                <w:color w:val="auto"/>
              </w:rPr>
              <w:t>Automation</w:t>
            </w:r>
          </w:p>
        </w:tc>
        <w:tc>
          <w:tcPr>
            <w:tcW w:w="120" w:type="dxa"/>
            <w:vAlign w:val="bottom"/>
            <w:tcBorders>
              <w:bottom w:val="single" w:sz="8" w:color="D7282F"/>
            </w:tcBorders>
          </w:tcPr>
          <w:p>
            <w:pPr>
              <w:spacing w:after="0"/>
              <w:rPr>
                <w:sz w:val="18"/>
                <w:szCs w:val="18"/>
                <w:color w:val="auto"/>
              </w:rPr>
            </w:pPr>
          </w:p>
        </w:tc>
        <w:tc>
          <w:tcPr>
            <w:tcW w:w="1220" w:type="dxa"/>
            <w:vAlign w:val="bottom"/>
            <w:tcBorders>
              <w:bottom w:val="single" w:sz="8" w:color="D7282F"/>
            </w:tcBorders>
            <w:gridSpan w:val="2"/>
          </w:tcPr>
          <w:p>
            <w:pPr>
              <w:jc w:val="center"/>
              <w:ind w:right="360"/>
              <w:spacing w:after="0"/>
              <w:rPr>
                <w:sz w:val="20"/>
                <w:szCs w:val="20"/>
                <w:color w:val="auto"/>
              </w:rPr>
            </w:pPr>
            <w:r>
              <w:rPr>
                <w:rFonts w:ascii="Arial" w:cs="Arial" w:eastAsia="Arial" w:hAnsi="Arial"/>
                <w:sz w:val="14"/>
                <w:szCs w:val="14"/>
                <w:b w:val="1"/>
                <w:bCs w:val="1"/>
                <w:color w:val="auto"/>
              </w:rPr>
              <w:t>Automation</w:t>
            </w:r>
          </w:p>
        </w:tc>
        <w:tc>
          <w:tcPr>
            <w:tcW w:w="120" w:type="dxa"/>
            <w:vAlign w:val="bottom"/>
            <w:tcBorders>
              <w:bottom w:val="single" w:sz="8" w:color="D7282F"/>
            </w:tcBorders>
          </w:tcPr>
          <w:p>
            <w:pPr>
              <w:spacing w:after="0"/>
              <w:rPr>
                <w:sz w:val="18"/>
                <w:szCs w:val="18"/>
                <w:color w:val="auto"/>
              </w:rPr>
            </w:pPr>
          </w:p>
        </w:tc>
        <w:tc>
          <w:tcPr>
            <w:tcW w:w="1380" w:type="dxa"/>
            <w:vAlign w:val="bottom"/>
            <w:tcBorders>
              <w:bottom w:val="single" w:sz="8" w:color="D7282F"/>
            </w:tcBorders>
            <w:gridSpan w:val="2"/>
          </w:tcPr>
          <w:p>
            <w:pPr>
              <w:jc w:val="center"/>
              <w:ind w:right="360"/>
              <w:spacing w:after="0"/>
              <w:rPr>
                <w:sz w:val="20"/>
                <w:szCs w:val="20"/>
                <w:color w:val="auto"/>
              </w:rPr>
            </w:pPr>
            <w:r>
              <w:rPr>
                <w:rFonts w:ascii="Arial" w:cs="Arial" w:eastAsia="Arial" w:hAnsi="Arial"/>
                <w:sz w:val="14"/>
                <w:szCs w:val="14"/>
                <w:b w:val="1"/>
                <w:bCs w:val="1"/>
                <w:color w:val="auto"/>
              </w:rPr>
              <w:t>Solutions</w:t>
            </w:r>
          </w:p>
        </w:tc>
        <w:tc>
          <w:tcPr>
            <w:tcW w:w="1220" w:type="dxa"/>
            <w:vAlign w:val="bottom"/>
            <w:tcBorders>
              <w:bottom w:val="single" w:sz="8" w:color="D7282F"/>
            </w:tcBorders>
            <w:gridSpan w:val="3"/>
          </w:tcPr>
          <w:p>
            <w:pPr>
              <w:jc w:val="center"/>
              <w:ind w:right="240"/>
              <w:spacing w:after="0"/>
              <w:rPr>
                <w:sz w:val="20"/>
                <w:szCs w:val="20"/>
                <w:color w:val="auto"/>
              </w:rPr>
            </w:pPr>
            <w:r>
              <w:rPr>
                <w:rFonts w:ascii="Arial" w:cs="Arial" w:eastAsia="Arial" w:hAnsi="Arial"/>
                <w:sz w:val="14"/>
                <w:szCs w:val="14"/>
                <w:b w:val="1"/>
                <w:bCs w:val="1"/>
                <w:color w:val="auto"/>
              </w:rPr>
              <w:t>and All Other</w:t>
            </w:r>
          </w:p>
        </w:tc>
        <w:tc>
          <w:tcPr>
            <w:tcW w:w="140" w:type="dxa"/>
            <w:vAlign w:val="bottom"/>
            <w:tcBorders>
              <w:bottom w:val="single" w:sz="8" w:color="D7282F"/>
            </w:tcBorders>
          </w:tcPr>
          <w:p>
            <w:pPr>
              <w:spacing w:after="0"/>
              <w:rPr>
                <w:sz w:val="18"/>
                <w:szCs w:val="18"/>
                <w:color w:val="auto"/>
              </w:rPr>
            </w:pPr>
          </w:p>
        </w:tc>
        <w:tc>
          <w:tcPr>
            <w:tcW w:w="9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Honeywell</w:t>
            </w:r>
          </w:p>
        </w:tc>
        <w:tc>
          <w:tcPr>
            <w:tcW w:w="0" w:type="dxa"/>
            <w:vAlign w:val="bottom"/>
          </w:tcPr>
          <w:p>
            <w:pPr>
              <w:spacing w:after="0"/>
              <w:rPr>
                <w:sz w:val="1"/>
                <w:szCs w:val="1"/>
                <w:color w:val="auto"/>
              </w:rPr>
            </w:pPr>
          </w:p>
        </w:tc>
      </w:tr>
      <w:tr>
        <w:trPr>
          <w:trHeight w:val="196"/>
        </w:trPr>
        <w:tc>
          <w:tcPr>
            <w:tcW w:w="3320" w:type="dxa"/>
            <w:vAlign w:val="bottom"/>
            <w:tcBorders>
              <w:bottom w:val="single" w:sz="8" w:color="888B8D"/>
            </w:tcBorders>
          </w:tcPr>
          <w:p>
            <w:pPr>
              <w:ind w:left="20"/>
              <w:spacing w:after="0"/>
              <w:rPr>
                <w:sz w:val="20"/>
                <w:szCs w:val="20"/>
                <w:color w:val="auto"/>
              </w:rPr>
            </w:pPr>
            <w:r>
              <w:rPr>
                <w:rFonts w:ascii="Arial" w:cs="Arial" w:eastAsia="Arial" w:hAnsi="Arial"/>
                <w:sz w:val="14"/>
                <w:szCs w:val="14"/>
                <w:b w:val="1"/>
                <w:bCs w:val="1"/>
                <w:color w:val="auto"/>
              </w:rPr>
              <w:t>Net sales</w:t>
            </w:r>
          </w:p>
        </w:tc>
        <w:tc>
          <w:tcPr>
            <w:tcW w:w="140" w:type="dxa"/>
            <w:vAlign w:val="bottom"/>
            <w:tcBorders>
              <w:bottom w:val="single" w:sz="8" w:color="888B8D"/>
            </w:tcBorders>
          </w:tcPr>
          <w:p>
            <w:pPr>
              <w:spacing w:after="0"/>
              <w:rPr>
                <w:sz w:val="17"/>
                <w:szCs w:val="17"/>
                <w:color w:val="auto"/>
              </w:rPr>
            </w:pPr>
          </w:p>
        </w:tc>
        <w:tc>
          <w:tcPr>
            <w:tcW w:w="1100" w:type="dxa"/>
            <w:vAlign w:val="bottom"/>
            <w:tcBorders>
              <w:bottom w:val="single" w:sz="8" w:color="888B8D"/>
            </w:tcBorders>
          </w:tcPr>
          <w:p>
            <w:pPr>
              <w:spacing w:after="0"/>
              <w:rPr>
                <w:sz w:val="17"/>
                <w:szCs w:val="17"/>
                <w:color w:val="auto"/>
              </w:rPr>
            </w:pPr>
          </w:p>
        </w:tc>
        <w:tc>
          <w:tcPr>
            <w:tcW w:w="220" w:type="dxa"/>
            <w:vAlign w:val="bottom"/>
            <w:tcBorders>
              <w:bottom w:val="single" w:sz="8" w:color="888B8D"/>
            </w:tcBorders>
          </w:tcPr>
          <w:p>
            <w:pPr>
              <w:spacing w:after="0"/>
              <w:rPr>
                <w:sz w:val="17"/>
                <w:szCs w:val="17"/>
                <w:color w:val="auto"/>
              </w:rPr>
            </w:pPr>
          </w:p>
        </w:tc>
        <w:tc>
          <w:tcPr>
            <w:tcW w:w="120" w:type="dxa"/>
            <w:vAlign w:val="bottom"/>
            <w:tcBorders>
              <w:bottom w:val="single" w:sz="8" w:color="888B8D"/>
            </w:tcBorders>
          </w:tcPr>
          <w:p>
            <w:pPr>
              <w:spacing w:after="0"/>
              <w:rPr>
                <w:sz w:val="17"/>
                <w:szCs w:val="17"/>
                <w:color w:val="auto"/>
              </w:rPr>
            </w:pPr>
          </w:p>
        </w:tc>
        <w:tc>
          <w:tcPr>
            <w:tcW w:w="960" w:type="dxa"/>
            <w:vAlign w:val="bottom"/>
            <w:tcBorders>
              <w:bottom w:val="single" w:sz="8" w:color="888B8D"/>
            </w:tcBorders>
          </w:tcPr>
          <w:p>
            <w:pPr>
              <w:spacing w:after="0"/>
              <w:rPr>
                <w:sz w:val="17"/>
                <w:szCs w:val="17"/>
                <w:color w:val="auto"/>
              </w:rPr>
            </w:pPr>
          </w:p>
        </w:tc>
        <w:tc>
          <w:tcPr>
            <w:tcW w:w="240" w:type="dxa"/>
            <w:vAlign w:val="bottom"/>
            <w:tcBorders>
              <w:bottom w:val="single" w:sz="8" w:color="888B8D"/>
            </w:tcBorders>
          </w:tcPr>
          <w:p>
            <w:pPr>
              <w:spacing w:after="0"/>
              <w:rPr>
                <w:sz w:val="17"/>
                <w:szCs w:val="17"/>
                <w:color w:val="auto"/>
              </w:rPr>
            </w:pPr>
          </w:p>
        </w:tc>
        <w:tc>
          <w:tcPr>
            <w:tcW w:w="120" w:type="dxa"/>
            <w:vAlign w:val="bottom"/>
            <w:tcBorders>
              <w:bottom w:val="single" w:sz="8" w:color="888B8D"/>
            </w:tcBorders>
          </w:tcPr>
          <w:p>
            <w:pPr>
              <w:spacing w:after="0"/>
              <w:rPr>
                <w:sz w:val="17"/>
                <w:szCs w:val="17"/>
                <w:color w:val="auto"/>
              </w:rPr>
            </w:pPr>
          </w:p>
        </w:tc>
        <w:tc>
          <w:tcPr>
            <w:tcW w:w="980" w:type="dxa"/>
            <w:vAlign w:val="bottom"/>
            <w:tcBorders>
              <w:bottom w:val="single" w:sz="8" w:color="888B8D"/>
            </w:tcBorders>
          </w:tcPr>
          <w:p>
            <w:pPr>
              <w:spacing w:after="0"/>
              <w:rPr>
                <w:sz w:val="17"/>
                <w:szCs w:val="17"/>
                <w:color w:val="auto"/>
              </w:rPr>
            </w:pPr>
          </w:p>
        </w:tc>
        <w:tc>
          <w:tcPr>
            <w:tcW w:w="240" w:type="dxa"/>
            <w:vAlign w:val="bottom"/>
            <w:tcBorders>
              <w:bottom w:val="single" w:sz="8" w:color="888B8D"/>
            </w:tcBorders>
          </w:tcPr>
          <w:p>
            <w:pPr>
              <w:spacing w:after="0"/>
              <w:rPr>
                <w:sz w:val="17"/>
                <w:szCs w:val="17"/>
                <w:color w:val="auto"/>
              </w:rPr>
            </w:pPr>
          </w:p>
        </w:tc>
        <w:tc>
          <w:tcPr>
            <w:tcW w:w="120" w:type="dxa"/>
            <w:vAlign w:val="bottom"/>
            <w:tcBorders>
              <w:bottom w:val="single" w:sz="8" w:color="888B8D"/>
            </w:tcBorders>
          </w:tcPr>
          <w:p>
            <w:pPr>
              <w:spacing w:after="0"/>
              <w:rPr>
                <w:sz w:val="17"/>
                <w:szCs w:val="17"/>
                <w:color w:val="auto"/>
              </w:rPr>
            </w:pPr>
          </w:p>
        </w:tc>
        <w:tc>
          <w:tcPr>
            <w:tcW w:w="1160" w:type="dxa"/>
            <w:vAlign w:val="bottom"/>
            <w:tcBorders>
              <w:bottom w:val="single" w:sz="8" w:color="888B8D"/>
            </w:tcBorders>
          </w:tcPr>
          <w:p>
            <w:pPr>
              <w:spacing w:after="0"/>
              <w:rPr>
                <w:sz w:val="17"/>
                <w:szCs w:val="17"/>
                <w:color w:val="auto"/>
              </w:rPr>
            </w:pPr>
          </w:p>
        </w:tc>
        <w:tc>
          <w:tcPr>
            <w:tcW w:w="220" w:type="dxa"/>
            <w:vAlign w:val="bottom"/>
            <w:tcBorders>
              <w:bottom w:val="single" w:sz="8" w:color="888B8D"/>
            </w:tcBorders>
          </w:tcPr>
          <w:p>
            <w:pPr>
              <w:spacing w:after="0"/>
              <w:rPr>
                <w:sz w:val="17"/>
                <w:szCs w:val="17"/>
                <w:color w:val="auto"/>
              </w:rPr>
            </w:pPr>
          </w:p>
        </w:tc>
        <w:tc>
          <w:tcPr>
            <w:tcW w:w="120" w:type="dxa"/>
            <w:vAlign w:val="bottom"/>
            <w:tcBorders>
              <w:bottom w:val="single" w:sz="8" w:color="888B8D"/>
            </w:tcBorders>
          </w:tcPr>
          <w:p>
            <w:pPr>
              <w:spacing w:after="0"/>
              <w:rPr>
                <w:sz w:val="17"/>
                <w:szCs w:val="17"/>
                <w:color w:val="auto"/>
              </w:rPr>
            </w:pPr>
          </w:p>
        </w:tc>
        <w:tc>
          <w:tcPr>
            <w:tcW w:w="880" w:type="dxa"/>
            <w:vAlign w:val="bottom"/>
            <w:tcBorders>
              <w:bottom w:val="single" w:sz="8" w:color="888B8D"/>
            </w:tcBorders>
          </w:tcPr>
          <w:p>
            <w:pPr>
              <w:spacing w:after="0"/>
              <w:rPr>
                <w:sz w:val="17"/>
                <w:szCs w:val="17"/>
                <w:color w:val="auto"/>
              </w:rPr>
            </w:pPr>
          </w:p>
        </w:tc>
        <w:tc>
          <w:tcPr>
            <w:tcW w:w="220" w:type="dxa"/>
            <w:vAlign w:val="bottom"/>
            <w:tcBorders>
              <w:bottom w:val="single" w:sz="8" w:color="888B8D"/>
            </w:tcBorders>
          </w:tcPr>
          <w:p>
            <w:pPr>
              <w:spacing w:after="0"/>
              <w:rPr>
                <w:sz w:val="17"/>
                <w:szCs w:val="17"/>
                <w:color w:val="auto"/>
              </w:rPr>
            </w:pPr>
          </w:p>
        </w:tc>
        <w:tc>
          <w:tcPr>
            <w:tcW w:w="140" w:type="dxa"/>
            <w:vAlign w:val="bottom"/>
            <w:tcBorders>
              <w:bottom w:val="single" w:sz="8" w:color="888B8D"/>
            </w:tcBorders>
          </w:tcPr>
          <w:p>
            <w:pPr>
              <w:spacing w:after="0"/>
              <w:rPr>
                <w:sz w:val="17"/>
                <w:szCs w:val="17"/>
                <w:color w:val="auto"/>
              </w:rPr>
            </w:pPr>
          </w:p>
        </w:tc>
        <w:tc>
          <w:tcPr>
            <w:tcW w:w="940" w:type="dxa"/>
            <w:vAlign w:val="bottom"/>
            <w:tcBorders>
              <w:bottom w:val="single" w:sz="8" w:color="888B8D"/>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32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Products</w:t>
            </w:r>
          </w:p>
        </w:tc>
        <w:tc>
          <w:tcPr>
            <w:tcW w:w="1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6,330</w:t>
            </w:r>
          </w:p>
        </w:tc>
        <w:tc>
          <w:tcPr>
            <w:tcW w:w="220" w:type="dxa"/>
            <w:vAlign w:val="bottom"/>
            <w:tcBorders>
              <w:bottom w:val="single" w:sz="8" w:color="888B8D"/>
            </w:tcBorders>
          </w:tcPr>
          <w:p>
            <w:pPr>
              <w:spacing w:after="0"/>
              <w:rPr>
                <w:sz w:val="16"/>
                <w:szCs w:val="16"/>
                <w:color w:val="auto"/>
              </w:rPr>
            </w:pPr>
          </w:p>
        </w:tc>
        <w:tc>
          <w:tcPr>
            <w:tcW w:w="12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9,439</w:t>
            </w:r>
          </w:p>
        </w:tc>
        <w:tc>
          <w:tcPr>
            <w:tcW w:w="240" w:type="dxa"/>
            <w:vAlign w:val="bottom"/>
            <w:tcBorders>
              <w:bottom w:val="single" w:sz="8" w:color="888B8D"/>
            </w:tcBorders>
          </w:tcPr>
          <w:p>
            <w:pPr>
              <w:spacing w:after="0"/>
              <w:rPr>
                <w:sz w:val="16"/>
                <w:szCs w:val="16"/>
                <w:color w:val="auto"/>
              </w:rPr>
            </w:pPr>
          </w:p>
        </w:tc>
        <w:tc>
          <w:tcPr>
            <w:tcW w:w="12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4,591</w:t>
            </w:r>
          </w:p>
        </w:tc>
        <w:tc>
          <w:tcPr>
            <w:tcW w:w="240" w:type="dxa"/>
            <w:vAlign w:val="bottom"/>
            <w:tcBorders>
              <w:bottom w:val="single" w:sz="8" w:color="888B8D"/>
            </w:tcBorders>
          </w:tcPr>
          <w:p>
            <w:pPr>
              <w:spacing w:after="0"/>
              <w:rPr>
                <w:sz w:val="16"/>
                <w:szCs w:val="16"/>
                <w:color w:val="auto"/>
              </w:rPr>
            </w:pPr>
          </w:p>
        </w:tc>
        <w:tc>
          <w:tcPr>
            <w:tcW w:w="12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888B8D"/>
            </w:tcBorders>
          </w:tcPr>
          <w:p>
            <w:pPr>
              <w:jc w:val="right"/>
              <w:ind w:right="8"/>
              <w:spacing w:after="0"/>
              <w:rPr>
                <w:sz w:val="20"/>
                <w:szCs w:val="20"/>
                <w:color w:val="auto"/>
              </w:rPr>
            </w:pPr>
            <w:r>
              <w:rPr>
                <w:rFonts w:ascii="Arial" w:cs="Arial" w:eastAsia="Arial" w:hAnsi="Arial"/>
                <w:sz w:val="14"/>
                <w:szCs w:val="14"/>
                <w:color w:val="auto"/>
              </w:rPr>
              <w:t>5,600</w:t>
            </w:r>
          </w:p>
        </w:tc>
        <w:tc>
          <w:tcPr>
            <w:tcW w:w="220" w:type="dxa"/>
            <w:vAlign w:val="bottom"/>
            <w:tcBorders>
              <w:bottom w:val="single" w:sz="8" w:color="888B8D"/>
            </w:tcBorders>
          </w:tcPr>
          <w:p>
            <w:pPr>
              <w:spacing w:after="0"/>
              <w:rPr>
                <w:sz w:val="16"/>
                <w:szCs w:val="16"/>
                <w:color w:val="auto"/>
              </w:rPr>
            </w:pPr>
          </w:p>
        </w:tc>
        <w:tc>
          <w:tcPr>
            <w:tcW w:w="12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888B8D"/>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25,960</w:t>
            </w:r>
          </w:p>
        </w:tc>
        <w:tc>
          <w:tcPr>
            <w:tcW w:w="0" w:type="dxa"/>
            <w:vAlign w:val="bottom"/>
          </w:tcPr>
          <w:p>
            <w:pPr>
              <w:spacing w:after="0"/>
              <w:rPr>
                <w:sz w:val="1"/>
                <w:szCs w:val="1"/>
                <w:color w:val="auto"/>
              </w:rPr>
            </w:pPr>
          </w:p>
        </w:tc>
      </w:tr>
      <w:tr>
        <w:trPr>
          <w:trHeight w:val="196"/>
        </w:trPr>
        <w:tc>
          <w:tcPr>
            <w:tcW w:w="332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Services</w:t>
            </w:r>
          </w:p>
        </w:tc>
        <w:tc>
          <w:tcPr>
            <w:tcW w:w="140" w:type="dxa"/>
            <w:vAlign w:val="bottom"/>
            <w:tcBorders>
              <w:bottom w:val="single" w:sz="8" w:color="D7282F"/>
            </w:tcBorders>
          </w:tcPr>
          <w:p>
            <w:pPr>
              <w:spacing w:after="0"/>
              <w:rPr>
                <w:sz w:val="17"/>
                <w:szCs w:val="17"/>
                <w:color w:val="auto"/>
              </w:rPr>
            </w:pPr>
          </w:p>
        </w:tc>
        <w:tc>
          <w:tcPr>
            <w:tcW w:w="11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5,497</w:t>
            </w:r>
          </w:p>
        </w:tc>
        <w:tc>
          <w:tcPr>
            <w:tcW w:w="220" w:type="dxa"/>
            <w:vAlign w:val="bottom"/>
            <w:tcBorders>
              <w:bottom w:val="single" w:sz="8" w:color="D7282F"/>
            </w:tcBorders>
          </w:tcPr>
          <w:p>
            <w:pPr>
              <w:spacing w:after="0"/>
              <w:rPr>
                <w:sz w:val="17"/>
                <w:szCs w:val="17"/>
                <w:color w:val="auto"/>
              </w:rPr>
            </w:pPr>
          </w:p>
        </w:tc>
        <w:tc>
          <w:tcPr>
            <w:tcW w:w="120" w:type="dxa"/>
            <w:vAlign w:val="bottom"/>
            <w:tcBorders>
              <w:bottom w:val="single" w:sz="8" w:color="D7282F"/>
            </w:tcBorders>
          </w:tcPr>
          <w:p>
            <w:pPr>
              <w:spacing w:after="0"/>
              <w:rPr>
                <w:sz w:val="17"/>
                <w:szCs w:val="17"/>
                <w:color w:val="auto"/>
              </w:rPr>
            </w:pPr>
          </w:p>
        </w:tc>
        <w:tc>
          <w:tcPr>
            <w:tcW w:w="9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2,199</w:t>
            </w:r>
          </w:p>
        </w:tc>
        <w:tc>
          <w:tcPr>
            <w:tcW w:w="240" w:type="dxa"/>
            <w:vAlign w:val="bottom"/>
            <w:tcBorders>
              <w:bottom w:val="single" w:sz="8" w:color="D7282F"/>
            </w:tcBorders>
          </w:tcPr>
          <w:p>
            <w:pPr>
              <w:spacing w:after="0"/>
              <w:rPr>
                <w:sz w:val="17"/>
                <w:szCs w:val="17"/>
                <w:color w:val="auto"/>
              </w:rPr>
            </w:pPr>
          </w:p>
        </w:tc>
        <w:tc>
          <w:tcPr>
            <w:tcW w:w="120" w:type="dxa"/>
            <w:vAlign w:val="bottom"/>
            <w:tcBorders>
              <w:bottom w:val="single" w:sz="8" w:color="D7282F"/>
            </w:tcBorders>
          </w:tcPr>
          <w:p>
            <w:pPr>
              <w:spacing w:after="0"/>
              <w:rPr>
                <w:sz w:val="17"/>
                <w:szCs w:val="17"/>
                <w:color w:val="auto"/>
              </w:rPr>
            </w:pPr>
          </w:p>
        </w:tc>
        <w:tc>
          <w:tcPr>
            <w:tcW w:w="9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1,409</w:t>
            </w:r>
          </w:p>
        </w:tc>
        <w:tc>
          <w:tcPr>
            <w:tcW w:w="240" w:type="dxa"/>
            <w:vAlign w:val="bottom"/>
            <w:tcBorders>
              <w:bottom w:val="single" w:sz="8" w:color="D7282F"/>
            </w:tcBorders>
          </w:tcPr>
          <w:p>
            <w:pPr>
              <w:spacing w:after="0"/>
              <w:rPr>
                <w:sz w:val="17"/>
                <w:szCs w:val="17"/>
                <w:color w:val="auto"/>
              </w:rPr>
            </w:pPr>
          </w:p>
        </w:tc>
        <w:tc>
          <w:tcPr>
            <w:tcW w:w="120" w:type="dxa"/>
            <w:vAlign w:val="bottom"/>
            <w:tcBorders>
              <w:bottom w:val="single" w:sz="8" w:color="D7282F"/>
            </w:tcBorders>
          </w:tcPr>
          <w:p>
            <w:pPr>
              <w:spacing w:after="0"/>
              <w:rPr>
                <w:sz w:val="17"/>
                <w:szCs w:val="17"/>
                <w:color w:val="auto"/>
              </w:rPr>
            </w:pPr>
          </w:p>
        </w:tc>
        <w:tc>
          <w:tcPr>
            <w:tcW w:w="116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396</w:t>
            </w:r>
          </w:p>
        </w:tc>
        <w:tc>
          <w:tcPr>
            <w:tcW w:w="220" w:type="dxa"/>
            <w:vAlign w:val="bottom"/>
            <w:tcBorders>
              <w:bottom w:val="single" w:sz="8" w:color="D7282F"/>
            </w:tcBorders>
          </w:tcPr>
          <w:p>
            <w:pPr>
              <w:spacing w:after="0"/>
              <w:rPr>
                <w:sz w:val="17"/>
                <w:szCs w:val="17"/>
                <w:color w:val="auto"/>
              </w:rPr>
            </w:pPr>
          </w:p>
        </w:tc>
        <w:tc>
          <w:tcPr>
            <w:tcW w:w="120" w:type="dxa"/>
            <w:vAlign w:val="bottom"/>
            <w:tcBorders>
              <w:bottom w:val="single" w:sz="8" w:color="D7282F"/>
            </w:tcBorders>
          </w:tcPr>
          <w:p>
            <w:pPr>
              <w:spacing w:after="0"/>
              <w:rPr>
                <w:sz w:val="17"/>
                <w:szCs w:val="17"/>
                <w:color w:val="auto"/>
              </w:rPr>
            </w:pPr>
          </w:p>
        </w:tc>
        <w:tc>
          <w:tcPr>
            <w:tcW w:w="8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5</w:t>
            </w:r>
          </w:p>
        </w:tc>
        <w:tc>
          <w:tcPr>
            <w:tcW w:w="220" w:type="dxa"/>
            <w:vAlign w:val="bottom"/>
            <w:tcBorders>
              <w:bottom w:val="single" w:sz="8" w:color="D7282F"/>
            </w:tcBorders>
          </w:tcPr>
          <w:p>
            <w:pPr>
              <w:spacing w:after="0"/>
              <w:rPr>
                <w:sz w:val="17"/>
                <w:szCs w:val="17"/>
                <w:color w:val="auto"/>
              </w:rPr>
            </w:pPr>
          </w:p>
        </w:tc>
        <w:tc>
          <w:tcPr>
            <w:tcW w:w="14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9,506</w:t>
            </w:r>
          </w:p>
        </w:tc>
        <w:tc>
          <w:tcPr>
            <w:tcW w:w="0" w:type="dxa"/>
            <w:vAlign w:val="bottom"/>
          </w:tcPr>
          <w:p>
            <w:pPr>
              <w:spacing w:after="0"/>
              <w:rPr>
                <w:sz w:val="1"/>
                <w:szCs w:val="1"/>
                <w:color w:val="auto"/>
              </w:rPr>
            </w:pPr>
          </w:p>
        </w:tc>
      </w:tr>
      <w:tr>
        <w:trPr>
          <w:trHeight w:val="199"/>
        </w:trPr>
        <w:tc>
          <w:tcPr>
            <w:tcW w:w="332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Net sales</w:t>
            </w:r>
          </w:p>
        </w:tc>
        <w:tc>
          <w:tcPr>
            <w:tcW w:w="140" w:type="dxa"/>
            <w:vAlign w:val="bottom"/>
            <w:tcBorders>
              <w:bottom w:val="single" w:sz="8" w:color="D7282F"/>
            </w:tcBorders>
          </w:tcPr>
          <w:p>
            <w:pPr>
              <w:spacing w:after="0"/>
              <w:rPr>
                <w:sz w:val="17"/>
                <w:szCs w:val="17"/>
                <w:color w:val="auto"/>
              </w:rPr>
            </w:pPr>
          </w:p>
        </w:tc>
        <w:tc>
          <w:tcPr>
            <w:tcW w:w="11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11,827</w:t>
            </w:r>
          </w:p>
        </w:tc>
        <w:tc>
          <w:tcPr>
            <w:tcW w:w="220" w:type="dxa"/>
            <w:vAlign w:val="bottom"/>
            <w:tcBorders>
              <w:bottom w:val="single" w:sz="8" w:color="D7282F"/>
            </w:tcBorders>
          </w:tcPr>
          <w:p>
            <w:pPr>
              <w:spacing w:after="0"/>
              <w:rPr>
                <w:sz w:val="17"/>
                <w:szCs w:val="17"/>
                <w:color w:val="auto"/>
              </w:rPr>
            </w:pPr>
          </w:p>
        </w:tc>
        <w:tc>
          <w:tcPr>
            <w:tcW w:w="120" w:type="dxa"/>
            <w:vAlign w:val="bottom"/>
            <w:tcBorders>
              <w:bottom w:val="single" w:sz="8" w:color="D7282F"/>
            </w:tcBorders>
          </w:tcPr>
          <w:p>
            <w:pPr>
              <w:spacing w:after="0"/>
              <w:rPr>
                <w:sz w:val="17"/>
                <w:szCs w:val="17"/>
                <w:color w:val="auto"/>
              </w:rPr>
            </w:pPr>
          </w:p>
        </w:tc>
        <w:tc>
          <w:tcPr>
            <w:tcW w:w="9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11,638</w:t>
            </w:r>
          </w:p>
        </w:tc>
        <w:tc>
          <w:tcPr>
            <w:tcW w:w="240" w:type="dxa"/>
            <w:vAlign w:val="bottom"/>
            <w:tcBorders>
              <w:bottom w:val="single" w:sz="8" w:color="D7282F"/>
            </w:tcBorders>
          </w:tcPr>
          <w:p>
            <w:pPr>
              <w:spacing w:after="0"/>
              <w:rPr>
                <w:sz w:val="17"/>
                <w:szCs w:val="17"/>
                <w:color w:val="auto"/>
              </w:rPr>
            </w:pPr>
          </w:p>
        </w:tc>
        <w:tc>
          <w:tcPr>
            <w:tcW w:w="120" w:type="dxa"/>
            <w:vAlign w:val="bottom"/>
            <w:tcBorders>
              <w:bottom w:val="single" w:sz="8" w:color="D7282F"/>
            </w:tcBorders>
          </w:tcPr>
          <w:p>
            <w:pPr>
              <w:spacing w:after="0"/>
              <w:rPr>
                <w:sz w:val="17"/>
                <w:szCs w:val="17"/>
                <w:color w:val="auto"/>
              </w:rPr>
            </w:pPr>
          </w:p>
        </w:tc>
        <w:tc>
          <w:tcPr>
            <w:tcW w:w="9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6,000</w:t>
            </w:r>
          </w:p>
        </w:tc>
        <w:tc>
          <w:tcPr>
            <w:tcW w:w="240" w:type="dxa"/>
            <w:vAlign w:val="bottom"/>
            <w:tcBorders>
              <w:bottom w:val="single" w:sz="8" w:color="D7282F"/>
            </w:tcBorders>
          </w:tcPr>
          <w:p>
            <w:pPr>
              <w:spacing w:after="0"/>
              <w:rPr>
                <w:sz w:val="17"/>
                <w:szCs w:val="17"/>
                <w:color w:val="auto"/>
              </w:rPr>
            </w:pPr>
          </w:p>
        </w:tc>
        <w:tc>
          <w:tcPr>
            <w:tcW w:w="120" w:type="dxa"/>
            <w:vAlign w:val="bottom"/>
            <w:tcBorders>
              <w:bottom w:val="single" w:sz="8" w:color="D7282F"/>
            </w:tcBorders>
          </w:tcPr>
          <w:p>
            <w:pPr>
              <w:spacing w:after="0"/>
              <w:rPr>
                <w:sz w:val="17"/>
                <w:szCs w:val="17"/>
                <w:color w:val="auto"/>
              </w:rPr>
            </w:pPr>
          </w:p>
        </w:tc>
        <w:tc>
          <w:tcPr>
            <w:tcW w:w="116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5,996</w:t>
            </w:r>
          </w:p>
        </w:tc>
        <w:tc>
          <w:tcPr>
            <w:tcW w:w="220" w:type="dxa"/>
            <w:vAlign w:val="bottom"/>
            <w:tcBorders>
              <w:bottom w:val="single" w:sz="8" w:color="D7282F"/>
            </w:tcBorders>
          </w:tcPr>
          <w:p>
            <w:pPr>
              <w:spacing w:after="0"/>
              <w:rPr>
                <w:sz w:val="17"/>
                <w:szCs w:val="17"/>
                <w:color w:val="auto"/>
              </w:rPr>
            </w:pPr>
          </w:p>
        </w:tc>
        <w:tc>
          <w:tcPr>
            <w:tcW w:w="120" w:type="dxa"/>
            <w:vAlign w:val="bottom"/>
            <w:tcBorders>
              <w:bottom w:val="single" w:sz="8" w:color="D7282F"/>
            </w:tcBorders>
          </w:tcPr>
          <w:p>
            <w:pPr>
              <w:spacing w:after="0"/>
              <w:rPr>
                <w:sz w:val="17"/>
                <w:szCs w:val="17"/>
                <w:color w:val="auto"/>
              </w:rPr>
            </w:pPr>
          </w:p>
        </w:tc>
        <w:tc>
          <w:tcPr>
            <w:tcW w:w="8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5</w:t>
            </w:r>
          </w:p>
        </w:tc>
        <w:tc>
          <w:tcPr>
            <w:tcW w:w="220" w:type="dxa"/>
            <w:vAlign w:val="bottom"/>
            <w:tcBorders>
              <w:bottom w:val="single" w:sz="8" w:color="D7282F"/>
            </w:tcBorders>
          </w:tcPr>
          <w:p>
            <w:pPr>
              <w:spacing w:after="0"/>
              <w:rPr>
                <w:sz w:val="17"/>
                <w:szCs w:val="17"/>
                <w:color w:val="auto"/>
              </w:rPr>
            </w:pPr>
          </w:p>
        </w:tc>
        <w:tc>
          <w:tcPr>
            <w:tcW w:w="14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35,466</w:t>
            </w:r>
          </w:p>
        </w:tc>
        <w:tc>
          <w:tcPr>
            <w:tcW w:w="0" w:type="dxa"/>
            <w:vAlign w:val="bottom"/>
          </w:tcPr>
          <w:p>
            <w:pPr>
              <w:spacing w:after="0"/>
              <w:rPr>
                <w:sz w:val="1"/>
                <w:szCs w:val="1"/>
                <w:color w:val="auto"/>
              </w:rPr>
            </w:pPr>
          </w:p>
        </w:tc>
      </w:tr>
      <w:tr>
        <w:trPr>
          <w:trHeight w:val="196"/>
        </w:trPr>
        <w:tc>
          <w:tcPr>
            <w:tcW w:w="3320" w:type="dxa"/>
            <w:vAlign w:val="bottom"/>
            <w:tcBorders>
              <w:bottom w:val="single" w:sz="8" w:color="888B8D"/>
            </w:tcBorders>
          </w:tcPr>
          <w:p>
            <w:pPr>
              <w:ind w:left="20"/>
              <w:spacing w:after="0"/>
              <w:rPr>
                <w:sz w:val="20"/>
                <w:szCs w:val="20"/>
                <w:color w:val="auto"/>
              </w:rPr>
            </w:pPr>
            <w:r>
              <w:rPr>
                <w:rFonts w:ascii="Arial" w:cs="Arial" w:eastAsia="Arial" w:hAnsi="Arial"/>
                <w:sz w:val="14"/>
                <w:szCs w:val="14"/>
                <w:b w:val="1"/>
                <w:bCs w:val="1"/>
                <w:color w:val="auto"/>
              </w:rPr>
              <w:t>Less</w:t>
            </w:r>
          </w:p>
        </w:tc>
        <w:tc>
          <w:tcPr>
            <w:tcW w:w="140" w:type="dxa"/>
            <w:vAlign w:val="bottom"/>
            <w:tcBorders>
              <w:bottom w:val="single" w:sz="8" w:color="888B8D"/>
            </w:tcBorders>
          </w:tcPr>
          <w:p>
            <w:pPr>
              <w:spacing w:after="0"/>
              <w:rPr>
                <w:sz w:val="17"/>
                <w:szCs w:val="17"/>
                <w:color w:val="auto"/>
              </w:rPr>
            </w:pPr>
          </w:p>
        </w:tc>
        <w:tc>
          <w:tcPr>
            <w:tcW w:w="1100" w:type="dxa"/>
            <w:vAlign w:val="bottom"/>
            <w:tcBorders>
              <w:bottom w:val="single" w:sz="8" w:color="888B8D"/>
            </w:tcBorders>
          </w:tcPr>
          <w:p>
            <w:pPr>
              <w:spacing w:after="0"/>
              <w:rPr>
                <w:sz w:val="17"/>
                <w:szCs w:val="17"/>
                <w:color w:val="auto"/>
              </w:rPr>
            </w:pPr>
          </w:p>
        </w:tc>
        <w:tc>
          <w:tcPr>
            <w:tcW w:w="220" w:type="dxa"/>
            <w:vAlign w:val="bottom"/>
            <w:tcBorders>
              <w:bottom w:val="single" w:sz="8" w:color="888B8D"/>
            </w:tcBorders>
          </w:tcPr>
          <w:p>
            <w:pPr>
              <w:spacing w:after="0"/>
              <w:rPr>
                <w:sz w:val="17"/>
                <w:szCs w:val="17"/>
                <w:color w:val="auto"/>
              </w:rPr>
            </w:pPr>
          </w:p>
        </w:tc>
        <w:tc>
          <w:tcPr>
            <w:tcW w:w="120" w:type="dxa"/>
            <w:vAlign w:val="bottom"/>
            <w:tcBorders>
              <w:bottom w:val="single" w:sz="8" w:color="888B8D"/>
            </w:tcBorders>
          </w:tcPr>
          <w:p>
            <w:pPr>
              <w:spacing w:after="0"/>
              <w:rPr>
                <w:sz w:val="17"/>
                <w:szCs w:val="17"/>
                <w:color w:val="auto"/>
              </w:rPr>
            </w:pPr>
          </w:p>
        </w:tc>
        <w:tc>
          <w:tcPr>
            <w:tcW w:w="960" w:type="dxa"/>
            <w:vAlign w:val="bottom"/>
            <w:tcBorders>
              <w:bottom w:val="single" w:sz="8" w:color="888B8D"/>
            </w:tcBorders>
          </w:tcPr>
          <w:p>
            <w:pPr>
              <w:spacing w:after="0"/>
              <w:rPr>
                <w:sz w:val="17"/>
                <w:szCs w:val="17"/>
                <w:color w:val="auto"/>
              </w:rPr>
            </w:pPr>
          </w:p>
        </w:tc>
        <w:tc>
          <w:tcPr>
            <w:tcW w:w="240" w:type="dxa"/>
            <w:vAlign w:val="bottom"/>
            <w:tcBorders>
              <w:bottom w:val="single" w:sz="8" w:color="888B8D"/>
            </w:tcBorders>
          </w:tcPr>
          <w:p>
            <w:pPr>
              <w:spacing w:after="0"/>
              <w:rPr>
                <w:sz w:val="17"/>
                <w:szCs w:val="17"/>
                <w:color w:val="auto"/>
              </w:rPr>
            </w:pPr>
          </w:p>
        </w:tc>
        <w:tc>
          <w:tcPr>
            <w:tcW w:w="120" w:type="dxa"/>
            <w:vAlign w:val="bottom"/>
            <w:tcBorders>
              <w:bottom w:val="single" w:sz="8" w:color="888B8D"/>
            </w:tcBorders>
          </w:tcPr>
          <w:p>
            <w:pPr>
              <w:spacing w:after="0"/>
              <w:rPr>
                <w:sz w:val="17"/>
                <w:szCs w:val="17"/>
                <w:color w:val="auto"/>
              </w:rPr>
            </w:pPr>
          </w:p>
        </w:tc>
        <w:tc>
          <w:tcPr>
            <w:tcW w:w="980" w:type="dxa"/>
            <w:vAlign w:val="bottom"/>
            <w:tcBorders>
              <w:bottom w:val="single" w:sz="8" w:color="888B8D"/>
            </w:tcBorders>
          </w:tcPr>
          <w:p>
            <w:pPr>
              <w:spacing w:after="0"/>
              <w:rPr>
                <w:sz w:val="17"/>
                <w:szCs w:val="17"/>
                <w:color w:val="auto"/>
              </w:rPr>
            </w:pPr>
          </w:p>
        </w:tc>
        <w:tc>
          <w:tcPr>
            <w:tcW w:w="240" w:type="dxa"/>
            <w:vAlign w:val="bottom"/>
            <w:tcBorders>
              <w:bottom w:val="single" w:sz="8" w:color="888B8D"/>
            </w:tcBorders>
          </w:tcPr>
          <w:p>
            <w:pPr>
              <w:spacing w:after="0"/>
              <w:rPr>
                <w:sz w:val="17"/>
                <w:szCs w:val="17"/>
                <w:color w:val="auto"/>
              </w:rPr>
            </w:pPr>
          </w:p>
        </w:tc>
        <w:tc>
          <w:tcPr>
            <w:tcW w:w="120" w:type="dxa"/>
            <w:vAlign w:val="bottom"/>
            <w:tcBorders>
              <w:bottom w:val="single" w:sz="8" w:color="888B8D"/>
            </w:tcBorders>
          </w:tcPr>
          <w:p>
            <w:pPr>
              <w:spacing w:after="0"/>
              <w:rPr>
                <w:sz w:val="17"/>
                <w:szCs w:val="17"/>
                <w:color w:val="auto"/>
              </w:rPr>
            </w:pPr>
          </w:p>
        </w:tc>
        <w:tc>
          <w:tcPr>
            <w:tcW w:w="1160" w:type="dxa"/>
            <w:vAlign w:val="bottom"/>
            <w:tcBorders>
              <w:bottom w:val="single" w:sz="8" w:color="888B8D"/>
            </w:tcBorders>
          </w:tcPr>
          <w:p>
            <w:pPr>
              <w:spacing w:after="0"/>
              <w:rPr>
                <w:sz w:val="17"/>
                <w:szCs w:val="17"/>
                <w:color w:val="auto"/>
              </w:rPr>
            </w:pPr>
          </w:p>
        </w:tc>
        <w:tc>
          <w:tcPr>
            <w:tcW w:w="220" w:type="dxa"/>
            <w:vAlign w:val="bottom"/>
            <w:tcBorders>
              <w:bottom w:val="single" w:sz="8" w:color="888B8D"/>
            </w:tcBorders>
          </w:tcPr>
          <w:p>
            <w:pPr>
              <w:spacing w:after="0"/>
              <w:rPr>
                <w:sz w:val="17"/>
                <w:szCs w:val="17"/>
                <w:color w:val="auto"/>
              </w:rPr>
            </w:pPr>
          </w:p>
        </w:tc>
        <w:tc>
          <w:tcPr>
            <w:tcW w:w="120" w:type="dxa"/>
            <w:vAlign w:val="bottom"/>
            <w:tcBorders>
              <w:bottom w:val="single" w:sz="8" w:color="888B8D"/>
            </w:tcBorders>
          </w:tcPr>
          <w:p>
            <w:pPr>
              <w:spacing w:after="0"/>
              <w:rPr>
                <w:sz w:val="17"/>
                <w:szCs w:val="17"/>
                <w:color w:val="auto"/>
              </w:rPr>
            </w:pPr>
          </w:p>
        </w:tc>
        <w:tc>
          <w:tcPr>
            <w:tcW w:w="880" w:type="dxa"/>
            <w:vAlign w:val="bottom"/>
            <w:tcBorders>
              <w:bottom w:val="single" w:sz="8" w:color="888B8D"/>
            </w:tcBorders>
          </w:tcPr>
          <w:p>
            <w:pPr>
              <w:spacing w:after="0"/>
              <w:rPr>
                <w:sz w:val="17"/>
                <w:szCs w:val="17"/>
                <w:color w:val="auto"/>
              </w:rPr>
            </w:pPr>
          </w:p>
        </w:tc>
        <w:tc>
          <w:tcPr>
            <w:tcW w:w="220" w:type="dxa"/>
            <w:vAlign w:val="bottom"/>
            <w:tcBorders>
              <w:bottom w:val="single" w:sz="8" w:color="888B8D"/>
            </w:tcBorders>
          </w:tcPr>
          <w:p>
            <w:pPr>
              <w:spacing w:after="0"/>
              <w:rPr>
                <w:sz w:val="17"/>
                <w:szCs w:val="17"/>
                <w:color w:val="auto"/>
              </w:rPr>
            </w:pPr>
          </w:p>
        </w:tc>
        <w:tc>
          <w:tcPr>
            <w:tcW w:w="140" w:type="dxa"/>
            <w:vAlign w:val="bottom"/>
            <w:tcBorders>
              <w:bottom w:val="single" w:sz="8" w:color="888B8D"/>
            </w:tcBorders>
          </w:tcPr>
          <w:p>
            <w:pPr>
              <w:spacing w:after="0"/>
              <w:rPr>
                <w:sz w:val="17"/>
                <w:szCs w:val="17"/>
                <w:color w:val="auto"/>
              </w:rPr>
            </w:pPr>
          </w:p>
        </w:tc>
        <w:tc>
          <w:tcPr>
            <w:tcW w:w="940" w:type="dxa"/>
            <w:vAlign w:val="bottom"/>
            <w:tcBorders>
              <w:bottom w:val="single" w:sz="8" w:color="888B8D"/>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32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Cost of products and services sold</w:t>
            </w:r>
          </w:p>
        </w:tc>
        <w:tc>
          <w:tcPr>
            <w:tcW w:w="140" w:type="dxa"/>
            <w:vAlign w:val="bottom"/>
            <w:tcBorders>
              <w:bottom w:val="single" w:sz="8" w:color="888B8D"/>
            </w:tcBorders>
          </w:tcPr>
          <w:p>
            <w:pPr>
              <w:spacing w:after="0"/>
              <w:rPr>
                <w:sz w:val="16"/>
                <w:szCs w:val="16"/>
                <w:color w:val="auto"/>
              </w:rPr>
            </w:pPr>
          </w:p>
        </w:tc>
        <w:tc>
          <w:tcPr>
            <w:tcW w:w="11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7,183</w:t>
            </w:r>
          </w:p>
        </w:tc>
        <w:tc>
          <w:tcPr>
            <w:tcW w:w="220" w:type="dxa"/>
            <w:vAlign w:val="bottom"/>
            <w:tcBorders>
              <w:bottom w:val="single" w:sz="8" w:color="888B8D"/>
            </w:tcBorders>
          </w:tcPr>
          <w:p>
            <w:pPr>
              <w:spacing w:after="0"/>
              <w:rPr>
                <w:sz w:val="16"/>
                <w:szCs w:val="16"/>
                <w:color w:val="auto"/>
              </w:rPr>
            </w:pPr>
          </w:p>
        </w:tc>
        <w:tc>
          <w:tcPr>
            <w:tcW w:w="120" w:type="dxa"/>
            <w:vAlign w:val="bottom"/>
            <w:tcBorders>
              <w:bottom w:val="single" w:sz="8" w:color="888B8D"/>
            </w:tcBorders>
          </w:tcPr>
          <w:p>
            <w:pPr>
              <w:spacing w:after="0"/>
              <w:rPr>
                <w:sz w:val="16"/>
                <w:szCs w:val="16"/>
                <w:color w:val="auto"/>
              </w:rPr>
            </w:pPr>
          </w:p>
        </w:tc>
        <w:tc>
          <w:tcPr>
            <w:tcW w:w="9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7,230</w:t>
            </w:r>
          </w:p>
        </w:tc>
        <w:tc>
          <w:tcPr>
            <w:tcW w:w="240" w:type="dxa"/>
            <w:vAlign w:val="bottom"/>
            <w:tcBorders>
              <w:bottom w:val="single" w:sz="8" w:color="888B8D"/>
            </w:tcBorders>
          </w:tcPr>
          <w:p>
            <w:pPr>
              <w:spacing w:after="0"/>
              <w:rPr>
                <w:sz w:val="16"/>
                <w:szCs w:val="16"/>
                <w:color w:val="auto"/>
              </w:rPr>
            </w:pPr>
          </w:p>
        </w:tc>
        <w:tc>
          <w:tcPr>
            <w:tcW w:w="120" w:type="dxa"/>
            <w:vAlign w:val="bottom"/>
            <w:tcBorders>
              <w:bottom w:val="single" w:sz="8" w:color="888B8D"/>
            </w:tcBorders>
          </w:tcPr>
          <w:p>
            <w:pPr>
              <w:spacing w:after="0"/>
              <w:rPr>
                <w:sz w:val="16"/>
                <w:szCs w:val="16"/>
                <w:color w:val="auto"/>
              </w:rPr>
            </w:pPr>
          </w:p>
        </w:tc>
        <w:tc>
          <w:tcPr>
            <w:tcW w:w="98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3,250</w:t>
            </w:r>
          </w:p>
        </w:tc>
        <w:tc>
          <w:tcPr>
            <w:tcW w:w="240" w:type="dxa"/>
            <w:vAlign w:val="bottom"/>
            <w:tcBorders>
              <w:bottom w:val="single" w:sz="8" w:color="888B8D"/>
            </w:tcBorders>
          </w:tcPr>
          <w:p>
            <w:pPr>
              <w:spacing w:after="0"/>
              <w:rPr>
                <w:sz w:val="16"/>
                <w:szCs w:val="16"/>
                <w:color w:val="auto"/>
              </w:rPr>
            </w:pPr>
          </w:p>
        </w:tc>
        <w:tc>
          <w:tcPr>
            <w:tcW w:w="120" w:type="dxa"/>
            <w:vAlign w:val="bottom"/>
            <w:tcBorders>
              <w:bottom w:val="single" w:sz="8" w:color="888B8D"/>
            </w:tcBorders>
          </w:tcPr>
          <w:p>
            <w:pPr>
              <w:spacing w:after="0"/>
              <w:rPr>
                <w:sz w:val="16"/>
                <w:szCs w:val="16"/>
                <w:color w:val="auto"/>
              </w:rPr>
            </w:pPr>
          </w:p>
        </w:tc>
        <w:tc>
          <w:tcPr>
            <w:tcW w:w="1160" w:type="dxa"/>
            <w:vAlign w:val="bottom"/>
            <w:tcBorders>
              <w:bottom w:val="single" w:sz="8" w:color="888B8D"/>
            </w:tcBorders>
          </w:tcPr>
          <w:p>
            <w:pPr>
              <w:jc w:val="right"/>
              <w:ind w:right="8"/>
              <w:spacing w:after="0"/>
              <w:rPr>
                <w:sz w:val="20"/>
                <w:szCs w:val="20"/>
                <w:color w:val="auto"/>
              </w:rPr>
            </w:pPr>
            <w:r>
              <w:rPr>
                <w:rFonts w:ascii="Arial" w:cs="Arial" w:eastAsia="Arial" w:hAnsi="Arial"/>
                <w:sz w:val="14"/>
                <w:szCs w:val="14"/>
                <w:color w:val="auto"/>
              </w:rPr>
              <w:t>3,673</w:t>
            </w:r>
          </w:p>
        </w:tc>
        <w:tc>
          <w:tcPr>
            <w:tcW w:w="220" w:type="dxa"/>
            <w:vAlign w:val="bottom"/>
            <w:tcBorders>
              <w:bottom w:val="single" w:sz="8" w:color="888B8D"/>
            </w:tcBorders>
          </w:tcPr>
          <w:p>
            <w:pPr>
              <w:spacing w:after="0"/>
              <w:rPr>
                <w:sz w:val="16"/>
                <w:szCs w:val="16"/>
                <w:color w:val="auto"/>
              </w:rPr>
            </w:pPr>
          </w:p>
        </w:tc>
        <w:tc>
          <w:tcPr>
            <w:tcW w:w="120" w:type="dxa"/>
            <w:vAlign w:val="bottom"/>
            <w:tcBorders>
              <w:bottom w:val="single" w:sz="8" w:color="888B8D"/>
            </w:tcBorders>
          </w:tcPr>
          <w:p>
            <w:pPr>
              <w:spacing w:after="0"/>
              <w:rPr>
                <w:sz w:val="16"/>
                <w:szCs w:val="16"/>
                <w:color w:val="auto"/>
              </w:rPr>
            </w:pPr>
          </w:p>
        </w:tc>
        <w:tc>
          <w:tcPr>
            <w:tcW w:w="880" w:type="dxa"/>
            <w:vAlign w:val="bottom"/>
            <w:tcBorders>
              <w:bottom w:val="single" w:sz="8" w:color="888B8D"/>
            </w:tcBorders>
          </w:tcPr>
          <w:p>
            <w:pPr>
              <w:spacing w:after="0"/>
              <w:rPr>
                <w:sz w:val="16"/>
                <w:szCs w:val="16"/>
                <w:color w:val="auto"/>
              </w:rPr>
            </w:pPr>
          </w:p>
        </w:tc>
        <w:tc>
          <w:tcPr>
            <w:tcW w:w="220" w:type="dxa"/>
            <w:vAlign w:val="bottom"/>
            <w:tcBorders>
              <w:bottom w:val="single" w:sz="8" w:color="888B8D"/>
            </w:tcBorders>
          </w:tcPr>
          <w:p>
            <w:pPr>
              <w:spacing w:after="0"/>
              <w:rPr>
                <w:sz w:val="16"/>
                <w:szCs w:val="16"/>
                <w:color w:val="auto"/>
              </w:rPr>
            </w:pPr>
          </w:p>
        </w:tc>
        <w:tc>
          <w:tcPr>
            <w:tcW w:w="140" w:type="dxa"/>
            <w:vAlign w:val="bottom"/>
            <w:tcBorders>
              <w:bottom w:val="single" w:sz="8" w:color="888B8D"/>
            </w:tcBorders>
          </w:tcPr>
          <w:p>
            <w:pPr>
              <w:spacing w:after="0"/>
              <w:rPr>
                <w:sz w:val="16"/>
                <w:szCs w:val="16"/>
                <w:color w:val="auto"/>
              </w:rPr>
            </w:pPr>
          </w:p>
        </w:tc>
        <w:tc>
          <w:tcPr>
            <w:tcW w:w="940" w:type="dxa"/>
            <w:vAlign w:val="bottom"/>
            <w:tcBorders>
              <w:bottom w:val="single" w:sz="8" w:color="888B8D"/>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32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Selling, general and administrative expenses</w:t>
            </w:r>
          </w:p>
        </w:tc>
        <w:tc>
          <w:tcPr>
            <w:tcW w:w="140" w:type="dxa"/>
            <w:vAlign w:val="bottom"/>
            <w:tcBorders>
              <w:bottom w:val="single" w:sz="8" w:color="888B8D"/>
            </w:tcBorders>
          </w:tcPr>
          <w:p>
            <w:pPr>
              <w:spacing w:after="0"/>
              <w:rPr>
                <w:sz w:val="17"/>
                <w:szCs w:val="17"/>
                <w:color w:val="auto"/>
              </w:rPr>
            </w:pPr>
          </w:p>
        </w:tc>
        <w:tc>
          <w:tcPr>
            <w:tcW w:w="11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430</w:t>
            </w:r>
          </w:p>
        </w:tc>
        <w:tc>
          <w:tcPr>
            <w:tcW w:w="220" w:type="dxa"/>
            <w:vAlign w:val="bottom"/>
            <w:tcBorders>
              <w:bottom w:val="single" w:sz="8" w:color="888B8D"/>
            </w:tcBorders>
          </w:tcPr>
          <w:p>
            <w:pPr>
              <w:spacing w:after="0"/>
              <w:rPr>
                <w:sz w:val="17"/>
                <w:szCs w:val="17"/>
                <w:color w:val="auto"/>
              </w:rPr>
            </w:pPr>
          </w:p>
        </w:tc>
        <w:tc>
          <w:tcPr>
            <w:tcW w:w="120" w:type="dxa"/>
            <w:vAlign w:val="bottom"/>
            <w:tcBorders>
              <w:bottom w:val="single" w:sz="8" w:color="888B8D"/>
            </w:tcBorders>
          </w:tcPr>
          <w:p>
            <w:pPr>
              <w:spacing w:after="0"/>
              <w:rPr>
                <w:sz w:val="17"/>
                <w:szCs w:val="17"/>
                <w:color w:val="auto"/>
              </w:rPr>
            </w:pPr>
          </w:p>
        </w:tc>
        <w:tc>
          <w:tcPr>
            <w:tcW w:w="9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1,417</w:t>
            </w:r>
          </w:p>
        </w:tc>
        <w:tc>
          <w:tcPr>
            <w:tcW w:w="240" w:type="dxa"/>
            <w:vAlign w:val="bottom"/>
            <w:tcBorders>
              <w:bottom w:val="single" w:sz="8" w:color="888B8D"/>
            </w:tcBorders>
          </w:tcPr>
          <w:p>
            <w:pPr>
              <w:spacing w:after="0"/>
              <w:rPr>
                <w:sz w:val="17"/>
                <w:szCs w:val="17"/>
                <w:color w:val="auto"/>
              </w:rPr>
            </w:pPr>
          </w:p>
        </w:tc>
        <w:tc>
          <w:tcPr>
            <w:tcW w:w="120" w:type="dxa"/>
            <w:vAlign w:val="bottom"/>
            <w:tcBorders>
              <w:bottom w:val="single" w:sz="8" w:color="888B8D"/>
            </w:tcBorders>
          </w:tcPr>
          <w:p>
            <w:pPr>
              <w:spacing w:after="0"/>
              <w:rPr>
                <w:sz w:val="17"/>
                <w:szCs w:val="17"/>
                <w:color w:val="auto"/>
              </w:rPr>
            </w:pPr>
          </w:p>
        </w:tc>
        <w:tc>
          <w:tcPr>
            <w:tcW w:w="98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910</w:t>
            </w:r>
          </w:p>
        </w:tc>
        <w:tc>
          <w:tcPr>
            <w:tcW w:w="240" w:type="dxa"/>
            <w:vAlign w:val="bottom"/>
            <w:tcBorders>
              <w:bottom w:val="single" w:sz="8" w:color="888B8D"/>
            </w:tcBorders>
          </w:tcPr>
          <w:p>
            <w:pPr>
              <w:spacing w:after="0"/>
              <w:rPr>
                <w:sz w:val="17"/>
                <w:szCs w:val="17"/>
                <w:color w:val="auto"/>
              </w:rPr>
            </w:pPr>
          </w:p>
        </w:tc>
        <w:tc>
          <w:tcPr>
            <w:tcW w:w="120" w:type="dxa"/>
            <w:vAlign w:val="bottom"/>
            <w:tcBorders>
              <w:bottom w:val="single" w:sz="8" w:color="888B8D"/>
            </w:tcBorders>
          </w:tcPr>
          <w:p>
            <w:pPr>
              <w:spacing w:after="0"/>
              <w:rPr>
                <w:sz w:val="17"/>
                <w:szCs w:val="17"/>
                <w:color w:val="auto"/>
              </w:rPr>
            </w:pPr>
          </w:p>
        </w:tc>
        <w:tc>
          <w:tcPr>
            <w:tcW w:w="1160" w:type="dxa"/>
            <w:vAlign w:val="bottom"/>
            <w:tcBorders>
              <w:bottom w:val="single" w:sz="8" w:color="888B8D"/>
            </w:tcBorders>
          </w:tcPr>
          <w:p>
            <w:pPr>
              <w:jc w:val="right"/>
              <w:ind w:right="8"/>
              <w:spacing w:after="0"/>
              <w:rPr>
                <w:sz w:val="20"/>
                <w:szCs w:val="20"/>
                <w:color w:val="auto"/>
              </w:rPr>
            </w:pPr>
            <w:r>
              <w:rPr>
                <w:rFonts w:ascii="Arial" w:cs="Arial" w:eastAsia="Arial" w:hAnsi="Arial"/>
                <w:sz w:val="14"/>
                <w:szCs w:val="14"/>
                <w:color w:val="auto"/>
              </w:rPr>
              <w:t>426</w:t>
            </w:r>
          </w:p>
        </w:tc>
        <w:tc>
          <w:tcPr>
            <w:tcW w:w="220" w:type="dxa"/>
            <w:vAlign w:val="bottom"/>
            <w:tcBorders>
              <w:bottom w:val="single" w:sz="8" w:color="888B8D"/>
            </w:tcBorders>
          </w:tcPr>
          <w:p>
            <w:pPr>
              <w:spacing w:after="0"/>
              <w:rPr>
                <w:sz w:val="17"/>
                <w:szCs w:val="17"/>
                <w:color w:val="auto"/>
              </w:rPr>
            </w:pPr>
          </w:p>
        </w:tc>
        <w:tc>
          <w:tcPr>
            <w:tcW w:w="120" w:type="dxa"/>
            <w:vAlign w:val="bottom"/>
            <w:tcBorders>
              <w:bottom w:val="single" w:sz="8" w:color="888B8D"/>
            </w:tcBorders>
          </w:tcPr>
          <w:p>
            <w:pPr>
              <w:spacing w:after="0"/>
              <w:rPr>
                <w:sz w:val="17"/>
                <w:szCs w:val="17"/>
                <w:color w:val="auto"/>
              </w:rPr>
            </w:pPr>
          </w:p>
        </w:tc>
        <w:tc>
          <w:tcPr>
            <w:tcW w:w="880" w:type="dxa"/>
            <w:vAlign w:val="bottom"/>
            <w:tcBorders>
              <w:bottom w:val="single" w:sz="8" w:color="888B8D"/>
            </w:tcBorders>
          </w:tcPr>
          <w:p>
            <w:pPr>
              <w:spacing w:after="0"/>
              <w:rPr>
                <w:sz w:val="17"/>
                <w:szCs w:val="17"/>
                <w:color w:val="auto"/>
              </w:rPr>
            </w:pPr>
          </w:p>
        </w:tc>
        <w:tc>
          <w:tcPr>
            <w:tcW w:w="220" w:type="dxa"/>
            <w:vAlign w:val="bottom"/>
            <w:tcBorders>
              <w:bottom w:val="single" w:sz="8" w:color="888B8D"/>
            </w:tcBorders>
          </w:tcPr>
          <w:p>
            <w:pPr>
              <w:spacing w:after="0"/>
              <w:rPr>
                <w:sz w:val="17"/>
                <w:szCs w:val="17"/>
                <w:color w:val="auto"/>
              </w:rPr>
            </w:pPr>
          </w:p>
        </w:tc>
        <w:tc>
          <w:tcPr>
            <w:tcW w:w="140" w:type="dxa"/>
            <w:vAlign w:val="bottom"/>
            <w:tcBorders>
              <w:bottom w:val="single" w:sz="8" w:color="888B8D"/>
            </w:tcBorders>
          </w:tcPr>
          <w:p>
            <w:pPr>
              <w:spacing w:after="0"/>
              <w:rPr>
                <w:sz w:val="17"/>
                <w:szCs w:val="17"/>
                <w:color w:val="auto"/>
              </w:rPr>
            </w:pPr>
          </w:p>
        </w:tc>
        <w:tc>
          <w:tcPr>
            <w:tcW w:w="940" w:type="dxa"/>
            <w:vAlign w:val="bottom"/>
            <w:tcBorders>
              <w:bottom w:val="single" w:sz="8" w:color="888B8D"/>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320" w:type="dxa"/>
            <w:vAlign w:val="bottom"/>
            <w:tcBorders>
              <w:bottom w:val="single" w:sz="8" w:color="D7282F"/>
            </w:tcBorders>
          </w:tcPr>
          <w:p>
            <w:pPr>
              <w:ind w:left="140"/>
              <w:spacing w:after="0" w:line="200" w:lineRule="exact"/>
              <w:rPr>
                <w:sz w:val="20"/>
                <w:szCs w:val="20"/>
                <w:color w:val="auto"/>
              </w:rPr>
            </w:pPr>
            <w:r>
              <w:rPr>
                <w:rFonts w:ascii="Arial" w:cs="Arial" w:eastAsia="Arial" w:hAnsi="Arial"/>
                <w:sz w:val="14"/>
                <w:szCs w:val="14"/>
                <w:color w:val="auto"/>
              </w:rPr>
              <w:t>Other segment items</w:t>
            </w:r>
            <w:r>
              <w:rPr>
                <w:rFonts w:ascii="Arial" w:cs="Arial" w:eastAsia="Arial" w:hAnsi="Arial"/>
                <w:sz w:val="18"/>
                <w:szCs w:val="18"/>
                <w:color w:val="auto"/>
                <w:vertAlign w:val="superscript"/>
              </w:rPr>
              <w:t>1</w:t>
            </w:r>
          </w:p>
        </w:tc>
        <w:tc>
          <w:tcPr>
            <w:tcW w:w="140" w:type="dxa"/>
            <w:vAlign w:val="bottom"/>
            <w:tcBorders>
              <w:bottom w:val="single" w:sz="8" w:color="D7282F"/>
            </w:tcBorders>
          </w:tcPr>
          <w:p>
            <w:pPr>
              <w:spacing w:after="0"/>
              <w:rPr>
                <w:sz w:val="17"/>
                <w:szCs w:val="17"/>
                <w:color w:val="auto"/>
              </w:rPr>
            </w:pPr>
          </w:p>
        </w:tc>
        <w:tc>
          <w:tcPr>
            <w:tcW w:w="11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967</w:t>
            </w:r>
          </w:p>
        </w:tc>
        <w:tc>
          <w:tcPr>
            <w:tcW w:w="220" w:type="dxa"/>
            <w:vAlign w:val="bottom"/>
            <w:tcBorders>
              <w:bottom w:val="single" w:sz="8" w:color="D7282F"/>
            </w:tcBorders>
          </w:tcPr>
          <w:p>
            <w:pPr>
              <w:spacing w:after="0"/>
              <w:rPr>
                <w:sz w:val="17"/>
                <w:szCs w:val="17"/>
                <w:color w:val="auto"/>
              </w:rPr>
            </w:pPr>
          </w:p>
        </w:tc>
        <w:tc>
          <w:tcPr>
            <w:tcW w:w="120" w:type="dxa"/>
            <w:vAlign w:val="bottom"/>
            <w:tcBorders>
              <w:bottom w:val="single" w:sz="8" w:color="D7282F"/>
            </w:tcBorders>
          </w:tcPr>
          <w:p>
            <w:pPr>
              <w:spacing w:after="0"/>
              <w:rPr>
                <w:sz w:val="17"/>
                <w:szCs w:val="17"/>
                <w:color w:val="auto"/>
              </w:rPr>
            </w:pPr>
          </w:p>
        </w:tc>
        <w:tc>
          <w:tcPr>
            <w:tcW w:w="9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839</w:t>
            </w:r>
          </w:p>
        </w:tc>
        <w:tc>
          <w:tcPr>
            <w:tcW w:w="240" w:type="dxa"/>
            <w:vAlign w:val="bottom"/>
            <w:tcBorders>
              <w:bottom w:val="single" w:sz="8" w:color="D7282F"/>
            </w:tcBorders>
          </w:tcPr>
          <w:p>
            <w:pPr>
              <w:spacing w:after="0"/>
              <w:rPr>
                <w:sz w:val="17"/>
                <w:szCs w:val="17"/>
                <w:color w:val="auto"/>
              </w:rPr>
            </w:pPr>
          </w:p>
        </w:tc>
        <w:tc>
          <w:tcPr>
            <w:tcW w:w="120" w:type="dxa"/>
            <w:vAlign w:val="bottom"/>
            <w:tcBorders>
              <w:bottom w:val="single" w:sz="8" w:color="D7282F"/>
            </w:tcBorders>
          </w:tcPr>
          <w:p>
            <w:pPr>
              <w:spacing w:after="0"/>
              <w:rPr>
                <w:sz w:val="17"/>
                <w:szCs w:val="17"/>
                <w:color w:val="auto"/>
              </w:rPr>
            </w:pPr>
          </w:p>
        </w:tc>
        <w:tc>
          <w:tcPr>
            <w:tcW w:w="9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376</w:t>
            </w:r>
          </w:p>
        </w:tc>
        <w:tc>
          <w:tcPr>
            <w:tcW w:w="240" w:type="dxa"/>
            <w:vAlign w:val="bottom"/>
            <w:tcBorders>
              <w:bottom w:val="single" w:sz="8" w:color="D7282F"/>
            </w:tcBorders>
          </w:tcPr>
          <w:p>
            <w:pPr>
              <w:spacing w:after="0"/>
              <w:rPr>
                <w:sz w:val="17"/>
                <w:szCs w:val="17"/>
                <w:color w:val="auto"/>
              </w:rPr>
            </w:pPr>
          </w:p>
        </w:tc>
        <w:tc>
          <w:tcPr>
            <w:tcW w:w="120" w:type="dxa"/>
            <w:vAlign w:val="bottom"/>
            <w:tcBorders>
              <w:bottom w:val="single" w:sz="8" w:color="D7282F"/>
            </w:tcBorders>
          </w:tcPr>
          <w:p>
            <w:pPr>
              <w:spacing w:after="0"/>
              <w:rPr>
                <w:sz w:val="17"/>
                <w:szCs w:val="17"/>
                <w:color w:val="auto"/>
              </w:rPr>
            </w:pPr>
          </w:p>
        </w:tc>
        <w:tc>
          <w:tcPr>
            <w:tcW w:w="116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342</w:t>
            </w:r>
          </w:p>
        </w:tc>
        <w:tc>
          <w:tcPr>
            <w:tcW w:w="220" w:type="dxa"/>
            <w:vAlign w:val="bottom"/>
            <w:tcBorders>
              <w:bottom w:val="single" w:sz="8" w:color="D7282F"/>
            </w:tcBorders>
          </w:tcPr>
          <w:p>
            <w:pPr>
              <w:spacing w:after="0"/>
              <w:rPr>
                <w:sz w:val="17"/>
                <w:szCs w:val="17"/>
                <w:color w:val="auto"/>
              </w:rPr>
            </w:pPr>
          </w:p>
        </w:tc>
        <w:tc>
          <w:tcPr>
            <w:tcW w:w="120" w:type="dxa"/>
            <w:vAlign w:val="bottom"/>
            <w:tcBorders>
              <w:bottom w:val="single" w:sz="8" w:color="D7282F"/>
            </w:tcBorders>
          </w:tcPr>
          <w:p>
            <w:pPr>
              <w:spacing w:after="0"/>
              <w:rPr>
                <w:sz w:val="17"/>
                <w:szCs w:val="17"/>
                <w:color w:val="auto"/>
              </w:rPr>
            </w:pPr>
          </w:p>
        </w:tc>
        <w:tc>
          <w:tcPr>
            <w:tcW w:w="880" w:type="dxa"/>
            <w:vAlign w:val="bottom"/>
            <w:tcBorders>
              <w:bottom w:val="single" w:sz="8" w:color="D7282F"/>
            </w:tcBorders>
          </w:tcPr>
          <w:p>
            <w:pPr>
              <w:spacing w:after="0"/>
              <w:rPr>
                <w:sz w:val="17"/>
                <w:szCs w:val="17"/>
                <w:color w:val="auto"/>
              </w:rPr>
            </w:pPr>
          </w:p>
        </w:tc>
        <w:tc>
          <w:tcPr>
            <w:tcW w:w="220" w:type="dxa"/>
            <w:vAlign w:val="bottom"/>
            <w:tcBorders>
              <w:bottom w:val="single" w:sz="8" w:color="D7282F"/>
            </w:tcBorders>
          </w:tcPr>
          <w:p>
            <w:pPr>
              <w:spacing w:after="0"/>
              <w:rPr>
                <w:sz w:val="17"/>
                <w:szCs w:val="17"/>
                <w:color w:val="auto"/>
              </w:rPr>
            </w:pPr>
          </w:p>
        </w:tc>
        <w:tc>
          <w:tcPr>
            <w:tcW w:w="14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32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Segment profit</w:t>
            </w:r>
          </w:p>
        </w:tc>
        <w:tc>
          <w:tcPr>
            <w:tcW w:w="1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3,247</w:t>
            </w:r>
          </w:p>
        </w:tc>
        <w:tc>
          <w:tcPr>
            <w:tcW w:w="220" w:type="dxa"/>
            <w:vAlign w:val="bottom"/>
            <w:tcBorders>
              <w:bottom w:val="single" w:sz="8" w:color="D7282F"/>
            </w:tcBorders>
          </w:tcPr>
          <w:p>
            <w:pPr>
              <w:spacing w:after="0"/>
              <w:rPr>
                <w:sz w:val="16"/>
                <w:szCs w:val="16"/>
                <w:color w:val="auto"/>
              </w:rPr>
            </w:pPr>
          </w:p>
        </w:tc>
        <w:tc>
          <w:tcPr>
            <w:tcW w:w="1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2,152</w:t>
            </w:r>
          </w:p>
        </w:tc>
        <w:tc>
          <w:tcPr>
            <w:tcW w:w="240" w:type="dxa"/>
            <w:vAlign w:val="bottom"/>
            <w:tcBorders>
              <w:bottom w:val="single" w:sz="8" w:color="D7282F"/>
            </w:tcBorders>
          </w:tcPr>
          <w:p>
            <w:pPr>
              <w:spacing w:after="0"/>
              <w:rPr>
                <w:sz w:val="16"/>
                <w:szCs w:val="16"/>
                <w:color w:val="auto"/>
              </w:rPr>
            </w:pPr>
          </w:p>
        </w:tc>
        <w:tc>
          <w:tcPr>
            <w:tcW w:w="1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1,464</w:t>
            </w:r>
          </w:p>
        </w:tc>
        <w:tc>
          <w:tcPr>
            <w:tcW w:w="240" w:type="dxa"/>
            <w:vAlign w:val="bottom"/>
            <w:tcBorders>
              <w:bottom w:val="single" w:sz="8" w:color="D7282F"/>
            </w:tcBorders>
          </w:tcPr>
          <w:p>
            <w:pPr>
              <w:spacing w:after="0"/>
              <w:rPr>
                <w:sz w:val="16"/>
                <w:szCs w:val="16"/>
                <w:color w:val="auto"/>
              </w:rPr>
            </w:pPr>
          </w:p>
        </w:tc>
        <w:tc>
          <w:tcPr>
            <w:tcW w:w="1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1,555</w:t>
            </w:r>
          </w:p>
        </w:tc>
        <w:tc>
          <w:tcPr>
            <w:tcW w:w="220" w:type="dxa"/>
            <w:vAlign w:val="bottom"/>
            <w:tcBorders>
              <w:bottom w:val="single" w:sz="8" w:color="D7282F"/>
            </w:tcBorders>
          </w:tcPr>
          <w:p>
            <w:pPr>
              <w:spacing w:after="0"/>
              <w:rPr>
                <w:sz w:val="16"/>
                <w:szCs w:val="16"/>
                <w:color w:val="auto"/>
              </w:rPr>
            </w:pPr>
          </w:p>
        </w:tc>
        <w:tc>
          <w:tcPr>
            <w:tcW w:w="1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(396)</w:t>
            </w:r>
          </w:p>
        </w:tc>
        <w:tc>
          <w:tcPr>
            <w:tcW w:w="220" w:type="dxa"/>
            <w:vAlign w:val="bottom"/>
            <w:tcBorders>
              <w:bottom w:val="single" w:sz="8" w:color="D7282F"/>
            </w:tcBorders>
          </w:tcPr>
          <w:p>
            <w:pPr>
              <w:spacing w:after="0"/>
              <w:rPr>
                <w:sz w:val="16"/>
                <w:szCs w:val="16"/>
                <w:color w:val="auto"/>
              </w:rPr>
            </w:pPr>
          </w:p>
        </w:tc>
        <w:tc>
          <w:tcPr>
            <w:tcW w:w="1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8,022</w:t>
            </w:r>
          </w:p>
        </w:tc>
        <w:tc>
          <w:tcPr>
            <w:tcW w:w="0" w:type="dxa"/>
            <w:vAlign w:val="bottom"/>
          </w:tcPr>
          <w:p>
            <w:pPr>
              <w:spacing w:after="0"/>
              <w:rPr>
                <w:sz w:val="1"/>
                <w:szCs w:val="1"/>
                <w:color w:val="auto"/>
              </w:rPr>
            </w:pPr>
          </w:p>
        </w:tc>
      </w:tr>
      <w:tr>
        <w:trPr>
          <w:trHeight w:val="238"/>
        </w:trPr>
        <w:tc>
          <w:tcPr>
            <w:tcW w:w="3320" w:type="dxa"/>
            <w:vAlign w:val="bottom"/>
            <w:tcBorders>
              <w:bottom w:val="single" w:sz="8" w:color="D7282F"/>
            </w:tcBorders>
          </w:tcPr>
          <w:p>
            <w:pPr>
              <w:spacing w:after="0"/>
              <w:rPr>
                <w:sz w:val="20"/>
                <w:szCs w:val="20"/>
                <w:color w:val="auto"/>
              </w:rPr>
            </w:pPr>
          </w:p>
        </w:tc>
        <w:tc>
          <w:tcPr>
            <w:tcW w:w="140" w:type="dxa"/>
            <w:vAlign w:val="bottom"/>
            <w:tcBorders>
              <w:bottom w:val="single" w:sz="8" w:color="D7282F"/>
            </w:tcBorders>
          </w:tcPr>
          <w:p>
            <w:pPr>
              <w:spacing w:after="0"/>
              <w:rPr>
                <w:sz w:val="20"/>
                <w:szCs w:val="20"/>
                <w:color w:val="auto"/>
              </w:rPr>
            </w:pPr>
          </w:p>
        </w:tc>
        <w:tc>
          <w:tcPr>
            <w:tcW w:w="1100" w:type="dxa"/>
            <w:vAlign w:val="bottom"/>
            <w:tcBorders>
              <w:bottom w:val="single" w:sz="8" w:color="D7282F"/>
            </w:tcBorders>
          </w:tcPr>
          <w:p>
            <w:pPr>
              <w:spacing w:after="0"/>
              <w:rPr>
                <w:sz w:val="20"/>
                <w:szCs w:val="20"/>
                <w:color w:val="auto"/>
              </w:rPr>
            </w:pPr>
          </w:p>
        </w:tc>
        <w:tc>
          <w:tcPr>
            <w:tcW w:w="220" w:type="dxa"/>
            <w:vAlign w:val="bottom"/>
            <w:tcBorders>
              <w:bottom w:val="single" w:sz="8" w:color="D7282F"/>
            </w:tcBorders>
          </w:tcPr>
          <w:p>
            <w:pPr>
              <w:spacing w:after="0"/>
              <w:rPr>
                <w:sz w:val="20"/>
                <w:szCs w:val="20"/>
                <w:color w:val="auto"/>
              </w:rPr>
            </w:pPr>
          </w:p>
        </w:tc>
        <w:tc>
          <w:tcPr>
            <w:tcW w:w="120" w:type="dxa"/>
            <w:vAlign w:val="bottom"/>
            <w:tcBorders>
              <w:bottom w:val="single" w:sz="8" w:color="D7282F"/>
            </w:tcBorders>
          </w:tcPr>
          <w:p>
            <w:pPr>
              <w:spacing w:after="0"/>
              <w:rPr>
                <w:sz w:val="20"/>
                <w:szCs w:val="20"/>
                <w:color w:val="auto"/>
              </w:rPr>
            </w:pPr>
          </w:p>
        </w:tc>
        <w:tc>
          <w:tcPr>
            <w:tcW w:w="960" w:type="dxa"/>
            <w:vAlign w:val="bottom"/>
            <w:tcBorders>
              <w:bottom w:val="single" w:sz="8" w:color="D7282F"/>
            </w:tcBorders>
          </w:tcPr>
          <w:p>
            <w:pPr>
              <w:spacing w:after="0"/>
              <w:rPr>
                <w:sz w:val="20"/>
                <w:szCs w:val="20"/>
                <w:color w:val="auto"/>
              </w:rPr>
            </w:pPr>
          </w:p>
        </w:tc>
        <w:tc>
          <w:tcPr>
            <w:tcW w:w="240" w:type="dxa"/>
            <w:vAlign w:val="bottom"/>
            <w:tcBorders>
              <w:bottom w:val="single" w:sz="8" w:color="D7282F"/>
            </w:tcBorders>
          </w:tcPr>
          <w:p>
            <w:pPr>
              <w:spacing w:after="0"/>
              <w:rPr>
                <w:sz w:val="20"/>
                <w:szCs w:val="20"/>
                <w:color w:val="auto"/>
              </w:rPr>
            </w:pPr>
          </w:p>
        </w:tc>
        <w:tc>
          <w:tcPr>
            <w:tcW w:w="120" w:type="dxa"/>
            <w:vAlign w:val="bottom"/>
            <w:tcBorders>
              <w:bottom w:val="single" w:sz="8" w:color="D7282F"/>
            </w:tcBorders>
          </w:tcPr>
          <w:p>
            <w:pPr>
              <w:spacing w:after="0"/>
              <w:rPr>
                <w:sz w:val="20"/>
                <w:szCs w:val="20"/>
                <w:color w:val="auto"/>
              </w:rPr>
            </w:pPr>
          </w:p>
        </w:tc>
        <w:tc>
          <w:tcPr>
            <w:tcW w:w="980" w:type="dxa"/>
            <w:vAlign w:val="bottom"/>
            <w:tcBorders>
              <w:bottom w:val="single" w:sz="8" w:color="D7282F"/>
            </w:tcBorders>
          </w:tcPr>
          <w:p>
            <w:pPr>
              <w:spacing w:after="0"/>
              <w:rPr>
                <w:sz w:val="20"/>
                <w:szCs w:val="20"/>
                <w:color w:val="auto"/>
              </w:rPr>
            </w:pPr>
          </w:p>
        </w:tc>
        <w:tc>
          <w:tcPr>
            <w:tcW w:w="240" w:type="dxa"/>
            <w:vAlign w:val="bottom"/>
            <w:tcBorders>
              <w:bottom w:val="single" w:sz="8" w:color="D7282F"/>
            </w:tcBorders>
          </w:tcPr>
          <w:p>
            <w:pPr>
              <w:spacing w:after="0"/>
              <w:rPr>
                <w:sz w:val="20"/>
                <w:szCs w:val="20"/>
                <w:color w:val="auto"/>
              </w:rPr>
            </w:pPr>
          </w:p>
        </w:tc>
        <w:tc>
          <w:tcPr>
            <w:tcW w:w="120" w:type="dxa"/>
            <w:vAlign w:val="bottom"/>
            <w:tcBorders>
              <w:bottom w:val="single" w:sz="8" w:color="D7282F"/>
            </w:tcBorders>
          </w:tcPr>
          <w:p>
            <w:pPr>
              <w:spacing w:after="0"/>
              <w:rPr>
                <w:sz w:val="20"/>
                <w:szCs w:val="20"/>
                <w:color w:val="auto"/>
              </w:rPr>
            </w:pPr>
          </w:p>
        </w:tc>
        <w:tc>
          <w:tcPr>
            <w:tcW w:w="1160" w:type="dxa"/>
            <w:vAlign w:val="bottom"/>
            <w:tcBorders>
              <w:bottom w:val="single" w:sz="8" w:color="D7282F"/>
            </w:tcBorders>
          </w:tcPr>
          <w:p>
            <w:pPr>
              <w:spacing w:after="0"/>
              <w:rPr>
                <w:sz w:val="20"/>
                <w:szCs w:val="20"/>
                <w:color w:val="auto"/>
              </w:rPr>
            </w:pPr>
          </w:p>
        </w:tc>
        <w:tc>
          <w:tcPr>
            <w:tcW w:w="220" w:type="dxa"/>
            <w:vAlign w:val="bottom"/>
            <w:tcBorders>
              <w:bottom w:val="single" w:sz="8" w:color="D7282F"/>
            </w:tcBorders>
          </w:tcPr>
          <w:p>
            <w:pPr>
              <w:spacing w:after="0"/>
              <w:rPr>
                <w:sz w:val="20"/>
                <w:szCs w:val="20"/>
                <w:color w:val="auto"/>
              </w:rPr>
            </w:pPr>
          </w:p>
        </w:tc>
        <w:tc>
          <w:tcPr>
            <w:tcW w:w="120" w:type="dxa"/>
            <w:vAlign w:val="bottom"/>
            <w:tcBorders>
              <w:bottom w:val="single" w:sz="8" w:color="D7282F"/>
            </w:tcBorders>
          </w:tcPr>
          <w:p>
            <w:pPr>
              <w:spacing w:after="0"/>
              <w:rPr>
                <w:sz w:val="20"/>
                <w:szCs w:val="20"/>
                <w:color w:val="auto"/>
              </w:rPr>
            </w:pPr>
          </w:p>
        </w:tc>
        <w:tc>
          <w:tcPr>
            <w:tcW w:w="880" w:type="dxa"/>
            <w:vAlign w:val="bottom"/>
            <w:tcBorders>
              <w:bottom w:val="single" w:sz="8" w:color="D7282F"/>
            </w:tcBorders>
          </w:tcPr>
          <w:p>
            <w:pPr>
              <w:spacing w:after="0"/>
              <w:rPr>
                <w:sz w:val="20"/>
                <w:szCs w:val="20"/>
                <w:color w:val="auto"/>
              </w:rPr>
            </w:pPr>
          </w:p>
        </w:tc>
        <w:tc>
          <w:tcPr>
            <w:tcW w:w="220" w:type="dxa"/>
            <w:vAlign w:val="bottom"/>
            <w:tcBorders>
              <w:bottom w:val="single" w:sz="8" w:color="D7282F"/>
            </w:tcBorders>
          </w:tcPr>
          <w:p>
            <w:pPr>
              <w:spacing w:after="0"/>
              <w:rPr>
                <w:sz w:val="20"/>
                <w:szCs w:val="20"/>
                <w:color w:val="auto"/>
              </w:rPr>
            </w:pPr>
          </w:p>
        </w:tc>
        <w:tc>
          <w:tcPr>
            <w:tcW w:w="140" w:type="dxa"/>
            <w:vAlign w:val="bottom"/>
            <w:tcBorders>
              <w:bottom w:val="single" w:sz="8" w:color="D7282F"/>
            </w:tcBorders>
          </w:tcPr>
          <w:p>
            <w:pPr>
              <w:spacing w:after="0"/>
              <w:rPr>
                <w:sz w:val="20"/>
                <w:szCs w:val="20"/>
                <w:color w:val="auto"/>
              </w:rPr>
            </w:pPr>
          </w:p>
        </w:tc>
        <w:tc>
          <w:tcPr>
            <w:tcW w:w="940" w:type="dxa"/>
            <w:vAlign w:val="bottom"/>
            <w:tcBorders>
              <w:bottom w:val="single" w:sz="8" w:color="D7282F"/>
            </w:tcBorders>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332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Depreciation and amortization</w:t>
            </w:r>
          </w:p>
        </w:tc>
        <w:tc>
          <w:tcPr>
            <w:tcW w:w="1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285</w:t>
            </w:r>
          </w:p>
        </w:tc>
        <w:tc>
          <w:tcPr>
            <w:tcW w:w="220" w:type="dxa"/>
            <w:vAlign w:val="bottom"/>
            <w:tcBorders>
              <w:bottom w:val="single" w:sz="8" w:color="888B8D"/>
            </w:tcBorders>
          </w:tcPr>
          <w:p>
            <w:pPr>
              <w:spacing w:after="0"/>
              <w:rPr>
                <w:sz w:val="16"/>
                <w:szCs w:val="16"/>
                <w:color w:val="auto"/>
              </w:rPr>
            </w:pPr>
          </w:p>
        </w:tc>
        <w:tc>
          <w:tcPr>
            <w:tcW w:w="1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422</w:t>
            </w:r>
          </w:p>
        </w:tc>
        <w:tc>
          <w:tcPr>
            <w:tcW w:w="240" w:type="dxa"/>
            <w:vAlign w:val="bottom"/>
            <w:tcBorders>
              <w:bottom w:val="single" w:sz="8" w:color="888B8D"/>
            </w:tcBorders>
          </w:tcPr>
          <w:p>
            <w:pPr>
              <w:spacing w:after="0"/>
              <w:rPr>
                <w:sz w:val="16"/>
                <w:szCs w:val="16"/>
                <w:color w:val="auto"/>
              </w:rPr>
            </w:pPr>
          </w:p>
        </w:tc>
        <w:tc>
          <w:tcPr>
            <w:tcW w:w="1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92</w:t>
            </w:r>
          </w:p>
        </w:tc>
        <w:tc>
          <w:tcPr>
            <w:tcW w:w="240" w:type="dxa"/>
            <w:vAlign w:val="bottom"/>
            <w:tcBorders>
              <w:bottom w:val="single" w:sz="8" w:color="888B8D"/>
            </w:tcBorders>
          </w:tcPr>
          <w:p>
            <w:pPr>
              <w:spacing w:after="0"/>
              <w:rPr>
                <w:sz w:val="16"/>
                <w:szCs w:val="16"/>
                <w:color w:val="auto"/>
              </w:rPr>
            </w:pPr>
          </w:p>
        </w:tc>
        <w:tc>
          <w:tcPr>
            <w:tcW w:w="1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247</w:t>
            </w:r>
          </w:p>
        </w:tc>
        <w:tc>
          <w:tcPr>
            <w:tcW w:w="220" w:type="dxa"/>
            <w:vAlign w:val="bottom"/>
            <w:tcBorders>
              <w:bottom w:val="single" w:sz="8" w:color="888B8D"/>
            </w:tcBorders>
          </w:tcPr>
          <w:p>
            <w:pPr>
              <w:spacing w:after="0"/>
              <w:rPr>
                <w:sz w:val="16"/>
                <w:szCs w:val="16"/>
                <w:color w:val="auto"/>
              </w:rPr>
            </w:pPr>
          </w:p>
        </w:tc>
        <w:tc>
          <w:tcPr>
            <w:tcW w:w="1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158</w:t>
            </w:r>
          </w:p>
        </w:tc>
        <w:tc>
          <w:tcPr>
            <w:tcW w:w="220" w:type="dxa"/>
            <w:vAlign w:val="bottom"/>
            <w:tcBorders>
              <w:bottom w:val="single" w:sz="8" w:color="888B8D"/>
            </w:tcBorders>
          </w:tcPr>
          <w:p>
            <w:pPr>
              <w:spacing w:after="0"/>
              <w:rPr>
                <w:sz w:val="16"/>
                <w:szCs w:val="16"/>
                <w:color w:val="auto"/>
              </w:rPr>
            </w:pPr>
          </w:p>
        </w:tc>
        <w:tc>
          <w:tcPr>
            <w:tcW w:w="1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1,204</w:t>
            </w:r>
          </w:p>
        </w:tc>
        <w:tc>
          <w:tcPr>
            <w:tcW w:w="0" w:type="dxa"/>
            <w:vAlign w:val="bottom"/>
          </w:tcPr>
          <w:p>
            <w:pPr>
              <w:spacing w:after="0"/>
              <w:rPr>
                <w:sz w:val="1"/>
                <w:szCs w:val="1"/>
                <w:color w:val="auto"/>
              </w:rPr>
            </w:pPr>
          </w:p>
        </w:tc>
      </w:tr>
      <w:tr>
        <w:trPr>
          <w:trHeight w:val="196"/>
        </w:trPr>
        <w:tc>
          <w:tcPr>
            <w:tcW w:w="332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Capital expenditures</w:t>
            </w:r>
          </w:p>
        </w:tc>
        <w:tc>
          <w:tcPr>
            <w:tcW w:w="140" w:type="dxa"/>
            <w:vAlign w:val="bottom"/>
            <w:tcBorders>
              <w:bottom w:val="single" w:sz="8" w:color="D7282F"/>
            </w:tcBorders>
          </w:tcPr>
          <w:p>
            <w:pPr>
              <w:spacing w:after="0"/>
              <w:rPr>
                <w:sz w:val="17"/>
                <w:szCs w:val="17"/>
                <w:color w:val="auto"/>
              </w:rPr>
            </w:pPr>
          </w:p>
        </w:tc>
        <w:tc>
          <w:tcPr>
            <w:tcW w:w="11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246</w:t>
            </w:r>
          </w:p>
        </w:tc>
        <w:tc>
          <w:tcPr>
            <w:tcW w:w="220" w:type="dxa"/>
            <w:vAlign w:val="bottom"/>
            <w:tcBorders>
              <w:bottom w:val="single" w:sz="8" w:color="D7282F"/>
            </w:tcBorders>
          </w:tcPr>
          <w:p>
            <w:pPr>
              <w:spacing w:after="0"/>
              <w:rPr>
                <w:sz w:val="17"/>
                <w:szCs w:val="17"/>
                <w:color w:val="auto"/>
              </w:rPr>
            </w:pPr>
          </w:p>
        </w:tc>
        <w:tc>
          <w:tcPr>
            <w:tcW w:w="120" w:type="dxa"/>
            <w:vAlign w:val="bottom"/>
            <w:tcBorders>
              <w:bottom w:val="single" w:sz="8" w:color="D7282F"/>
            </w:tcBorders>
          </w:tcPr>
          <w:p>
            <w:pPr>
              <w:spacing w:after="0"/>
              <w:rPr>
                <w:sz w:val="17"/>
                <w:szCs w:val="17"/>
                <w:color w:val="auto"/>
              </w:rPr>
            </w:pPr>
          </w:p>
        </w:tc>
        <w:tc>
          <w:tcPr>
            <w:tcW w:w="9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77</w:t>
            </w:r>
          </w:p>
        </w:tc>
        <w:tc>
          <w:tcPr>
            <w:tcW w:w="240" w:type="dxa"/>
            <w:vAlign w:val="bottom"/>
            <w:tcBorders>
              <w:bottom w:val="single" w:sz="8" w:color="D7282F"/>
            </w:tcBorders>
          </w:tcPr>
          <w:p>
            <w:pPr>
              <w:spacing w:after="0"/>
              <w:rPr>
                <w:sz w:val="17"/>
                <w:szCs w:val="17"/>
                <w:color w:val="auto"/>
              </w:rPr>
            </w:pPr>
          </w:p>
        </w:tc>
        <w:tc>
          <w:tcPr>
            <w:tcW w:w="120" w:type="dxa"/>
            <w:vAlign w:val="bottom"/>
            <w:tcBorders>
              <w:bottom w:val="single" w:sz="8" w:color="D7282F"/>
            </w:tcBorders>
          </w:tcPr>
          <w:p>
            <w:pPr>
              <w:spacing w:after="0"/>
              <w:rPr>
                <w:sz w:val="17"/>
                <w:szCs w:val="17"/>
                <w:color w:val="auto"/>
              </w:rPr>
            </w:pPr>
          </w:p>
        </w:tc>
        <w:tc>
          <w:tcPr>
            <w:tcW w:w="9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74</w:t>
            </w:r>
          </w:p>
        </w:tc>
        <w:tc>
          <w:tcPr>
            <w:tcW w:w="240" w:type="dxa"/>
            <w:vAlign w:val="bottom"/>
            <w:tcBorders>
              <w:bottom w:val="single" w:sz="8" w:color="D7282F"/>
            </w:tcBorders>
          </w:tcPr>
          <w:p>
            <w:pPr>
              <w:spacing w:after="0"/>
              <w:rPr>
                <w:sz w:val="17"/>
                <w:szCs w:val="17"/>
                <w:color w:val="auto"/>
              </w:rPr>
            </w:pPr>
          </w:p>
        </w:tc>
        <w:tc>
          <w:tcPr>
            <w:tcW w:w="120" w:type="dxa"/>
            <w:vAlign w:val="bottom"/>
            <w:tcBorders>
              <w:bottom w:val="single" w:sz="8" w:color="D7282F"/>
            </w:tcBorders>
          </w:tcPr>
          <w:p>
            <w:pPr>
              <w:spacing w:after="0"/>
              <w:rPr>
                <w:sz w:val="17"/>
                <w:szCs w:val="17"/>
                <w:color w:val="auto"/>
              </w:rPr>
            </w:pPr>
          </w:p>
        </w:tc>
        <w:tc>
          <w:tcPr>
            <w:tcW w:w="116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291</w:t>
            </w:r>
          </w:p>
        </w:tc>
        <w:tc>
          <w:tcPr>
            <w:tcW w:w="220" w:type="dxa"/>
            <w:vAlign w:val="bottom"/>
            <w:tcBorders>
              <w:bottom w:val="single" w:sz="8" w:color="D7282F"/>
            </w:tcBorders>
          </w:tcPr>
          <w:p>
            <w:pPr>
              <w:spacing w:after="0"/>
              <w:rPr>
                <w:sz w:val="17"/>
                <w:szCs w:val="17"/>
                <w:color w:val="auto"/>
              </w:rPr>
            </w:pPr>
          </w:p>
        </w:tc>
        <w:tc>
          <w:tcPr>
            <w:tcW w:w="120" w:type="dxa"/>
            <w:vAlign w:val="bottom"/>
            <w:tcBorders>
              <w:bottom w:val="single" w:sz="8" w:color="D7282F"/>
            </w:tcBorders>
          </w:tcPr>
          <w:p>
            <w:pPr>
              <w:spacing w:after="0"/>
              <w:rPr>
                <w:sz w:val="17"/>
                <w:szCs w:val="17"/>
                <w:color w:val="auto"/>
              </w:rPr>
            </w:pPr>
          </w:p>
        </w:tc>
        <w:tc>
          <w:tcPr>
            <w:tcW w:w="8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78</w:t>
            </w:r>
          </w:p>
        </w:tc>
        <w:tc>
          <w:tcPr>
            <w:tcW w:w="220" w:type="dxa"/>
            <w:vAlign w:val="bottom"/>
            <w:tcBorders>
              <w:bottom w:val="single" w:sz="8" w:color="D7282F"/>
            </w:tcBorders>
          </w:tcPr>
          <w:p>
            <w:pPr>
              <w:spacing w:after="0"/>
              <w:rPr>
                <w:sz w:val="17"/>
                <w:szCs w:val="17"/>
                <w:color w:val="auto"/>
              </w:rPr>
            </w:pPr>
          </w:p>
        </w:tc>
        <w:tc>
          <w:tcPr>
            <w:tcW w:w="14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766</w:t>
            </w: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ind w:left="480" w:right="20" w:hanging="344"/>
        <w:spacing w:after="0" w:line="194" w:lineRule="auto"/>
        <w:tabs>
          <w:tab w:leader="none" w:pos="480" w:val="left"/>
        </w:tabs>
        <w:numPr>
          <w:ilvl w:val="0"/>
          <w:numId w:val="177"/>
        </w:numPr>
        <w:rPr>
          <w:rFonts w:ascii="Arial" w:cs="Arial" w:eastAsia="Arial" w:hAnsi="Arial"/>
          <w:sz w:val="25"/>
          <w:szCs w:val="25"/>
          <w:color w:val="auto"/>
          <w:vertAlign w:val="superscript"/>
        </w:rPr>
      </w:pPr>
      <w:r>
        <w:rPr>
          <w:rFonts w:ascii="Arial" w:cs="Arial" w:eastAsia="Arial" w:hAnsi="Arial"/>
          <w:sz w:val="13"/>
          <w:szCs w:val="13"/>
          <w:color w:val="auto"/>
        </w:rPr>
        <w:t>For each reportable segment, the other segment items category includes research and development expenses, equity income of affiliated companies and certain allocated overhead expenses, which are comprised of salaries and fringe benefits, professional &amp; purchased services, and other indirect spend across core corporate functions such as central IT, corporate finance, human resources, supply chain, legal, government relations, and other corporate functions.</w:t>
      </w: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color w:val="auto"/>
        </w:rPr>
        <w:t>A reconciliation of segment profit to consolidated income before taxes are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480" w:type="dxa"/>
            <w:vAlign w:val="bottom"/>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2600" w:type="dxa"/>
            <w:vAlign w:val="bottom"/>
            <w:tcBorders>
              <w:bottom w:val="single" w:sz="8" w:color="D7282F"/>
            </w:tcBorders>
            <w:gridSpan w:val="5"/>
          </w:tcPr>
          <w:p>
            <w:pPr>
              <w:jc w:val="right"/>
              <w:ind w:right="388"/>
              <w:spacing w:after="0"/>
              <w:rPr>
                <w:sz w:val="20"/>
                <w:szCs w:val="20"/>
                <w:color w:val="auto"/>
              </w:rPr>
            </w:pPr>
            <w:r>
              <w:rPr>
                <w:rFonts w:ascii="Arial" w:cs="Arial" w:eastAsia="Arial" w:hAnsi="Arial"/>
                <w:sz w:val="14"/>
                <w:szCs w:val="14"/>
                <w:b w:val="1"/>
                <w:bCs w:val="1"/>
                <w:color w:val="auto"/>
              </w:rPr>
              <w:t>Years Ended December 31,</w:t>
            </w:r>
          </w:p>
        </w:tc>
      </w:tr>
      <w:tr>
        <w:trPr>
          <w:trHeight w:val="237"/>
        </w:trPr>
        <w:tc>
          <w:tcPr>
            <w:tcW w:w="8480" w:type="dxa"/>
            <w:vAlign w:val="bottom"/>
            <w:tcBorders>
              <w:bottom w:val="single" w:sz="8" w:color="D7282F"/>
            </w:tcBorders>
          </w:tcPr>
          <w:p>
            <w:pPr>
              <w:spacing w:after="0"/>
              <w:rPr>
                <w:sz w:val="20"/>
                <w:szCs w:val="20"/>
                <w:color w:val="auto"/>
              </w:rPr>
            </w:pPr>
          </w:p>
        </w:tc>
        <w:tc>
          <w:tcPr>
            <w:tcW w:w="160" w:type="dxa"/>
            <w:vAlign w:val="bottom"/>
            <w:tcBorders>
              <w:bottom w:val="single" w:sz="8" w:color="D7282F"/>
            </w:tcBorders>
          </w:tcPr>
          <w:p>
            <w:pPr>
              <w:spacing w:after="0"/>
              <w:rPr>
                <w:sz w:val="20"/>
                <w:szCs w:val="20"/>
                <w:color w:val="auto"/>
              </w:rPr>
            </w:pPr>
          </w:p>
        </w:tc>
        <w:tc>
          <w:tcPr>
            <w:tcW w:w="72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2024</w:t>
            </w:r>
          </w:p>
        </w:tc>
        <w:tc>
          <w:tcPr>
            <w:tcW w:w="280" w:type="dxa"/>
            <w:vAlign w:val="bottom"/>
            <w:tcBorders>
              <w:bottom w:val="single" w:sz="8" w:color="D7282F"/>
            </w:tcBorders>
          </w:tcPr>
          <w:p>
            <w:pPr>
              <w:spacing w:after="0"/>
              <w:rPr>
                <w:sz w:val="20"/>
                <w:szCs w:val="20"/>
                <w:color w:val="auto"/>
              </w:rPr>
            </w:pPr>
          </w:p>
        </w:tc>
        <w:tc>
          <w:tcPr>
            <w:tcW w:w="72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2023</w:t>
            </w:r>
          </w:p>
        </w:tc>
        <w:tc>
          <w:tcPr>
            <w:tcW w:w="280" w:type="dxa"/>
            <w:vAlign w:val="bottom"/>
            <w:tcBorders>
              <w:bottom w:val="single" w:sz="8" w:color="D7282F"/>
            </w:tcBorders>
          </w:tcPr>
          <w:p>
            <w:pPr>
              <w:spacing w:after="0"/>
              <w:rPr>
                <w:sz w:val="20"/>
                <w:szCs w:val="20"/>
                <w:color w:val="auto"/>
              </w:rPr>
            </w:pPr>
          </w:p>
        </w:tc>
        <w:tc>
          <w:tcPr>
            <w:tcW w:w="60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2022</w:t>
            </w:r>
          </w:p>
        </w:tc>
      </w:tr>
      <w:tr>
        <w:trPr>
          <w:trHeight w:val="199"/>
        </w:trPr>
        <w:tc>
          <w:tcPr>
            <w:tcW w:w="8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Segment profit</w:t>
            </w:r>
          </w:p>
        </w:tc>
        <w:tc>
          <w:tcPr>
            <w:tcW w:w="1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8,699</w:t>
            </w:r>
          </w:p>
        </w:tc>
        <w:tc>
          <w:tcPr>
            <w:tcW w:w="2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8,598</w:t>
            </w:r>
          </w:p>
        </w:tc>
        <w:tc>
          <w:tcPr>
            <w:tcW w:w="2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8,022</w:t>
            </w:r>
          </w:p>
        </w:tc>
      </w:tr>
      <w:tr>
        <w:trPr>
          <w:trHeight w:val="196"/>
        </w:trPr>
        <w:tc>
          <w:tcPr>
            <w:tcW w:w="8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Interest and other financial charges</w:t>
            </w:r>
          </w:p>
        </w:tc>
        <w:tc>
          <w:tcPr>
            <w:tcW w:w="16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(1,058)</w:t>
            </w:r>
          </w:p>
        </w:tc>
        <w:tc>
          <w:tcPr>
            <w:tcW w:w="28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(765)</w:t>
            </w:r>
          </w:p>
        </w:tc>
        <w:tc>
          <w:tcPr>
            <w:tcW w:w="28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(414)</w:t>
            </w:r>
          </w:p>
        </w:tc>
      </w:tr>
      <w:tr>
        <w:trPr>
          <w:trHeight w:val="200"/>
        </w:trPr>
        <w:tc>
          <w:tcPr>
            <w:tcW w:w="8480" w:type="dxa"/>
            <w:vAlign w:val="bottom"/>
            <w:tcBorders>
              <w:bottom w:val="single" w:sz="8" w:color="61656A"/>
            </w:tcBorders>
          </w:tcPr>
          <w:p>
            <w:pPr>
              <w:ind w:left="20"/>
              <w:spacing w:after="0" w:line="200" w:lineRule="exact"/>
              <w:rPr>
                <w:sz w:val="20"/>
                <w:szCs w:val="20"/>
                <w:color w:val="auto"/>
              </w:rPr>
            </w:pPr>
            <w:r>
              <w:rPr>
                <w:rFonts w:ascii="Arial" w:cs="Arial" w:eastAsia="Arial" w:hAnsi="Arial"/>
                <w:sz w:val="14"/>
                <w:szCs w:val="14"/>
                <w:color w:val="auto"/>
              </w:rPr>
              <w:t>Interest income</w:t>
            </w:r>
            <w:r>
              <w:rPr>
                <w:rFonts w:ascii="Arial" w:cs="Arial" w:eastAsia="Arial" w:hAnsi="Arial"/>
                <w:sz w:val="18"/>
                <w:szCs w:val="18"/>
                <w:color w:val="auto"/>
                <w:vertAlign w:val="superscript"/>
              </w:rPr>
              <w:t>1</w:t>
            </w:r>
          </w:p>
        </w:tc>
        <w:tc>
          <w:tcPr>
            <w:tcW w:w="16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426</w:t>
            </w:r>
          </w:p>
        </w:tc>
        <w:tc>
          <w:tcPr>
            <w:tcW w:w="28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321</w:t>
            </w:r>
          </w:p>
        </w:tc>
        <w:tc>
          <w:tcPr>
            <w:tcW w:w="28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138</w:t>
            </w:r>
          </w:p>
        </w:tc>
      </w:tr>
      <w:tr>
        <w:trPr>
          <w:trHeight w:val="196"/>
        </w:trPr>
        <w:tc>
          <w:tcPr>
            <w:tcW w:w="8480" w:type="dxa"/>
            <w:vAlign w:val="bottom"/>
            <w:tcBorders>
              <w:bottom w:val="single" w:sz="8" w:color="61656A"/>
            </w:tcBorders>
          </w:tcPr>
          <w:p>
            <w:pPr>
              <w:ind w:left="20"/>
              <w:spacing w:after="0" w:line="196" w:lineRule="exact"/>
              <w:rPr>
                <w:sz w:val="20"/>
                <w:szCs w:val="20"/>
                <w:color w:val="auto"/>
              </w:rPr>
            </w:pPr>
            <w:r>
              <w:rPr>
                <w:rFonts w:ascii="Arial" w:cs="Arial" w:eastAsia="Arial" w:hAnsi="Arial"/>
                <w:sz w:val="14"/>
                <w:szCs w:val="14"/>
                <w:color w:val="auto"/>
              </w:rPr>
              <w:t>Amortization of acquisition-related intangibles</w:t>
            </w:r>
            <w:r>
              <w:rPr>
                <w:rFonts w:ascii="Arial" w:cs="Arial" w:eastAsia="Arial" w:hAnsi="Arial"/>
                <w:sz w:val="18"/>
                <w:szCs w:val="18"/>
                <w:color w:val="auto"/>
                <w:vertAlign w:val="superscript"/>
              </w:rPr>
              <w:t>2</w:t>
            </w:r>
          </w:p>
        </w:tc>
        <w:tc>
          <w:tcPr>
            <w:tcW w:w="16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(415)</w:t>
            </w:r>
          </w:p>
        </w:tc>
        <w:tc>
          <w:tcPr>
            <w:tcW w:w="28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(292)</w:t>
            </w:r>
          </w:p>
        </w:tc>
        <w:tc>
          <w:tcPr>
            <w:tcW w:w="28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(333)</w:t>
            </w:r>
          </w:p>
        </w:tc>
      </w:tr>
      <w:tr>
        <w:trPr>
          <w:trHeight w:val="192"/>
        </w:trPr>
        <w:tc>
          <w:tcPr>
            <w:tcW w:w="8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Impairment of assets held for sale</w:t>
            </w:r>
          </w:p>
        </w:tc>
        <w:tc>
          <w:tcPr>
            <w:tcW w:w="160" w:type="dxa"/>
            <w:vAlign w:val="bottom"/>
            <w:tcBorders>
              <w:bottom w:val="single" w:sz="8" w:color="61656A"/>
            </w:tcBorders>
          </w:tcPr>
          <w:p>
            <w:pPr>
              <w:spacing w:after="0"/>
              <w:rPr>
                <w:sz w:val="16"/>
                <w:szCs w:val="16"/>
                <w:color w:val="auto"/>
              </w:rPr>
            </w:pPr>
          </w:p>
        </w:tc>
        <w:tc>
          <w:tcPr>
            <w:tcW w:w="7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(219)</w:t>
            </w:r>
          </w:p>
        </w:tc>
        <w:tc>
          <w:tcPr>
            <w:tcW w:w="280" w:type="dxa"/>
            <w:vAlign w:val="bottom"/>
            <w:tcBorders>
              <w:bottom w:val="single" w:sz="8" w:color="61656A"/>
            </w:tcBorders>
          </w:tcPr>
          <w:p>
            <w:pPr>
              <w:spacing w:after="0"/>
              <w:rPr>
                <w:sz w:val="16"/>
                <w:szCs w:val="16"/>
                <w:color w:val="auto"/>
              </w:rPr>
            </w:pPr>
          </w:p>
        </w:tc>
        <w:tc>
          <w:tcPr>
            <w:tcW w:w="7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61656A"/>
            </w:tcBorders>
          </w:tcPr>
          <w:p>
            <w:pPr>
              <w:spacing w:after="0"/>
              <w:rPr>
                <w:sz w:val="16"/>
                <w:szCs w:val="16"/>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200"/>
        </w:trPr>
        <w:tc>
          <w:tcPr>
            <w:tcW w:w="8480" w:type="dxa"/>
            <w:vAlign w:val="bottom"/>
            <w:tcBorders>
              <w:bottom w:val="single" w:sz="8" w:color="61656A"/>
            </w:tcBorders>
          </w:tcPr>
          <w:p>
            <w:pPr>
              <w:ind w:left="20"/>
              <w:spacing w:after="0" w:line="200" w:lineRule="exact"/>
              <w:rPr>
                <w:sz w:val="20"/>
                <w:szCs w:val="20"/>
                <w:color w:val="auto"/>
              </w:rPr>
            </w:pPr>
            <w:r>
              <w:rPr>
                <w:rFonts w:ascii="Arial" w:cs="Arial" w:eastAsia="Arial" w:hAnsi="Arial"/>
                <w:sz w:val="14"/>
                <w:szCs w:val="14"/>
                <w:color w:val="auto"/>
              </w:rPr>
              <w:t>Stock compensation expense</w:t>
            </w:r>
            <w:r>
              <w:rPr>
                <w:rFonts w:ascii="Arial" w:cs="Arial" w:eastAsia="Arial" w:hAnsi="Arial"/>
                <w:sz w:val="18"/>
                <w:szCs w:val="18"/>
                <w:color w:val="auto"/>
                <w:vertAlign w:val="superscript"/>
              </w:rPr>
              <w:t>3</w:t>
            </w:r>
          </w:p>
        </w:tc>
        <w:tc>
          <w:tcPr>
            <w:tcW w:w="16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(194)</w:t>
            </w:r>
          </w:p>
        </w:tc>
        <w:tc>
          <w:tcPr>
            <w:tcW w:w="28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(202)</w:t>
            </w:r>
          </w:p>
        </w:tc>
        <w:tc>
          <w:tcPr>
            <w:tcW w:w="28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(188)</w:t>
            </w:r>
          </w:p>
        </w:tc>
      </w:tr>
      <w:tr>
        <w:trPr>
          <w:trHeight w:val="196"/>
        </w:trPr>
        <w:tc>
          <w:tcPr>
            <w:tcW w:w="8480" w:type="dxa"/>
            <w:vAlign w:val="bottom"/>
            <w:tcBorders>
              <w:bottom w:val="single" w:sz="8" w:color="61656A"/>
            </w:tcBorders>
          </w:tcPr>
          <w:p>
            <w:pPr>
              <w:ind w:left="20"/>
              <w:spacing w:after="0" w:line="196" w:lineRule="exact"/>
              <w:rPr>
                <w:sz w:val="20"/>
                <w:szCs w:val="20"/>
                <w:color w:val="auto"/>
              </w:rPr>
            </w:pPr>
            <w:r>
              <w:rPr>
                <w:rFonts w:ascii="Arial" w:cs="Arial" w:eastAsia="Arial" w:hAnsi="Arial"/>
                <w:sz w:val="14"/>
                <w:szCs w:val="14"/>
                <w:color w:val="auto"/>
              </w:rPr>
              <w:t>Pension ongoing income</w:t>
            </w:r>
            <w:r>
              <w:rPr>
                <w:rFonts w:ascii="Arial" w:cs="Arial" w:eastAsia="Arial" w:hAnsi="Arial"/>
                <w:sz w:val="18"/>
                <w:szCs w:val="18"/>
                <w:color w:val="auto"/>
                <w:vertAlign w:val="superscript"/>
              </w:rPr>
              <w:t>4</w:t>
            </w:r>
          </w:p>
        </w:tc>
        <w:tc>
          <w:tcPr>
            <w:tcW w:w="16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592</w:t>
            </w:r>
          </w:p>
        </w:tc>
        <w:tc>
          <w:tcPr>
            <w:tcW w:w="28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528</w:t>
            </w:r>
          </w:p>
        </w:tc>
        <w:tc>
          <w:tcPr>
            <w:tcW w:w="28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993</w:t>
            </w:r>
          </w:p>
        </w:tc>
      </w:tr>
      <w:tr>
        <w:trPr>
          <w:trHeight w:val="196"/>
        </w:trPr>
        <w:tc>
          <w:tcPr>
            <w:tcW w:w="8480" w:type="dxa"/>
            <w:vAlign w:val="bottom"/>
            <w:tcBorders>
              <w:bottom w:val="single" w:sz="8" w:color="61656A"/>
            </w:tcBorders>
          </w:tcPr>
          <w:p>
            <w:pPr>
              <w:ind w:left="20"/>
              <w:spacing w:after="0" w:line="196" w:lineRule="exact"/>
              <w:rPr>
                <w:sz w:val="20"/>
                <w:szCs w:val="20"/>
                <w:color w:val="auto"/>
              </w:rPr>
            </w:pPr>
            <w:r>
              <w:rPr>
                <w:rFonts w:ascii="Arial" w:cs="Arial" w:eastAsia="Arial" w:hAnsi="Arial"/>
                <w:sz w:val="14"/>
                <w:szCs w:val="14"/>
                <w:color w:val="auto"/>
              </w:rPr>
              <w:t>Pension mark-to-market expense</w:t>
            </w:r>
            <w:r>
              <w:rPr>
                <w:rFonts w:ascii="Arial" w:cs="Arial" w:eastAsia="Arial" w:hAnsi="Arial"/>
                <w:sz w:val="18"/>
                <w:szCs w:val="18"/>
                <w:color w:val="auto"/>
                <w:vertAlign w:val="superscript"/>
              </w:rPr>
              <w:t>4</w:t>
            </w:r>
          </w:p>
        </w:tc>
        <w:tc>
          <w:tcPr>
            <w:tcW w:w="16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(126)</w:t>
            </w:r>
          </w:p>
        </w:tc>
        <w:tc>
          <w:tcPr>
            <w:tcW w:w="28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(153)</w:t>
            </w:r>
          </w:p>
        </w:tc>
        <w:tc>
          <w:tcPr>
            <w:tcW w:w="28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(523)</w:t>
            </w:r>
          </w:p>
        </w:tc>
      </w:tr>
      <w:tr>
        <w:trPr>
          <w:trHeight w:val="196"/>
        </w:trPr>
        <w:tc>
          <w:tcPr>
            <w:tcW w:w="8480" w:type="dxa"/>
            <w:vAlign w:val="bottom"/>
            <w:tcBorders>
              <w:bottom w:val="single" w:sz="8" w:color="61656A"/>
            </w:tcBorders>
          </w:tcPr>
          <w:p>
            <w:pPr>
              <w:ind w:left="20"/>
              <w:spacing w:after="0" w:line="196" w:lineRule="exact"/>
              <w:rPr>
                <w:sz w:val="20"/>
                <w:szCs w:val="20"/>
                <w:color w:val="auto"/>
              </w:rPr>
            </w:pPr>
            <w:r>
              <w:rPr>
                <w:rFonts w:ascii="Arial" w:cs="Arial" w:eastAsia="Arial" w:hAnsi="Arial"/>
                <w:sz w:val="14"/>
                <w:szCs w:val="14"/>
                <w:color w:val="auto"/>
              </w:rPr>
              <w:t>Other postretirement income</w:t>
            </w:r>
            <w:r>
              <w:rPr>
                <w:rFonts w:ascii="Arial" w:cs="Arial" w:eastAsia="Arial" w:hAnsi="Arial"/>
                <w:sz w:val="18"/>
                <w:szCs w:val="18"/>
                <w:color w:val="auto"/>
                <w:vertAlign w:val="superscript"/>
              </w:rPr>
              <w:t>4</w:t>
            </w:r>
          </w:p>
        </w:tc>
        <w:tc>
          <w:tcPr>
            <w:tcW w:w="16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11</w:t>
            </w:r>
          </w:p>
        </w:tc>
        <w:tc>
          <w:tcPr>
            <w:tcW w:w="28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29</w:t>
            </w:r>
          </w:p>
        </w:tc>
        <w:tc>
          <w:tcPr>
            <w:tcW w:w="28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41</w:t>
            </w:r>
          </w:p>
        </w:tc>
      </w:tr>
      <w:tr>
        <w:trPr>
          <w:trHeight w:val="196"/>
        </w:trPr>
        <w:tc>
          <w:tcPr>
            <w:tcW w:w="8480" w:type="dxa"/>
            <w:vAlign w:val="bottom"/>
            <w:tcBorders>
              <w:bottom w:val="single" w:sz="8" w:color="61656A"/>
            </w:tcBorders>
          </w:tcPr>
          <w:p>
            <w:pPr>
              <w:ind w:left="20"/>
              <w:spacing w:after="0" w:line="196" w:lineRule="exact"/>
              <w:rPr>
                <w:sz w:val="20"/>
                <w:szCs w:val="20"/>
                <w:color w:val="auto"/>
              </w:rPr>
            </w:pPr>
            <w:r>
              <w:rPr>
                <w:rFonts w:ascii="Arial" w:cs="Arial" w:eastAsia="Arial" w:hAnsi="Arial"/>
                <w:sz w:val="14"/>
                <w:szCs w:val="14"/>
                <w:color w:val="auto"/>
              </w:rPr>
              <w:t>Repositioning and other charges</w:t>
            </w:r>
            <w:r>
              <w:rPr>
                <w:rFonts w:ascii="Arial" w:cs="Arial" w:eastAsia="Arial" w:hAnsi="Arial"/>
                <w:sz w:val="18"/>
                <w:szCs w:val="18"/>
                <w:color w:val="auto"/>
                <w:vertAlign w:val="superscript"/>
              </w:rPr>
              <w:t>5</w:t>
            </w:r>
          </w:p>
        </w:tc>
        <w:tc>
          <w:tcPr>
            <w:tcW w:w="16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(244)</w:t>
            </w:r>
          </w:p>
        </w:tc>
        <w:tc>
          <w:tcPr>
            <w:tcW w:w="28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(860)</w:t>
            </w:r>
          </w:p>
        </w:tc>
        <w:tc>
          <w:tcPr>
            <w:tcW w:w="28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(1,266)</w:t>
            </w:r>
          </w:p>
        </w:tc>
      </w:tr>
      <w:tr>
        <w:trPr>
          <w:trHeight w:val="196"/>
        </w:trPr>
        <w:tc>
          <w:tcPr>
            <w:tcW w:w="8480" w:type="dxa"/>
            <w:vAlign w:val="bottom"/>
            <w:tcBorders>
              <w:bottom w:val="single" w:sz="8" w:color="D7282F"/>
            </w:tcBorders>
          </w:tcPr>
          <w:p>
            <w:pPr>
              <w:ind w:left="20"/>
              <w:spacing w:after="0" w:line="196" w:lineRule="exact"/>
              <w:rPr>
                <w:sz w:val="20"/>
                <w:szCs w:val="20"/>
                <w:color w:val="auto"/>
              </w:rPr>
            </w:pPr>
            <w:r>
              <w:rPr>
                <w:rFonts w:ascii="Arial" w:cs="Arial" w:eastAsia="Arial" w:hAnsi="Arial"/>
                <w:sz w:val="14"/>
                <w:szCs w:val="14"/>
                <w:color w:val="auto"/>
              </w:rPr>
              <w:t>Other expense</w:t>
            </w:r>
            <w:r>
              <w:rPr>
                <w:rFonts w:ascii="Arial" w:cs="Arial" w:eastAsia="Arial" w:hAnsi="Arial"/>
                <w:sz w:val="18"/>
                <w:szCs w:val="18"/>
                <w:color w:val="auto"/>
                <w:vertAlign w:val="superscript"/>
              </w:rPr>
              <w:t>6</w:t>
            </w:r>
          </w:p>
        </w:tc>
        <w:tc>
          <w:tcPr>
            <w:tcW w:w="1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(259)</w:t>
            </w:r>
          </w:p>
        </w:tc>
        <w:tc>
          <w:tcPr>
            <w:tcW w:w="28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(45)</w:t>
            </w:r>
          </w:p>
        </w:tc>
        <w:tc>
          <w:tcPr>
            <w:tcW w:w="28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(91)</w:t>
            </w:r>
          </w:p>
        </w:tc>
      </w:tr>
      <w:tr>
        <w:trPr>
          <w:trHeight w:val="195"/>
        </w:trPr>
        <w:tc>
          <w:tcPr>
            <w:tcW w:w="848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Income before taxes</w:t>
            </w: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7,213</w:t>
            </w:r>
          </w:p>
        </w:tc>
        <w:tc>
          <w:tcPr>
            <w:tcW w:w="2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7,159</w:t>
            </w:r>
          </w:p>
        </w:tc>
        <w:tc>
          <w:tcPr>
            <w:tcW w:w="2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6,379</w:t>
            </w:r>
          </w:p>
        </w:tc>
      </w:tr>
    </w:tbl>
    <w:p>
      <w:pPr>
        <w:spacing w:after="0" w:line="117" w:lineRule="exact"/>
        <w:rPr>
          <w:sz w:val="20"/>
          <w:szCs w:val="20"/>
          <w:color w:val="auto"/>
        </w:rPr>
      </w:pPr>
    </w:p>
    <w:p>
      <w:pPr>
        <w:ind w:left="480" w:hanging="344"/>
        <w:spacing w:after="0"/>
        <w:tabs>
          <w:tab w:leader="none" w:pos="480" w:val="left"/>
        </w:tabs>
        <w:numPr>
          <w:ilvl w:val="0"/>
          <w:numId w:val="178"/>
        </w:numPr>
        <w:rPr>
          <w:rFonts w:ascii="Arial" w:cs="Arial" w:eastAsia="Arial" w:hAnsi="Arial"/>
          <w:sz w:val="13"/>
          <w:szCs w:val="13"/>
          <w:color w:val="auto"/>
        </w:rPr>
      </w:pPr>
      <w:r>
        <w:rPr>
          <w:rFonts w:ascii="Arial" w:cs="Arial" w:eastAsia="Arial" w:hAnsi="Arial"/>
          <w:sz w:val="13"/>
          <w:szCs w:val="13"/>
          <w:color w:val="auto"/>
        </w:rPr>
        <w:t>Amounts included in Other (income) expense.</w:t>
      </w:r>
    </w:p>
    <w:p>
      <w:pPr>
        <w:spacing w:after="0" w:line="53" w:lineRule="exact"/>
        <w:rPr>
          <w:sz w:val="20"/>
          <w:szCs w:val="20"/>
          <w:color w:val="auto"/>
        </w:rPr>
      </w:pPr>
    </w:p>
    <w:p>
      <w:pPr>
        <w:ind w:left="480" w:hanging="344"/>
        <w:spacing w:after="0"/>
        <w:tabs>
          <w:tab w:leader="none" w:pos="480" w:val="left"/>
        </w:tabs>
        <w:numPr>
          <w:ilvl w:val="0"/>
          <w:numId w:val="179"/>
        </w:numPr>
        <w:rPr>
          <w:rFonts w:ascii="Arial" w:cs="Arial" w:eastAsia="Arial" w:hAnsi="Arial"/>
          <w:sz w:val="13"/>
          <w:szCs w:val="13"/>
          <w:color w:val="auto"/>
        </w:rPr>
      </w:pPr>
      <w:r>
        <w:rPr>
          <w:rFonts w:ascii="Arial" w:cs="Arial" w:eastAsia="Arial" w:hAnsi="Arial"/>
          <w:sz w:val="13"/>
          <w:szCs w:val="13"/>
          <w:color w:val="auto"/>
        </w:rPr>
        <w:t>Amounts included in Cost of products and services sold.</w:t>
      </w:r>
    </w:p>
    <w:p>
      <w:pPr>
        <w:ind w:left="480" w:hanging="344"/>
        <w:spacing w:after="0" w:line="216" w:lineRule="auto"/>
        <w:tabs>
          <w:tab w:leader="none" w:pos="480" w:val="left"/>
        </w:tabs>
        <w:numPr>
          <w:ilvl w:val="0"/>
          <w:numId w:val="180"/>
        </w:numPr>
        <w:rPr>
          <w:rFonts w:ascii="Arial" w:cs="Arial" w:eastAsia="Arial" w:hAnsi="Arial"/>
          <w:sz w:val="25"/>
          <w:szCs w:val="25"/>
          <w:color w:val="auto"/>
          <w:vertAlign w:val="superscript"/>
        </w:rPr>
      </w:pPr>
      <w:r>
        <w:rPr>
          <w:rFonts w:ascii="Arial" w:cs="Arial" w:eastAsia="Arial" w:hAnsi="Arial"/>
          <w:sz w:val="13"/>
          <w:szCs w:val="13"/>
          <w:color w:val="auto"/>
        </w:rPr>
        <w:t>Amounts included in Selling, general and administrative expenses.</w:t>
      </w:r>
    </w:p>
    <w:p>
      <w:pPr>
        <w:spacing w:after="0" w:line="145" w:lineRule="exact"/>
        <w:rPr>
          <w:sz w:val="20"/>
          <w:szCs w:val="20"/>
          <w:color w:val="auto"/>
        </w:rPr>
      </w:pPr>
    </w:p>
    <w:p>
      <w:pPr>
        <w:ind w:left="480" w:right="20" w:hanging="344"/>
        <w:spacing w:after="0" w:line="182" w:lineRule="auto"/>
        <w:tabs>
          <w:tab w:leader="none" w:pos="480" w:val="left"/>
        </w:tabs>
        <w:numPr>
          <w:ilvl w:val="0"/>
          <w:numId w:val="181"/>
        </w:numPr>
        <w:rPr>
          <w:rFonts w:ascii="Arial" w:cs="Arial" w:eastAsia="Arial" w:hAnsi="Arial"/>
          <w:sz w:val="24"/>
          <w:szCs w:val="24"/>
          <w:color w:val="auto"/>
          <w:vertAlign w:val="superscript"/>
        </w:rPr>
      </w:pPr>
      <w:r>
        <w:rPr>
          <w:rFonts w:ascii="Arial" w:cs="Arial" w:eastAsia="Arial" w:hAnsi="Arial"/>
          <w:sz w:val="12"/>
          <w:szCs w:val="12"/>
          <w:color w:val="auto"/>
        </w:rPr>
        <w:t>Amounts included in Cost of products and services sold (service cost component), Selling, general and administrative expenses (service cost component), Research and development expenses (service cost component), and Other (income) expense (non-service cost component).</w:t>
      </w:r>
    </w:p>
    <w:p>
      <w:pPr>
        <w:spacing w:after="0" w:line="24" w:lineRule="exact"/>
        <w:rPr>
          <w:sz w:val="20"/>
          <w:szCs w:val="20"/>
          <w:color w:val="auto"/>
        </w:rPr>
      </w:pPr>
    </w:p>
    <w:p>
      <w:pPr>
        <w:ind w:left="480" w:hanging="344"/>
        <w:spacing w:after="0"/>
        <w:tabs>
          <w:tab w:leader="none" w:pos="480" w:val="left"/>
        </w:tabs>
        <w:numPr>
          <w:ilvl w:val="0"/>
          <w:numId w:val="182"/>
        </w:numPr>
        <w:rPr>
          <w:rFonts w:ascii="Arial" w:cs="Arial" w:eastAsia="Arial" w:hAnsi="Arial"/>
          <w:sz w:val="25"/>
          <w:szCs w:val="25"/>
          <w:color w:val="auto"/>
          <w:vertAlign w:val="superscript"/>
        </w:rPr>
      </w:pPr>
      <w:r>
        <w:rPr>
          <w:rFonts w:ascii="Arial" w:cs="Arial" w:eastAsia="Arial" w:hAnsi="Arial"/>
          <w:sz w:val="13"/>
          <w:szCs w:val="13"/>
          <w:color w:val="auto"/>
        </w:rPr>
        <w:t>Amounts included in Cost of products and services sold, Selling, general and administrative expenses, and Other (income) expense.</w:t>
      </w:r>
    </w:p>
    <w:p>
      <w:pPr>
        <w:spacing w:after="0" w:line="35" w:lineRule="exact"/>
        <w:rPr>
          <w:sz w:val="20"/>
          <w:szCs w:val="20"/>
          <w:color w:val="auto"/>
        </w:rPr>
      </w:pPr>
    </w:p>
    <w:p>
      <w:pPr>
        <w:ind w:left="480" w:hanging="344"/>
        <w:spacing w:after="0"/>
        <w:tabs>
          <w:tab w:leader="none" w:pos="480" w:val="left"/>
        </w:tabs>
        <w:numPr>
          <w:ilvl w:val="0"/>
          <w:numId w:val="183"/>
        </w:numPr>
        <w:rPr>
          <w:rFonts w:ascii="Arial" w:cs="Arial" w:eastAsia="Arial" w:hAnsi="Arial"/>
          <w:sz w:val="24"/>
          <w:szCs w:val="24"/>
          <w:color w:val="auto"/>
          <w:vertAlign w:val="superscript"/>
        </w:rPr>
      </w:pPr>
      <w:r>
        <w:rPr>
          <w:rFonts w:ascii="Arial" w:cs="Arial" w:eastAsia="Arial" w:hAnsi="Arial"/>
          <w:sz w:val="12"/>
          <w:szCs w:val="12"/>
          <w:color w:val="auto"/>
        </w:rPr>
        <w:t>Amounts include the other components of Other (income) expense not included within other categories in this reconciliation. Equity income of affiliated companies is included in segment profit.</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00" w:hanging="492"/>
        <w:spacing w:after="0"/>
        <w:tabs>
          <w:tab w:leader="none" w:pos="500" w:val="left"/>
        </w:tabs>
        <w:numPr>
          <w:ilvl w:val="0"/>
          <w:numId w:val="184"/>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14" w:name="page115"/>
    <w:bookmarkEnd w:id="114"/>
    <w:p>
      <w:pPr>
        <w:ind w:left="20"/>
        <w:spacing w:after="0"/>
        <w:tabs>
          <w:tab w:leader="none" w:pos="784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FINANCIAL STATEMENTS AND SUPPLEMENTARY DATA</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29"/>
          <w:szCs w:val="29"/>
          <w:color w:val="D7282F"/>
        </w:rPr>
        <w:t>NOTE 23. GEOGRAPHIC AREAS—FINANCIAL DATA</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80" w:type="dxa"/>
            <w:vAlign w:val="bottom"/>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spacing w:after="0"/>
              <w:rPr>
                <w:sz w:val="17"/>
                <w:szCs w:val="17"/>
                <w:color w:val="auto"/>
              </w:rPr>
            </w:pPr>
          </w:p>
        </w:tc>
        <w:tc>
          <w:tcPr>
            <w:tcW w:w="1020" w:type="dxa"/>
            <w:vAlign w:val="bottom"/>
            <w:tcBorders>
              <w:bottom w:val="single" w:sz="8" w:color="D7282F"/>
            </w:tcBorders>
            <w:gridSpan w:val="2"/>
          </w:tcPr>
          <w:p>
            <w:pPr>
              <w:ind w:left="160"/>
              <w:spacing w:after="0"/>
              <w:rPr>
                <w:sz w:val="20"/>
                <w:szCs w:val="20"/>
                <w:color w:val="auto"/>
              </w:rPr>
            </w:pPr>
            <w:r>
              <w:rPr>
                <w:rFonts w:ascii="Arial" w:cs="Arial" w:eastAsia="Arial" w:hAnsi="Arial"/>
                <w:sz w:val="14"/>
                <w:szCs w:val="14"/>
                <w:b w:val="1"/>
                <w:bCs w:val="1"/>
                <w:color w:val="auto"/>
              </w:rPr>
              <w:t>Net Sales</w:t>
            </w:r>
            <w:r>
              <w:rPr>
                <w:rFonts w:ascii="Arial" w:cs="Arial" w:eastAsia="Arial" w:hAnsi="Arial"/>
                <w:sz w:val="18"/>
                <w:szCs w:val="18"/>
                <w:b w:val="1"/>
                <w:bCs w:val="1"/>
                <w:color w:val="auto"/>
                <w:vertAlign w:val="superscript"/>
              </w:rPr>
              <w:t>1</w:t>
            </w:r>
          </w:p>
        </w:tc>
        <w:tc>
          <w:tcPr>
            <w:tcW w:w="28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560" w:type="dxa"/>
            <w:vAlign w:val="bottom"/>
            <w:tcBorders>
              <w:bottom w:val="single" w:sz="8" w:color="D7282F"/>
            </w:tcBorders>
          </w:tcPr>
          <w:p>
            <w:pPr>
              <w:spacing w:after="0"/>
              <w:rPr>
                <w:sz w:val="17"/>
                <w:szCs w:val="17"/>
                <w:color w:val="auto"/>
              </w:rPr>
            </w:pPr>
          </w:p>
        </w:tc>
        <w:tc>
          <w:tcPr>
            <w:tcW w:w="1440" w:type="dxa"/>
            <w:vAlign w:val="bottom"/>
            <w:tcBorders>
              <w:bottom w:val="single" w:sz="8" w:color="D7282F"/>
            </w:tcBorders>
            <w:gridSpan w:val="3"/>
          </w:tcPr>
          <w:p>
            <w:pPr>
              <w:jc w:val="center"/>
              <w:ind w:right="48"/>
              <w:spacing w:after="0"/>
              <w:rPr>
                <w:sz w:val="20"/>
                <w:szCs w:val="20"/>
                <w:color w:val="auto"/>
              </w:rPr>
            </w:pPr>
            <w:r>
              <w:rPr>
                <w:rFonts w:ascii="Arial" w:cs="Arial" w:eastAsia="Arial" w:hAnsi="Arial"/>
                <w:sz w:val="14"/>
                <w:szCs w:val="14"/>
                <w:b w:val="1"/>
                <w:bCs w:val="1"/>
                <w:color w:val="auto"/>
              </w:rPr>
              <w:t>Long-lived Assets</w:t>
            </w:r>
            <w:r>
              <w:rPr>
                <w:rFonts w:ascii="Arial" w:cs="Arial" w:eastAsia="Arial" w:hAnsi="Arial"/>
                <w:sz w:val="18"/>
                <w:szCs w:val="18"/>
                <w:b w:val="1"/>
                <w:bCs w:val="1"/>
                <w:color w:val="auto"/>
                <w:vertAlign w:val="superscript"/>
              </w:rPr>
              <w:t>2</w:t>
            </w:r>
          </w:p>
        </w:tc>
        <w:tc>
          <w:tcPr>
            <w:tcW w:w="600" w:type="dxa"/>
            <w:vAlign w:val="bottom"/>
            <w:tcBorders>
              <w:bottom w:val="single" w:sz="8" w:color="D7282F"/>
            </w:tcBorders>
          </w:tcPr>
          <w:p>
            <w:pPr>
              <w:spacing w:after="0"/>
              <w:rPr>
                <w:sz w:val="17"/>
                <w:szCs w:val="17"/>
                <w:color w:val="auto"/>
              </w:rPr>
            </w:pPr>
          </w:p>
        </w:tc>
      </w:tr>
      <w:tr>
        <w:trPr>
          <w:trHeight w:val="236"/>
        </w:trPr>
        <w:tc>
          <w:tcPr>
            <w:tcW w:w="5480" w:type="dxa"/>
            <w:vAlign w:val="bottom"/>
          </w:tcPr>
          <w:p>
            <w:pPr>
              <w:spacing w:after="0"/>
              <w:rPr>
                <w:sz w:val="20"/>
                <w:szCs w:val="20"/>
                <w:color w:val="auto"/>
              </w:rPr>
            </w:pPr>
          </w:p>
        </w:tc>
        <w:tc>
          <w:tcPr>
            <w:tcW w:w="160" w:type="dxa"/>
            <w:vAlign w:val="bottom"/>
            <w:tcBorders>
              <w:bottom w:val="single" w:sz="8" w:color="D7282F"/>
            </w:tcBorders>
          </w:tcPr>
          <w:p>
            <w:pPr>
              <w:spacing w:after="0"/>
              <w:rPr>
                <w:sz w:val="20"/>
                <w:szCs w:val="20"/>
                <w:color w:val="auto"/>
              </w:rPr>
            </w:pPr>
          </w:p>
        </w:tc>
        <w:tc>
          <w:tcPr>
            <w:tcW w:w="2840" w:type="dxa"/>
            <w:vAlign w:val="bottom"/>
            <w:tcBorders>
              <w:bottom w:val="single" w:sz="8" w:color="D7282F"/>
            </w:tcBorders>
            <w:gridSpan w:val="6"/>
          </w:tcPr>
          <w:p>
            <w:pPr>
              <w:ind w:left="300"/>
              <w:spacing w:after="0"/>
              <w:rPr>
                <w:sz w:val="20"/>
                <w:szCs w:val="20"/>
                <w:color w:val="auto"/>
              </w:rPr>
            </w:pPr>
            <w:r>
              <w:rPr>
                <w:rFonts w:ascii="Arial" w:cs="Arial" w:eastAsia="Arial" w:hAnsi="Arial"/>
                <w:sz w:val="14"/>
                <w:szCs w:val="14"/>
                <w:b w:val="1"/>
                <w:bCs w:val="1"/>
                <w:color w:val="auto"/>
              </w:rPr>
              <w:t>Years Ended December 31,</w:t>
            </w:r>
          </w:p>
        </w:tc>
        <w:tc>
          <w:tcPr>
            <w:tcW w:w="160" w:type="dxa"/>
            <w:vAlign w:val="bottom"/>
            <w:tcBorders>
              <w:bottom w:val="single" w:sz="8" w:color="D7282F"/>
            </w:tcBorders>
          </w:tcPr>
          <w:p>
            <w:pPr>
              <w:spacing w:after="0"/>
              <w:rPr>
                <w:sz w:val="20"/>
                <w:szCs w:val="20"/>
                <w:color w:val="auto"/>
              </w:rPr>
            </w:pPr>
          </w:p>
        </w:tc>
        <w:tc>
          <w:tcPr>
            <w:tcW w:w="2600" w:type="dxa"/>
            <w:vAlign w:val="bottom"/>
            <w:tcBorders>
              <w:bottom w:val="single" w:sz="8" w:color="D7282F"/>
            </w:tcBorders>
            <w:gridSpan w:val="5"/>
          </w:tcPr>
          <w:p>
            <w:pPr>
              <w:jc w:val="center"/>
              <w:ind w:right="88"/>
              <w:spacing w:after="0"/>
              <w:rPr>
                <w:sz w:val="20"/>
                <w:szCs w:val="20"/>
                <w:color w:val="auto"/>
              </w:rPr>
            </w:pPr>
            <w:r>
              <w:rPr>
                <w:rFonts w:ascii="Arial" w:cs="Arial" w:eastAsia="Arial" w:hAnsi="Arial"/>
                <w:sz w:val="14"/>
                <w:szCs w:val="14"/>
                <w:b w:val="1"/>
                <w:bCs w:val="1"/>
                <w:color w:val="auto"/>
              </w:rPr>
              <w:t>Years Ended December 31,</w:t>
            </w:r>
          </w:p>
        </w:tc>
      </w:tr>
      <w:tr>
        <w:trPr>
          <w:trHeight w:val="196"/>
        </w:trPr>
        <w:tc>
          <w:tcPr>
            <w:tcW w:w="5480" w:type="dxa"/>
            <w:vAlign w:val="bottom"/>
            <w:tcBorders>
              <w:bottom w:val="single" w:sz="8" w:color="D7282F"/>
            </w:tcBorders>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jc w:val="right"/>
              <w:ind w:right="248"/>
              <w:spacing w:after="0"/>
              <w:rPr>
                <w:sz w:val="20"/>
                <w:szCs w:val="20"/>
                <w:color w:val="auto"/>
              </w:rPr>
            </w:pPr>
            <w:r>
              <w:rPr>
                <w:rFonts w:ascii="Arial" w:cs="Arial" w:eastAsia="Arial" w:hAnsi="Arial"/>
                <w:sz w:val="14"/>
                <w:szCs w:val="14"/>
                <w:b w:val="1"/>
                <w:bCs w:val="1"/>
                <w:color w:val="auto"/>
              </w:rPr>
              <w:t>2024</w:t>
            </w:r>
          </w:p>
        </w:tc>
        <w:tc>
          <w:tcPr>
            <w:tcW w:w="30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2023</w:t>
            </w:r>
          </w:p>
        </w:tc>
        <w:tc>
          <w:tcPr>
            <w:tcW w:w="28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bottom w:val="single" w:sz="8" w:color="D7282F"/>
            </w:tcBorders>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5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2024</w:t>
            </w:r>
          </w:p>
        </w:tc>
        <w:tc>
          <w:tcPr>
            <w:tcW w:w="44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jc w:val="center"/>
              <w:ind w:right="188"/>
              <w:spacing w:after="0"/>
              <w:rPr>
                <w:sz w:val="20"/>
                <w:szCs w:val="20"/>
                <w:color w:val="auto"/>
              </w:rPr>
            </w:pPr>
            <w:r>
              <w:rPr>
                <w:rFonts w:ascii="Arial" w:cs="Arial" w:eastAsia="Arial" w:hAnsi="Arial"/>
                <w:sz w:val="14"/>
                <w:szCs w:val="14"/>
                <w:b w:val="1"/>
                <w:bCs w:val="1"/>
                <w:color w:val="auto"/>
              </w:rPr>
              <w:t>2023</w:t>
            </w:r>
          </w:p>
        </w:tc>
        <w:tc>
          <w:tcPr>
            <w:tcW w:w="30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2022</w:t>
            </w:r>
          </w:p>
        </w:tc>
      </w:tr>
      <w:tr>
        <w:trPr>
          <w:trHeight w:val="193"/>
        </w:trPr>
        <w:tc>
          <w:tcPr>
            <w:tcW w:w="5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United States</w:t>
            </w:r>
          </w:p>
        </w:tc>
        <w:tc>
          <w:tcPr>
            <w:tcW w:w="1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21,819</w:t>
            </w:r>
          </w:p>
        </w:tc>
        <w:tc>
          <w:tcPr>
            <w:tcW w:w="300" w:type="dxa"/>
            <w:vAlign w:val="bottom"/>
            <w:tcBorders>
              <w:bottom w:val="single" w:sz="8" w:color="888B8D"/>
            </w:tcBorders>
          </w:tcPr>
          <w:p>
            <w:pPr>
              <w:ind w:left="16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20,907</w:t>
            </w:r>
          </w:p>
        </w:tc>
        <w:tc>
          <w:tcPr>
            <w:tcW w:w="28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21,262</w:t>
            </w:r>
          </w:p>
        </w:tc>
        <w:tc>
          <w:tcPr>
            <w:tcW w:w="240" w:type="dxa"/>
            <w:vAlign w:val="bottom"/>
            <w:tcBorders>
              <w:bottom w:val="single" w:sz="8" w:color="888B8D"/>
            </w:tcBorders>
          </w:tcPr>
          <w:p>
            <w:pPr>
              <w:spacing w:after="0"/>
              <w:rPr>
                <w:sz w:val="16"/>
                <w:szCs w:val="16"/>
                <w:color w:val="auto"/>
              </w:rPr>
            </w:pPr>
          </w:p>
        </w:tc>
        <w:tc>
          <w:tcPr>
            <w:tcW w:w="1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4,694</w:t>
            </w:r>
          </w:p>
        </w:tc>
        <w:tc>
          <w:tcPr>
            <w:tcW w:w="440" w:type="dxa"/>
            <w:vAlign w:val="bottom"/>
            <w:tcBorders>
              <w:bottom w:val="single" w:sz="8" w:color="888B8D"/>
            </w:tcBorders>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4,107</w:t>
            </w:r>
          </w:p>
        </w:tc>
        <w:tc>
          <w:tcPr>
            <w:tcW w:w="300" w:type="dxa"/>
            <w:vAlign w:val="bottom"/>
            <w:tcBorders>
              <w:bottom w:val="single" w:sz="8" w:color="888B8D"/>
            </w:tcBorders>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3,949</w:t>
            </w:r>
          </w:p>
        </w:tc>
      </w:tr>
      <w:tr>
        <w:trPr>
          <w:trHeight w:val="196"/>
        </w:trPr>
        <w:tc>
          <w:tcPr>
            <w:tcW w:w="5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Europe</w:t>
            </w:r>
          </w:p>
        </w:tc>
        <w:tc>
          <w:tcPr>
            <w:tcW w:w="160" w:type="dxa"/>
            <w:vAlign w:val="bottom"/>
            <w:tcBorders>
              <w:bottom w:val="single" w:sz="8" w:color="888B8D"/>
            </w:tcBorders>
          </w:tcPr>
          <w:p>
            <w:pPr>
              <w:spacing w:after="0"/>
              <w:rPr>
                <w:sz w:val="17"/>
                <w:szCs w:val="17"/>
                <w:color w:val="auto"/>
              </w:rPr>
            </w:pPr>
          </w:p>
        </w:tc>
        <w:tc>
          <w:tcPr>
            <w:tcW w:w="70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8,760</w:t>
            </w:r>
          </w:p>
        </w:tc>
        <w:tc>
          <w:tcPr>
            <w:tcW w:w="30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8,052</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6,840</w:t>
            </w:r>
          </w:p>
        </w:tc>
        <w:tc>
          <w:tcPr>
            <w:tcW w:w="240" w:type="dxa"/>
            <w:vAlign w:val="bottom"/>
            <w:tcBorders>
              <w:bottom w:val="single" w:sz="8" w:color="888B8D"/>
            </w:tcBorders>
          </w:tcPr>
          <w:p>
            <w:pPr>
              <w:spacing w:after="0"/>
              <w:rPr>
                <w:sz w:val="17"/>
                <w:szCs w:val="17"/>
                <w:color w:val="auto"/>
              </w:rPr>
            </w:pPr>
          </w:p>
        </w:tc>
        <w:tc>
          <w:tcPr>
            <w:tcW w:w="160" w:type="dxa"/>
            <w:vAlign w:val="bottom"/>
            <w:tcBorders>
              <w:bottom w:val="single" w:sz="8" w:color="888B8D"/>
            </w:tcBorders>
          </w:tcPr>
          <w:p>
            <w:pPr>
              <w:spacing w:after="0"/>
              <w:rPr>
                <w:sz w:val="17"/>
                <w:szCs w:val="17"/>
                <w:color w:val="auto"/>
              </w:rPr>
            </w:pPr>
          </w:p>
        </w:tc>
        <w:tc>
          <w:tcPr>
            <w:tcW w:w="5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533</w:t>
            </w:r>
          </w:p>
        </w:tc>
        <w:tc>
          <w:tcPr>
            <w:tcW w:w="440" w:type="dxa"/>
            <w:vAlign w:val="bottom"/>
            <w:tcBorders>
              <w:bottom w:val="single" w:sz="8" w:color="888B8D"/>
            </w:tcBorders>
          </w:tcPr>
          <w:p>
            <w:pPr>
              <w:spacing w:after="0"/>
              <w:rPr>
                <w:sz w:val="17"/>
                <w:szCs w:val="17"/>
                <w:color w:val="auto"/>
              </w:rPr>
            </w:pPr>
          </w:p>
        </w:tc>
        <w:tc>
          <w:tcPr>
            <w:tcW w:w="70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555</w:t>
            </w:r>
          </w:p>
        </w:tc>
        <w:tc>
          <w:tcPr>
            <w:tcW w:w="30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537</w:t>
            </w:r>
          </w:p>
        </w:tc>
      </w:tr>
      <w:tr>
        <w:trPr>
          <w:trHeight w:val="196"/>
        </w:trPr>
        <w:tc>
          <w:tcPr>
            <w:tcW w:w="54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Other international</w:t>
            </w:r>
          </w:p>
        </w:tc>
        <w:tc>
          <w:tcPr>
            <w:tcW w:w="16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7,919</w:t>
            </w:r>
          </w:p>
        </w:tc>
        <w:tc>
          <w:tcPr>
            <w:tcW w:w="30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7,703</w:t>
            </w:r>
          </w:p>
        </w:tc>
        <w:tc>
          <w:tcPr>
            <w:tcW w:w="28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7,364</w:t>
            </w:r>
          </w:p>
        </w:tc>
        <w:tc>
          <w:tcPr>
            <w:tcW w:w="240" w:type="dxa"/>
            <w:vAlign w:val="bottom"/>
            <w:tcBorders>
              <w:bottom w:val="single" w:sz="8" w:color="D7282F"/>
            </w:tcBorders>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5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967</w:t>
            </w:r>
          </w:p>
        </w:tc>
        <w:tc>
          <w:tcPr>
            <w:tcW w:w="44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998</w:t>
            </w:r>
          </w:p>
        </w:tc>
        <w:tc>
          <w:tcPr>
            <w:tcW w:w="30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985</w:t>
            </w:r>
          </w:p>
        </w:tc>
      </w:tr>
      <w:tr>
        <w:trPr>
          <w:trHeight w:val="200"/>
        </w:trPr>
        <w:tc>
          <w:tcPr>
            <w:tcW w:w="5480" w:type="dxa"/>
            <w:vAlign w:val="bottom"/>
            <w:tcBorders>
              <w:bottom w:val="single" w:sz="8" w:color="D7282F"/>
            </w:tcBorders>
          </w:tcPr>
          <w:p>
            <w:pPr>
              <w:ind w:left="140"/>
              <w:spacing w:after="0" w:line="200" w:lineRule="exact"/>
              <w:rPr>
                <w:sz w:val="20"/>
                <w:szCs w:val="20"/>
                <w:color w:val="auto"/>
              </w:rPr>
            </w:pPr>
            <w:r>
              <w:rPr>
                <w:rFonts w:ascii="Arial" w:cs="Arial" w:eastAsia="Arial" w:hAnsi="Arial"/>
                <w:sz w:val="14"/>
                <w:szCs w:val="14"/>
                <w:b w:val="1"/>
                <w:bCs w:val="1"/>
                <w:color w:val="auto"/>
              </w:rPr>
              <w:t>Total</w:t>
            </w:r>
            <w:r>
              <w:rPr>
                <w:rFonts w:ascii="Arial" w:cs="Arial" w:eastAsia="Arial" w:hAnsi="Arial"/>
                <w:sz w:val="18"/>
                <w:szCs w:val="18"/>
                <w:b w:val="1"/>
                <w:bCs w:val="1"/>
                <w:color w:val="auto"/>
                <w:vertAlign w:val="superscript"/>
              </w:rPr>
              <w:t>3</w:t>
            </w: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38,498</w:t>
            </w:r>
          </w:p>
        </w:tc>
        <w:tc>
          <w:tcPr>
            <w:tcW w:w="300" w:type="dxa"/>
            <w:vAlign w:val="bottom"/>
            <w:tcBorders>
              <w:bottom w:val="single" w:sz="8" w:color="D7282F"/>
            </w:tcBorders>
          </w:tcPr>
          <w:p>
            <w:pPr>
              <w:ind w:left="160"/>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36,662</w:t>
            </w:r>
          </w:p>
        </w:tc>
        <w:tc>
          <w:tcPr>
            <w:tcW w:w="2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35,466</w:t>
            </w:r>
          </w:p>
        </w:tc>
        <w:tc>
          <w:tcPr>
            <w:tcW w:w="240" w:type="dxa"/>
            <w:vAlign w:val="bottom"/>
            <w:tcBorders>
              <w:bottom w:val="single" w:sz="8" w:color="D7282F"/>
            </w:tcBorders>
          </w:tcPr>
          <w:p>
            <w:pPr>
              <w:spacing w:after="0"/>
              <w:rPr>
                <w:sz w:val="17"/>
                <w:szCs w:val="17"/>
                <w:color w:val="auto"/>
              </w:rPr>
            </w:pP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6,194</w:t>
            </w:r>
          </w:p>
        </w:tc>
        <w:tc>
          <w:tcPr>
            <w:tcW w:w="44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5,660</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5,471</w:t>
            </w:r>
          </w:p>
        </w:tc>
      </w:tr>
    </w:tbl>
    <w:p>
      <w:pPr>
        <w:spacing w:after="0" w:line="198" w:lineRule="exact"/>
        <w:rPr>
          <w:sz w:val="20"/>
          <w:szCs w:val="20"/>
          <w:color w:val="auto"/>
        </w:rPr>
      </w:pPr>
    </w:p>
    <w:p>
      <w:pPr>
        <w:ind w:left="480" w:right="20" w:hanging="344"/>
        <w:spacing w:after="0" w:line="182" w:lineRule="auto"/>
        <w:tabs>
          <w:tab w:leader="none" w:pos="480" w:val="left"/>
        </w:tabs>
        <w:numPr>
          <w:ilvl w:val="0"/>
          <w:numId w:val="185"/>
        </w:numPr>
        <w:rPr>
          <w:rFonts w:ascii="Arial" w:cs="Arial" w:eastAsia="Arial" w:hAnsi="Arial"/>
          <w:sz w:val="24"/>
          <w:szCs w:val="24"/>
          <w:color w:val="auto"/>
          <w:vertAlign w:val="superscript"/>
        </w:rPr>
      </w:pPr>
      <w:r>
        <w:rPr>
          <w:rFonts w:ascii="Arial" w:cs="Arial" w:eastAsia="Arial" w:hAnsi="Arial"/>
          <w:sz w:val="12"/>
          <w:szCs w:val="12"/>
          <w:color w:val="auto"/>
        </w:rPr>
        <w:t>Sales between geographic areas approximate market value and are not significant. Net sales are classified according to their country of origin. Included in United States Net sales are export sales of $5,441 million, $4,708 million, and $4,187 million for the years ended December 31, 2024, 2023, and 2022, respectively.</w:t>
      </w:r>
    </w:p>
    <w:p>
      <w:pPr>
        <w:spacing w:after="0" w:line="24" w:lineRule="exact"/>
        <w:rPr>
          <w:sz w:val="20"/>
          <w:szCs w:val="20"/>
          <w:color w:val="auto"/>
        </w:rPr>
      </w:pPr>
    </w:p>
    <w:p>
      <w:pPr>
        <w:ind w:left="480" w:hanging="344"/>
        <w:spacing w:after="0"/>
        <w:tabs>
          <w:tab w:leader="none" w:pos="480" w:val="left"/>
        </w:tabs>
        <w:numPr>
          <w:ilvl w:val="0"/>
          <w:numId w:val="186"/>
        </w:numPr>
        <w:rPr>
          <w:rFonts w:ascii="Arial" w:cs="Arial" w:eastAsia="Arial" w:hAnsi="Arial"/>
          <w:sz w:val="25"/>
          <w:szCs w:val="25"/>
          <w:color w:val="auto"/>
          <w:vertAlign w:val="superscript"/>
        </w:rPr>
      </w:pPr>
      <w:r>
        <w:rPr>
          <w:rFonts w:ascii="Arial" w:cs="Arial" w:eastAsia="Arial" w:hAnsi="Arial"/>
          <w:sz w:val="13"/>
          <w:szCs w:val="13"/>
          <w:color w:val="auto"/>
        </w:rPr>
        <w:t>Long-lived assets consists of Property, plant and equipment—net.</w:t>
      </w:r>
    </w:p>
    <w:p>
      <w:pPr>
        <w:spacing w:after="0" w:line="185" w:lineRule="exact"/>
        <w:rPr>
          <w:sz w:val="20"/>
          <w:szCs w:val="20"/>
          <w:color w:val="auto"/>
        </w:rPr>
      </w:pPr>
    </w:p>
    <w:p>
      <w:pPr>
        <w:ind w:left="480" w:right="20" w:hanging="344"/>
        <w:spacing w:after="0" w:line="182" w:lineRule="auto"/>
        <w:tabs>
          <w:tab w:leader="none" w:pos="480" w:val="left"/>
        </w:tabs>
        <w:numPr>
          <w:ilvl w:val="0"/>
          <w:numId w:val="187"/>
        </w:numPr>
        <w:rPr>
          <w:rFonts w:ascii="Arial" w:cs="Arial" w:eastAsia="Arial" w:hAnsi="Arial"/>
          <w:sz w:val="24"/>
          <w:szCs w:val="24"/>
          <w:color w:val="auto"/>
          <w:vertAlign w:val="superscript"/>
        </w:rPr>
      </w:pPr>
      <w:r>
        <w:rPr>
          <w:rFonts w:ascii="Arial" w:cs="Arial" w:eastAsia="Arial" w:hAnsi="Arial"/>
          <w:sz w:val="12"/>
          <w:szCs w:val="12"/>
          <w:color w:val="auto"/>
        </w:rPr>
        <w:t xml:space="preserve">As of December 31, 2024, total long-lived assets excludes $155 million that are included in Assets held for sale in the Consolidated Balance Sheet. Refer to Note 2 </w:t>
      </w:r>
      <w:r>
        <w:rPr>
          <w:rFonts w:ascii="Arial" w:cs="Arial" w:eastAsia="Arial" w:hAnsi="Arial"/>
          <w:sz w:val="12"/>
          <w:szCs w:val="12"/>
          <w:u w:val="single" w:color="auto"/>
          <w:color w:val="0000FF"/>
        </w:rPr>
        <w:t>Acquisitions, Divestitures,</w:t>
      </w:r>
      <w:r>
        <w:rPr>
          <w:rFonts w:ascii="Arial" w:cs="Arial" w:eastAsia="Arial" w:hAnsi="Arial"/>
          <w:sz w:val="12"/>
          <w:szCs w:val="12"/>
          <w:color w:val="auto"/>
        </w:rPr>
        <w:t xml:space="preserve"> </w:t>
      </w:r>
      <w:r>
        <w:rPr>
          <w:rFonts w:ascii="Arial" w:cs="Arial" w:eastAsia="Arial" w:hAnsi="Arial"/>
          <w:sz w:val="12"/>
          <w:szCs w:val="12"/>
          <w:u w:val="single" w:color="auto"/>
          <w:color w:val="0000FF"/>
        </w:rPr>
        <w:t>and Assets and Liabilities Held for Sale</w:t>
      </w:r>
      <w:r>
        <w:rPr>
          <w:rFonts w:ascii="Arial" w:cs="Arial" w:eastAsia="Arial" w:hAnsi="Arial"/>
          <w:sz w:val="12"/>
          <w:szCs w:val="12"/>
          <w:color w:val="000000"/>
        </w:rPr>
        <w:t>.</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9"/>
          <w:szCs w:val="29"/>
          <w:color w:val="D7282F"/>
        </w:rPr>
        <w:t>NOTE 24. SUPPLEMENTAL CASH FLOW INFORMATION</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480" w:type="dxa"/>
            <w:vAlign w:val="bottom"/>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2600" w:type="dxa"/>
            <w:vAlign w:val="bottom"/>
            <w:tcBorders>
              <w:bottom w:val="single" w:sz="8" w:color="D7282F"/>
            </w:tcBorders>
            <w:gridSpan w:val="5"/>
          </w:tcPr>
          <w:p>
            <w:pPr>
              <w:jc w:val="right"/>
              <w:ind w:right="388"/>
              <w:spacing w:after="0"/>
              <w:rPr>
                <w:sz w:val="20"/>
                <w:szCs w:val="20"/>
                <w:color w:val="auto"/>
              </w:rPr>
            </w:pPr>
            <w:r>
              <w:rPr>
                <w:rFonts w:ascii="Arial" w:cs="Arial" w:eastAsia="Arial" w:hAnsi="Arial"/>
                <w:sz w:val="14"/>
                <w:szCs w:val="14"/>
                <w:b w:val="1"/>
                <w:bCs w:val="1"/>
                <w:color w:val="auto"/>
              </w:rPr>
              <w:t>Years Ended December 31,</w:t>
            </w:r>
          </w:p>
        </w:tc>
      </w:tr>
      <w:tr>
        <w:trPr>
          <w:trHeight w:val="250"/>
        </w:trPr>
        <w:tc>
          <w:tcPr>
            <w:tcW w:w="8480" w:type="dxa"/>
            <w:vAlign w:val="bottom"/>
            <w:tcBorders>
              <w:bottom w:val="single" w:sz="8" w:color="D7282F"/>
            </w:tcBorders>
          </w:tcPr>
          <w:p>
            <w:pPr>
              <w:spacing w:after="0"/>
              <w:rPr>
                <w:sz w:val="21"/>
                <w:szCs w:val="21"/>
                <w:color w:val="auto"/>
              </w:rPr>
            </w:pPr>
          </w:p>
        </w:tc>
        <w:tc>
          <w:tcPr>
            <w:tcW w:w="160" w:type="dxa"/>
            <w:vAlign w:val="bottom"/>
            <w:tcBorders>
              <w:bottom w:val="single" w:sz="8" w:color="D7282F"/>
            </w:tcBorders>
          </w:tcPr>
          <w:p>
            <w:pPr>
              <w:spacing w:after="0"/>
              <w:rPr>
                <w:sz w:val="21"/>
                <w:szCs w:val="21"/>
                <w:color w:val="auto"/>
              </w:rPr>
            </w:pPr>
          </w:p>
        </w:tc>
        <w:tc>
          <w:tcPr>
            <w:tcW w:w="72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2024</w:t>
            </w:r>
          </w:p>
        </w:tc>
        <w:tc>
          <w:tcPr>
            <w:tcW w:w="280" w:type="dxa"/>
            <w:vAlign w:val="bottom"/>
            <w:tcBorders>
              <w:bottom w:val="single" w:sz="8" w:color="D7282F"/>
            </w:tcBorders>
          </w:tcPr>
          <w:p>
            <w:pPr>
              <w:spacing w:after="0"/>
              <w:rPr>
                <w:sz w:val="21"/>
                <w:szCs w:val="21"/>
                <w:color w:val="auto"/>
              </w:rPr>
            </w:pPr>
          </w:p>
        </w:tc>
        <w:tc>
          <w:tcPr>
            <w:tcW w:w="72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2023</w:t>
            </w:r>
          </w:p>
        </w:tc>
        <w:tc>
          <w:tcPr>
            <w:tcW w:w="280" w:type="dxa"/>
            <w:vAlign w:val="bottom"/>
            <w:tcBorders>
              <w:bottom w:val="single" w:sz="8" w:color="D7282F"/>
            </w:tcBorders>
          </w:tcPr>
          <w:p>
            <w:pPr>
              <w:spacing w:after="0"/>
              <w:rPr>
                <w:sz w:val="21"/>
                <w:szCs w:val="21"/>
                <w:color w:val="auto"/>
              </w:rPr>
            </w:pPr>
          </w:p>
        </w:tc>
        <w:tc>
          <w:tcPr>
            <w:tcW w:w="60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2022</w:t>
            </w:r>
          </w:p>
        </w:tc>
      </w:tr>
      <w:tr>
        <w:trPr>
          <w:trHeight w:val="196"/>
        </w:trPr>
        <w:tc>
          <w:tcPr>
            <w:tcW w:w="848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Net payments for repositioning and other charges</w:t>
            </w:r>
          </w:p>
        </w:tc>
        <w:tc>
          <w:tcPr>
            <w:tcW w:w="16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spacing w:after="0"/>
              <w:rPr>
                <w:sz w:val="17"/>
                <w:szCs w:val="17"/>
                <w:color w:val="auto"/>
              </w:rPr>
            </w:pPr>
          </w:p>
        </w:tc>
        <w:tc>
          <w:tcPr>
            <w:tcW w:w="28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spacing w:after="0"/>
              <w:rPr>
                <w:sz w:val="17"/>
                <w:szCs w:val="17"/>
                <w:color w:val="auto"/>
              </w:rPr>
            </w:pPr>
          </w:p>
        </w:tc>
        <w:tc>
          <w:tcPr>
            <w:tcW w:w="28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spacing w:after="0"/>
              <w:rPr>
                <w:sz w:val="17"/>
                <w:szCs w:val="17"/>
                <w:color w:val="auto"/>
              </w:rPr>
            </w:pPr>
          </w:p>
        </w:tc>
      </w:tr>
      <w:tr>
        <w:trPr>
          <w:trHeight w:val="193"/>
        </w:trPr>
        <w:tc>
          <w:tcPr>
            <w:tcW w:w="84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Severance and exit cost payments</w:t>
            </w:r>
          </w:p>
        </w:tc>
        <w:tc>
          <w:tcPr>
            <w:tcW w:w="1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(195)</w:t>
            </w:r>
          </w:p>
        </w:tc>
        <w:tc>
          <w:tcPr>
            <w:tcW w:w="2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(294)</w:t>
            </w:r>
          </w:p>
        </w:tc>
        <w:tc>
          <w:tcPr>
            <w:tcW w:w="2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(275)</w:t>
            </w:r>
          </w:p>
        </w:tc>
      </w:tr>
      <w:tr>
        <w:trPr>
          <w:trHeight w:val="196"/>
        </w:trPr>
        <w:tc>
          <w:tcPr>
            <w:tcW w:w="84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Environmental payments</w:t>
            </w:r>
          </w:p>
        </w:tc>
        <w:tc>
          <w:tcPr>
            <w:tcW w:w="16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(224)</w:t>
            </w:r>
          </w:p>
        </w:tc>
        <w:tc>
          <w:tcPr>
            <w:tcW w:w="28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(196)</w:t>
            </w:r>
          </w:p>
        </w:tc>
        <w:tc>
          <w:tcPr>
            <w:tcW w:w="28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(211)</w:t>
            </w:r>
          </w:p>
        </w:tc>
      </w:tr>
      <w:tr>
        <w:trPr>
          <w:trHeight w:val="196"/>
        </w:trPr>
        <w:tc>
          <w:tcPr>
            <w:tcW w:w="84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Reimbursement receipts</w:t>
            </w:r>
          </w:p>
        </w:tc>
        <w:tc>
          <w:tcPr>
            <w:tcW w:w="16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140</w:t>
            </w:r>
          </w:p>
        </w:tc>
        <w:tc>
          <w:tcPr>
            <w:tcW w:w="28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140</w:t>
            </w:r>
          </w:p>
        </w:tc>
        <w:tc>
          <w:tcPr>
            <w:tcW w:w="28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140</w:t>
            </w:r>
          </w:p>
        </w:tc>
      </w:tr>
      <w:tr>
        <w:trPr>
          <w:trHeight w:val="196"/>
        </w:trPr>
        <w:tc>
          <w:tcPr>
            <w:tcW w:w="84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Insurance receipts for asbestos-related liabilities</w:t>
            </w:r>
          </w:p>
        </w:tc>
        <w:tc>
          <w:tcPr>
            <w:tcW w:w="16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24</w:t>
            </w:r>
          </w:p>
        </w:tc>
        <w:tc>
          <w:tcPr>
            <w:tcW w:w="28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39</w:t>
            </w:r>
          </w:p>
        </w:tc>
        <w:tc>
          <w:tcPr>
            <w:tcW w:w="28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37</w:t>
            </w:r>
          </w:p>
        </w:tc>
      </w:tr>
      <w:tr>
        <w:trPr>
          <w:trHeight w:val="196"/>
        </w:trPr>
        <w:tc>
          <w:tcPr>
            <w:tcW w:w="84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Insurance receivables settlements, write-offs, and other</w:t>
            </w:r>
          </w:p>
        </w:tc>
        <w:tc>
          <w:tcPr>
            <w:tcW w:w="16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9</w:t>
            </w:r>
          </w:p>
        </w:tc>
        <w:tc>
          <w:tcPr>
            <w:tcW w:w="28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26</w:t>
            </w:r>
          </w:p>
        </w:tc>
        <w:tc>
          <w:tcPr>
            <w:tcW w:w="28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68</w:t>
            </w:r>
          </w:p>
        </w:tc>
      </w:tr>
      <w:tr>
        <w:trPr>
          <w:trHeight w:val="196"/>
        </w:trPr>
        <w:tc>
          <w:tcPr>
            <w:tcW w:w="848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Asbestos-related liability payments</w:t>
            </w:r>
          </w:p>
        </w:tc>
        <w:tc>
          <w:tcPr>
            <w:tcW w:w="1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(233)</w:t>
            </w:r>
          </w:p>
        </w:tc>
        <w:tc>
          <w:tcPr>
            <w:tcW w:w="28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(174)</w:t>
            </w:r>
          </w:p>
        </w:tc>
        <w:tc>
          <w:tcPr>
            <w:tcW w:w="28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(271)</w:t>
            </w:r>
          </w:p>
        </w:tc>
      </w:tr>
      <w:tr>
        <w:trPr>
          <w:trHeight w:val="199"/>
        </w:trPr>
        <w:tc>
          <w:tcPr>
            <w:tcW w:w="848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net payments for repositioning and other charges</w:t>
            </w: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(479)</w:t>
            </w:r>
          </w:p>
        </w:tc>
        <w:tc>
          <w:tcPr>
            <w:tcW w:w="2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(459)</w:t>
            </w:r>
          </w:p>
        </w:tc>
        <w:tc>
          <w:tcPr>
            <w:tcW w:w="2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(512)</w:t>
            </w:r>
          </w:p>
        </w:tc>
      </w:tr>
      <w:tr>
        <w:trPr>
          <w:trHeight w:val="193"/>
        </w:trPr>
        <w:tc>
          <w:tcPr>
            <w:tcW w:w="8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Interest paid, net of amounts capitalized</w:t>
            </w:r>
          </w:p>
        </w:tc>
        <w:tc>
          <w:tcPr>
            <w:tcW w:w="1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869</w:t>
            </w:r>
          </w:p>
        </w:tc>
        <w:tc>
          <w:tcPr>
            <w:tcW w:w="2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649</w:t>
            </w:r>
          </w:p>
        </w:tc>
        <w:tc>
          <w:tcPr>
            <w:tcW w:w="2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375</w:t>
            </w:r>
          </w:p>
        </w:tc>
      </w:tr>
      <w:tr>
        <w:trPr>
          <w:trHeight w:val="196"/>
        </w:trPr>
        <w:tc>
          <w:tcPr>
            <w:tcW w:w="8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Income taxes paid, net of refunds</w:t>
            </w:r>
          </w:p>
        </w:tc>
        <w:tc>
          <w:tcPr>
            <w:tcW w:w="16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1,689</w:t>
            </w:r>
          </w:p>
        </w:tc>
        <w:tc>
          <w:tcPr>
            <w:tcW w:w="28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1,581</w:t>
            </w:r>
          </w:p>
        </w:tc>
        <w:tc>
          <w:tcPr>
            <w:tcW w:w="28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1,324</w:t>
            </w:r>
          </w:p>
        </w:tc>
      </w:tr>
      <w:tr>
        <w:trPr>
          <w:trHeight w:val="196"/>
        </w:trPr>
        <w:tc>
          <w:tcPr>
            <w:tcW w:w="8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Non-cash investing and financing activities</w:t>
            </w:r>
          </w:p>
        </w:tc>
        <w:tc>
          <w:tcPr>
            <w:tcW w:w="16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spacing w:after="0"/>
              <w:rPr>
                <w:sz w:val="17"/>
                <w:szCs w:val="17"/>
                <w:color w:val="auto"/>
              </w:rPr>
            </w:pPr>
          </w:p>
        </w:tc>
        <w:tc>
          <w:tcPr>
            <w:tcW w:w="28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spacing w:after="0"/>
              <w:rPr>
                <w:sz w:val="17"/>
                <w:szCs w:val="17"/>
                <w:color w:val="auto"/>
              </w:rPr>
            </w:pPr>
          </w:p>
        </w:tc>
        <w:tc>
          <w:tcPr>
            <w:tcW w:w="28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spacing w:after="0"/>
              <w:rPr>
                <w:sz w:val="17"/>
                <w:szCs w:val="17"/>
                <w:color w:val="auto"/>
              </w:rPr>
            </w:pPr>
          </w:p>
        </w:tc>
      </w:tr>
      <w:tr>
        <w:trPr>
          <w:trHeight w:val="196"/>
        </w:trPr>
        <w:tc>
          <w:tcPr>
            <w:tcW w:w="848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Common stock contributed to savings plans</w:t>
            </w:r>
          </w:p>
        </w:tc>
        <w:tc>
          <w:tcPr>
            <w:tcW w:w="1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225</w:t>
            </w:r>
          </w:p>
        </w:tc>
        <w:tc>
          <w:tcPr>
            <w:tcW w:w="28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216</w:t>
            </w:r>
          </w:p>
        </w:tc>
        <w:tc>
          <w:tcPr>
            <w:tcW w:w="28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196</w:t>
            </w:r>
          </w:p>
        </w:tc>
      </w:tr>
    </w:tbl>
    <w:p>
      <w:pPr>
        <w:spacing w:after="0" w:line="200" w:lineRule="exact"/>
        <w:rPr>
          <w:sz w:val="20"/>
          <w:szCs w:val="20"/>
          <w:color w:val="auto"/>
        </w:rPr>
      </w:pPr>
    </w:p>
    <w:p>
      <w:pPr>
        <w:spacing w:after="0" w:line="294"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D7282F"/>
        </w:rPr>
        <w:t>113</w:t>
      </w:r>
      <w:r>
        <w:rPr>
          <w:sz w:val="20"/>
          <w:szCs w:val="20"/>
          <w:color w:val="auto"/>
        </w:rPr>
        <w:tab/>
      </w: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15" w:name="page116"/>
    <w:bookmarkEnd w:id="115"/>
    <w:p>
      <w:pPr>
        <w:ind w:left="20"/>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right="40"/>
        <w:spacing w:after="0" w:line="297" w:lineRule="auto"/>
        <w:rPr>
          <w:sz w:val="20"/>
          <w:szCs w:val="20"/>
          <w:color w:val="auto"/>
        </w:rPr>
      </w:pPr>
      <w:r>
        <w:rPr>
          <w:rFonts w:ascii="Arial" w:cs="Arial" w:eastAsia="Arial" w:hAnsi="Arial"/>
          <w:sz w:val="36"/>
          <w:szCs w:val="36"/>
          <w:b w:val="1"/>
          <w:bCs w:val="1"/>
          <w:color w:val="auto"/>
        </w:rPr>
        <w:t>REPORT OF INDEPENDENT REGISTERED PUBLIC ACCOUNTING FIRM</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To the shareowners and the Board of Directors of Honeywell International Inc.</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Opinions on the Financial Statements and Internal Control over Financial Reporting</w:t>
      </w:r>
    </w:p>
    <w:p>
      <w:pPr>
        <w:spacing w:after="0" w:line="2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 xml:space="preserve">We have audited the accompanying consolidated balance sheets of Honeywell International Inc. and subsidiaries (the "Company" or “Honeywell”) as of December 31, 2024 and 2023, and the related consolidated statements of operations, comprehensive income, shareowners’ equity, and cash flows, for each of the three years in the period ended December 31, 2024, and the related notes (collectively referred to as the "financial statements"). We also have audited the Company’s internal control over financial reporting as of December 31, 2024, based on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(2013) </w:t>
      </w:r>
      <w:r>
        <w:rPr>
          <w:rFonts w:ascii="Arial" w:cs="Arial" w:eastAsia="Arial" w:hAnsi="Arial"/>
          <w:sz w:val="16"/>
          <w:szCs w:val="16"/>
          <w:color w:val="auto"/>
        </w:rPr>
        <w:t>issued by the Committee of Sponsoring Organizations of the Treadway Commission (COSO).</w:t>
      </w:r>
    </w:p>
    <w:p>
      <w:pPr>
        <w:spacing w:after="0" w:line="6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As described in Management’s Report on Internal Control Over Financial Reporting, management excluded from its assessment the internal control over financial reporting at Air Products’ Liquefied Natural Gas Process Technology and Equipment Business, CAES Systems Holdings LLC, and Carrier Global Corporation’s Global Access Solutions Business, which were acquired on September 30, 2024, August 30, 2024, and June 3, 2024, respectively. The Air Products’ Liquefied Natural Gas Process Technology and Equipment Business, CAES Systems Holdings LLC, and Carrier Global Corporation’s Global Access Solutions Business acquisitions represent less than 4% of both net income and net assets, less than 3% of total revenues, and less than 2% of total assets of the consolidated financial statement amounts as of and for the year ended December 31, 2024. Accordingly, our audit did not include the internal control over financial reporting at Air Products’ Liquefied Natural Gas Process Technology and Equipment Business, CAES Systems Holdings LLC, and Carrier Global Corporation’s Global Access Solutions Business.</w:t>
      </w:r>
    </w:p>
    <w:p>
      <w:pPr>
        <w:spacing w:after="0" w:line="8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 xml:space="preserve">In our opinion, the financial statements referred to above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 (“generally accepted accounting principles”). Also, in our opinion, the Company maintained, in all material respects, effective internal control over financial reporting as of December 31, 2024, based on criteria established in </w:t>
      </w:r>
      <w:r>
        <w:rPr>
          <w:rFonts w:ascii="Arial" w:cs="Arial" w:eastAsia="Arial" w:hAnsi="Arial"/>
          <w:sz w:val="16"/>
          <w:szCs w:val="16"/>
          <w:i w:val="1"/>
          <w:iCs w:val="1"/>
          <w:color w:val="auto"/>
        </w:rPr>
        <w:t>Internal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Control — Integrated Framework (2013) </w:t>
      </w:r>
      <w:r>
        <w:rPr>
          <w:rFonts w:ascii="Arial" w:cs="Arial" w:eastAsia="Arial" w:hAnsi="Arial"/>
          <w:sz w:val="16"/>
          <w:szCs w:val="16"/>
          <w:color w:val="auto"/>
        </w:rPr>
        <w:t>issued by COSO.</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Opinions</w:t>
      </w:r>
    </w:p>
    <w:p>
      <w:pPr>
        <w:spacing w:after="0" w:line="35"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The Company’s management is responsible for these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these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and whether effective internal control over financial reporting was maintained in all material respects.</w:t>
      </w:r>
    </w:p>
    <w:p>
      <w:pPr>
        <w:spacing w:after="0" w:line="56"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Our audits of the financial statements included performing procedures to assess the risks of material misstatement of the financial statements, whether due to error or fraud, and performing procedures to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Definition and Limitations of Internal Control over Financial Reporting</w:t>
      </w:r>
    </w:p>
    <w:p>
      <w:pPr>
        <w:spacing w:after="0" w:line="35"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00" w:hanging="492"/>
        <w:spacing w:after="0"/>
        <w:tabs>
          <w:tab w:leader="none" w:pos="500" w:val="left"/>
        </w:tabs>
        <w:numPr>
          <w:ilvl w:val="0"/>
          <w:numId w:val="188"/>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16" w:name="page117"/>
    <w:bookmarkEnd w:id="116"/>
    <w:p>
      <w:pPr>
        <w:ind w:left="20"/>
        <w:spacing w:after="0"/>
        <w:tabs>
          <w:tab w:leader="none" w:pos="694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Audit Matter</w:t>
      </w:r>
    </w:p>
    <w:p>
      <w:pPr>
        <w:spacing w:after="0" w:line="35"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Revenue Recognition and Contracts with Customers – Long-Term Contracts – Refer to Note 1 and Note 3 to the financial statements</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D7282F"/>
        </w:rPr>
        <w:t>Critical Audit Matter Description</w:t>
      </w:r>
    </w:p>
    <w:p>
      <w:pPr>
        <w:spacing w:after="0" w:line="24"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The Company has several businesses which enter into long-term contracts whereby revenue is recognized over the contract term (“over time”) as the work progresses and control of the goods and services are continuously transferred to the customer. Revenue for these contracts is recognized based on the extent of progress towards completion, generally measured by using a cost-to-cost input method.</w:t>
      </w:r>
    </w:p>
    <w:p>
      <w:pPr>
        <w:spacing w:after="0" w:line="8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Accounting for long-term contracts requires management’s judgment in estimating total contract costs. Contract costs, which can be incurred over several years, are largely determined based on negotiated or estimated purchase contract terms and consider factors such as historical performance trends, inflationary trends, technical and schedule risk, internal and subcontractor performance trends, business volume assumptions, asset utilization and anticipated labor agreements.</w:t>
      </w:r>
    </w:p>
    <w:p>
      <w:pPr>
        <w:spacing w:after="0" w:line="65"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Given the significance of the judgments necessary to estimate costs associated with these long-term contracts (which varies upon the length of the contract), auditing long-term contracts requires a high degree of auditor judgment.</w:t>
      </w:r>
    </w:p>
    <w:p>
      <w:pPr>
        <w:spacing w:after="0" w:line="4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D7282F"/>
        </w:rPr>
        <w:t>How the Critical Audit Matter Was Addressed in the Audit</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Our audit procedures related to long-term contracts included the following, among others:</w:t>
      </w:r>
    </w:p>
    <w:p>
      <w:pPr>
        <w:spacing w:after="0" w:line="97" w:lineRule="exact"/>
        <w:rPr>
          <w:sz w:val="20"/>
          <w:szCs w:val="20"/>
          <w:color w:val="auto"/>
        </w:rPr>
      </w:pPr>
    </w:p>
    <w:p>
      <w:pPr>
        <w:jc w:val="both"/>
        <w:ind w:left="200" w:hanging="192"/>
        <w:spacing w:after="0" w:line="304" w:lineRule="auto"/>
        <w:tabs>
          <w:tab w:leader="none" w:pos="197" w:val="left"/>
        </w:tabs>
        <w:numPr>
          <w:ilvl w:val="0"/>
          <w:numId w:val="189"/>
        </w:numPr>
        <w:rPr>
          <w:rFonts w:ascii="Arial" w:cs="Arial" w:eastAsia="Arial" w:hAnsi="Arial"/>
          <w:sz w:val="16"/>
          <w:szCs w:val="16"/>
          <w:color w:val="D7282F"/>
        </w:rPr>
      </w:pPr>
      <w:r>
        <w:rPr>
          <w:rFonts w:ascii="Arial" w:cs="Arial" w:eastAsia="Arial" w:hAnsi="Arial"/>
          <w:sz w:val="16"/>
          <w:szCs w:val="16"/>
          <w:color w:val="auto"/>
        </w:rPr>
        <w:t>We tested the effectiveness of internal controls over the recognition of revenue and the determination of estimated contract costs including controls over the review of management’s assumptions and key inputs used to recognize revenue and costs on long-term contracts using the cost-to-cost input method.</w:t>
      </w:r>
    </w:p>
    <w:p>
      <w:pPr>
        <w:spacing w:after="0" w:line="6" w:lineRule="exact"/>
        <w:rPr>
          <w:rFonts w:ascii="Arial" w:cs="Arial" w:eastAsia="Arial" w:hAnsi="Arial"/>
          <w:sz w:val="16"/>
          <w:szCs w:val="16"/>
          <w:color w:val="D7282F"/>
        </w:rPr>
      </w:pPr>
    </w:p>
    <w:p>
      <w:pPr>
        <w:ind w:left="200" w:hanging="192"/>
        <w:spacing w:after="0" w:line="286" w:lineRule="auto"/>
        <w:tabs>
          <w:tab w:leader="none" w:pos="197" w:val="left"/>
        </w:tabs>
        <w:numPr>
          <w:ilvl w:val="0"/>
          <w:numId w:val="189"/>
        </w:numPr>
        <w:rPr>
          <w:rFonts w:ascii="Arial" w:cs="Arial" w:eastAsia="Arial" w:hAnsi="Arial"/>
          <w:sz w:val="16"/>
          <w:szCs w:val="16"/>
          <w:color w:val="D7282F"/>
        </w:rPr>
      </w:pPr>
      <w:r>
        <w:rPr>
          <w:rFonts w:ascii="Arial" w:cs="Arial" w:eastAsia="Arial" w:hAnsi="Arial"/>
          <w:sz w:val="16"/>
          <w:szCs w:val="16"/>
          <w:color w:val="auto"/>
        </w:rPr>
        <w:t>We evaluated the appropriateness and consistency of management’s methods and assumptions used to recognize revenue and costs on long-term contracts using the cost-to-cost input method to recognize revenue over time.</w:t>
      </w:r>
    </w:p>
    <w:p>
      <w:pPr>
        <w:spacing w:after="0" w:line="20" w:lineRule="exact"/>
        <w:rPr>
          <w:rFonts w:ascii="Arial" w:cs="Arial" w:eastAsia="Arial" w:hAnsi="Arial"/>
          <w:sz w:val="16"/>
          <w:szCs w:val="16"/>
          <w:color w:val="D7282F"/>
        </w:rPr>
      </w:pPr>
    </w:p>
    <w:p>
      <w:pPr>
        <w:ind w:left="200" w:hanging="192"/>
        <w:spacing w:after="0"/>
        <w:tabs>
          <w:tab w:leader="none" w:pos="200" w:val="left"/>
        </w:tabs>
        <w:numPr>
          <w:ilvl w:val="0"/>
          <w:numId w:val="189"/>
        </w:numPr>
        <w:rPr>
          <w:rFonts w:ascii="Arial" w:cs="Arial" w:eastAsia="Arial" w:hAnsi="Arial"/>
          <w:sz w:val="16"/>
          <w:szCs w:val="16"/>
          <w:color w:val="D7282F"/>
        </w:rPr>
      </w:pPr>
      <w:r>
        <w:rPr>
          <w:rFonts w:ascii="Arial" w:cs="Arial" w:eastAsia="Arial" w:hAnsi="Arial"/>
          <w:sz w:val="16"/>
          <w:szCs w:val="16"/>
          <w:color w:val="auto"/>
        </w:rPr>
        <w:t>We tested recorded revenue using a combination of analytical procedures and detailed contract testing.</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 DELOITTE &amp; TOUCHE LLP</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color w:val="auto"/>
        </w:rPr>
        <w:t>Charlotte, North Carolina</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February 14, 2025</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We have served as the Company's auditor since 2014.</w:t>
      </w:r>
    </w:p>
    <w:p>
      <w:pPr>
        <w:spacing w:after="0" w:line="200" w:lineRule="exact"/>
        <w:rPr>
          <w:sz w:val="20"/>
          <w:szCs w:val="20"/>
          <w:color w:val="auto"/>
        </w:rPr>
      </w:pPr>
    </w:p>
    <w:p>
      <w:pPr>
        <w:spacing w:after="0" w:line="252" w:lineRule="exact"/>
        <w:rPr>
          <w:sz w:val="20"/>
          <w:szCs w:val="20"/>
          <w:color w:val="auto"/>
        </w:rPr>
      </w:pPr>
    </w:p>
    <w:p>
      <w:pPr>
        <w:ind w:left="500" w:hanging="492"/>
        <w:spacing w:after="0"/>
        <w:tabs>
          <w:tab w:leader="none" w:pos="500" w:val="left"/>
        </w:tabs>
        <w:numPr>
          <w:ilvl w:val="0"/>
          <w:numId w:val="190"/>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17" w:name="page118"/>
    <w:bookmarkEnd w:id="117"/>
    <w:p>
      <w:pPr>
        <w:ind w:left="20"/>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340"/>
        <w:spacing w:after="0" w:line="297" w:lineRule="auto"/>
        <w:rPr>
          <w:sz w:val="20"/>
          <w:szCs w:val="20"/>
          <w:color w:val="auto"/>
        </w:rPr>
      </w:pPr>
      <w:r>
        <w:rPr>
          <w:rFonts w:ascii="Arial" w:cs="Arial" w:eastAsia="Arial" w:hAnsi="Arial"/>
          <w:sz w:val="36"/>
          <w:szCs w:val="36"/>
          <w:b w:val="1"/>
          <w:bCs w:val="1"/>
          <w:color w:val="auto"/>
        </w:rPr>
        <w:t>CHANGES IN AND DISAGREEMENTS WITH ACCOUNTANTS ON ACCOUNTING AND FINANCIAL DISCLOSURE</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359"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CONTROLS AND PROCEDURES</w:t>
      </w:r>
    </w:p>
    <w:p>
      <w:pPr>
        <w:spacing w:after="0" w:line="37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Honeywell management maintains disclosure controls and procedures designed to provide reasonable assurance that information required to be disclosed in reports filed under the Exchange Act is recorded, processed, summarized, and reported within the specified time periods and accumulated and communicated to our management, including our principal executive officer and principal financial officer, as appropriate, to allow timely decisions regarding required disclosure. There have been no changes that have materially affected, or are reasonably likely to materially affect, Honeywell’s internal control over financial reporting that have occurred during the quarter ended December 31, 2024.</w:t>
      </w:r>
    </w:p>
    <w:p>
      <w:pPr>
        <w:spacing w:after="0" w:line="6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Our management, with the participation of our CEO and CFO, evaluated the effectiveness of our disclosure controls and procedures (as defined in Rule 13a-15(e) promulgated under the Exchange Act) as of December 31, 2024. Based on these evaluations, our CEO and CFO concluded that our disclosure controls and procedures were effective as of December 31, 2024.</w:t>
      </w:r>
    </w:p>
    <w:p>
      <w:pPr>
        <w:spacing w:after="0" w:line="302" w:lineRule="exact"/>
        <w:rPr>
          <w:sz w:val="20"/>
          <w:szCs w:val="20"/>
          <w:color w:val="auto"/>
        </w:rPr>
      </w:pPr>
    </w:p>
    <w:p>
      <w:pPr>
        <w:ind w:right="1140"/>
        <w:spacing w:after="0" w:line="297" w:lineRule="auto"/>
        <w:rPr>
          <w:sz w:val="20"/>
          <w:szCs w:val="20"/>
          <w:color w:val="auto"/>
        </w:rPr>
      </w:pPr>
      <w:r>
        <w:rPr>
          <w:rFonts w:ascii="Arial" w:cs="Arial" w:eastAsia="Arial" w:hAnsi="Arial"/>
          <w:sz w:val="36"/>
          <w:szCs w:val="36"/>
          <w:b w:val="1"/>
          <w:bCs w:val="1"/>
          <w:color w:val="auto"/>
        </w:rPr>
        <w:t>MANAGEMENT'S REPORT ON INTERNAL CONTROL OVER FINANCIAL REPORTING</w:t>
      </w:r>
    </w:p>
    <w:p>
      <w:pPr>
        <w:spacing w:after="0" w:line="21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Honeywell management is responsible for establishing and maintaining adequate internal control over financial reporting and for its assessment of the effectiveness of internal control over financial reporting (as defined in Rule 13a-15(f) under the Exchange Act). Honeywell’s internal control over financial reporting is a process designed to provide reasonable assurance to our management and Board of Directors regarding the reliability of financial reporting and the preparation of financial statements for external purposes in accordance with generally accepted accounting principles.</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w:t>
      </w:r>
    </w:p>
    <w:p>
      <w:pPr>
        <w:spacing w:after="0" w:line="127"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 xml:space="preserve">Management assessed the effectiveness of Honeywell’s internal control over financial reporting as of December 31, 2024. In making this assessment, management used the criteria set forth by the Committee of Sponsoring Organizations of the Treadway Commission (COSO) in </w:t>
      </w:r>
      <w:r>
        <w:rPr>
          <w:rFonts w:ascii="Arial" w:cs="Arial" w:eastAsia="Arial" w:hAnsi="Arial"/>
          <w:sz w:val="16"/>
          <w:szCs w:val="16"/>
          <w:i w:val="1"/>
          <w:iCs w:val="1"/>
          <w:color w:val="auto"/>
        </w:rPr>
        <w:t>Internal Control—Integrated</w:t>
      </w:r>
    </w:p>
    <w:p>
      <w:pPr>
        <w:spacing w:after="0"/>
        <w:rPr>
          <w:sz w:val="20"/>
          <w:szCs w:val="20"/>
          <w:color w:val="auto"/>
        </w:rPr>
      </w:pPr>
      <w:r>
        <w:rPr>
          <w:rFonts w:ascii="Arial" w:cs="Arial" w:eastAsia="Arial" w:hAnsi="Arial"/>
          <w:sz w:val="16"/>
          <w:szCs w:val="16"/>
          <w:i w:val="1"/>
          <w:iCs w:val="1"/>
          <w:color w:val="auto"/>
        </w:rPr>
        <w:t>Framework (2013)</w:t>
      </w:r>
      <w:r>
        <w:rPr>
          <w:rFonts w:ascii="Arial" w:cs="Arial" w:eastAsia="Arial" w:hAnsi="Arial"/>
          <w:sz w:val="16"/>
          <w:szCs w:val="16"/>
          <w:color w:val="auto"/>
        </w:rPr>
        <w:t>.</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Based on this assessment, management determined that Honeywell maintained effective internal control over financial reporting as of December 31, 2024.</w:t>
      </w:r>
    </w:p>
    <w:p>
      <w:pPr>
        <w:spacing w:after="0" w:line="113"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In accordance with guidance issued by the Securities and Exchange Commission, companies are allowed to exclude acquisitions from their assessment of internal control over financial reporting during the first year in which the acquisition occurred. Management’s assessment of the effectiveness of the Company’s internal control over financial reporting as of December 31, 2024, excluded Air Products' liquefied natural gas process technology and equipment business, CAES Systems Holdings LLC, and Carrier Global Corporation's Global Access Solutions business (collectively, the "excluded acquisitions"), which were acquired by the Company on September 30, 2024, August 30, 2024, and June 3, 2024, respectively. The excluded acquisitions represent less than 4% of both net income and net assets, less than 3% of total revenues, and less than 2% of total assets of the consolidated financial amounts as of December 31, 2024.</w:t>
      </w:r>
    </w:p>
    <w:p>
      <w:pPr>
        <w:spacing w:after="0" w:line="26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The effectiveness of Honeywell’s internal control over financial reporting as of December 31, 2024, has been audited by Deloitte &amp; Touche LLP, an independent registered public accounting firm, as stated in their report which is included in the section titled </w:t>
      </w:r>
      <w:r>
        <w:rPr>
          <w:rFonts w:ascii="Arial" w:cs="Arial" w:eastAsia="Arial" w:hAnsi="Arial"/>
          <w:sz w:val="16"/>
          <w:szCs w:val="16"/>
          <w:u w:val="single" w:color="auto"/>
          <w:color w:val="0000FF"/>
        </w:rPr>
        <w:t>Financial Statements and Supplementary Data</w:t>
      </w:r>
      <w:r>
        <w:rPr>
          <w:rFonts w:ascii="Arial" w:cs="Arial" w:eastAsia="Arial" w:hAnsi="Arial"/>
          <w:sz w:val="16"/>
          <w:szCs w:val="16"/>
          <w:color w:val="auto"/>
        </w:rPr>
        <w:t>.</w:t>
      </w:r>
    </w:p>
    <w:p>
      <w:pPr>
        <w:spacing w:after="0" w:line="400" w:lineRule="exact"/>
        <w:rPr>
          <w:sz w:val="20"/>
          <w:szCs w:val="20"/>
          <w:color w:val="auto"/>
        </w:rPr>
      </w:pPr>
    </w:p>
    <w:p>
      <w:pPr>
        <w:ind w:left="500" w:hanging="492"/>
        <w:spacing w:after="0"/>
        <w:tabs>
          <w:tab w:leader="none" w:pos="500" w:val="left"/>
        </w:tabs>
        <w:numPr>
          <w:ilvl w:val="0"/>
          <w:numId w:val="191"/>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18" w:name="page119"/>
    <w:bookmarkEnd w:id="118"/>
    <w:p>
      <w:pPr>
        <w:ind w:left="20"/>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OTHER INFORMATION</w:t>
      </w:r>
    </w:p>
    <w:p>
      <w:pPr>
        <w:spacing w:after="0" w:line="361" w:lineRule="exact"/>
        <w:rPr>
          <w:sz w:val="20"/>
          <w:szCs w:val="20"/>
          <w:color w:val="auto"/>
        </w:rPr>
      </w:pPr>
    </w:p>
    <w:p>
      <w:pPr>
        <w:spacing w:after="0"/>
        <w:rPr>
          <w:sz w:val="20"/>
          <w:szCs w:val="20"/>
          <w:color w:val="auto"/>
        </w:rPr>
      </w:pPr>
      <w:r>
        <w:rPr>
          <w:rFonts w:ascii="Arial" w:cs="Arial" w:eastAsia="Arial" w:hAnsi="Arial"/>
          <w:sz w:val="29"/>
          <w:szCs w:val="29"/>
          <w:color w:val="D7282F"/>
        </w:rPr>
        <w:t>EQUITY TRADING ARRANGEMENTS ELECTIONS</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Certain executive officers and directors of the Company may execute purchases and sales of the Company's common stock through Rule 10b5-1 and non-Rule 10b5-1 equity trading arrangements.</w:t>
      </w:r>
    </w:p>
    <w:p>
      <w:pPr>
        <w:spacing w:after="0" w:line="6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During the three months ended December 31, 2024, none of our executive officers or directors adopted, terminated, or modified a Rule 10b5-1 trading arrangement, or adopted, terminated, or modified any "non-Rule 10b5-1 trading arrangement" (each as defined in Item 408 of Regulation S-K).</w:t>
      </w:r>
    </w:p>
    <w:p>
      <w:pPr>
        <w:spacing w:after="0" w:line="294" w:lineRule="exact"/>
        <w:rPr>
          <w:sz w:val="20"/>
          <w:szCs w:val="20"/>
          <w:color w:val="auto"/>
        </w:rPr>
      </w:pPr>
    </w:p>
    <w:p>
      <w:pPr>
        <w:ind w:right="920"/>
        <w:spacing w:after="0" w:line="297" w:lineRule="auto"/>
        <w:rPr>
          <w:sz w:val="20"/>
          <w:szCs w:val="20"/>
          <w:color w:val="auto"/>
        </w:rPr>
      </w:pPr>
      <w:r>
        <w:rPr>
          <w:rFonts w:ascii="Arial" w:cs="Arial" w:eastAsia="Arial" w:hAnsi="Arial"/>
          <w:sz w:val="36"/>
          <w:szCs w:val="36"/>
          <w:b w:val="1"/>
          <w:bCs w:val="1"/>
          <w:color w:val="auto"/>
        </w:rPr>
        <w:t>DISCLOSURE REGARDING FOREIGN JURISDICTIONS THAT PREVENT INSPECTIONS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359" w:lineRule="exact"/>
        <w:rPr>
          <w:sz w:val="20"/>
          <w:szCs w:val="20"/>
          <w:color w:val="auto"/>
        </w:rPr>
      </w:pPr>
    </w:p>
    <w:p>
      <w:pPr>
        <w:ind w:right="1600"/>
        <w:spacing w:after="0" w:line="297" w:lineRule="auto"/>
        <w:rPr>
          <w:sz w:val="20"/>
          <w:szCs w:val="20"/>
          <w:color w:val="auto"/>
        </w:rPr>
      </w:pPr>
      <w:r>
        <w:rPr>
          <w:rFonts w:ascii="Arial" w:cs="Arial" w:eastAsia="Arial" w:hAnsi="Arial"/>
          <w:sz w:val="36"/>
          <w:szCs w:val="36"/>
          <w:b w:val="1"/>
          <w:bCs w:val="1"/>
          <w:color w:val="auto"/>
        </w:rPr>
        <w:t>DIRECTORS, EXECUTIVE OFFICERS, AND CORPORATE GOVERNANCE</w:t>
      </w:r>
    </w:p>
    <w:p>
      <w:pPr>
        <w:spacing w:after="0" w:line="201"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 xml:space="preserve">Information relating to the Directors of Honeywell, as well as information relating to Honeywell's insider trading policies and practices and compliance with Section 16(a) of the Securities Exchange Act of 1934, will be contained in the Proxy Statement, which will be filed with the SEC pursuant to Regulation 14A not later than 120 days after December 31, 2024, and such information is incorporated herein by reference. Certain information relating to the Executive Officers of Honeywell appears in this Form 10-K in the section titled </w:t>
      </w:r>
      <w:r>
        <w:rPr>
          <w:rFonts w:ascii="Arial" w:cs="Arial" w:eastAsia="Arial" w:hAnsi="Arial"/>
          <w:sz w:val="16"/>
          <w:szCs w:val="16"/>
          <w:u w:val="single" w:color="auto"/>
          <w:color w:val="0000FF"/>
        </w:rPr>
        <w:t>Information about Our Executive Officers</w:t>
      </w:r>
      <w:r>
        <w:rPr>
          <w:rFonts w:ascii="Arial" w:cs="Arial" w:eastAsia="Arial" w:hAnsi="Arial"/>
          <w:sz w:val="16"/>
          <w:szCs w:val="16"/>
          <w:color w:val="auto"/>
        </w:rPr>
        <w:t>.</w:t>
      </w:r>
    </w:p>
    <w:p>
      <w:pPr>
        <w:spacing w:after="0" w:line="60"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color w:val="auto"/>
        </w:rPr>
        <w:t>The members of the Audit Committee of our Board of Directors are: Michael W. Lamach (Chair), William S. Ayer, Kevin Burke, D. Scott Davis, Robin L. Washington, and Robin Watson. The Board has determined that Mr. Davis and Ms. Washington are Audit Committee financial experts as defined by applicable SEC rules and that each member of the Audit Committee satisfies the financial sophistication criteria established by the Nasdaq. All members of the Audit Committee are independent as that term is defined in applicable SEC rules and Nasdaq listing standards.</w:t>
      </w:r>
    </w:p>
    <w:p>
      <w:pPr>
        <w:spacing w:after="0" w:line="7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Honeywell’s corporate governance policies and procedures, including the Code of Business Conduct, Corporate Governance Guidelines, Insider Trading Policy, and Charters of the Committees of the Board are available, free of charge, on our Investor Relations website (investor.honeywell.com) under the heading Governance (see Governance Overview), or by writing to Honeywell, 855 South Mint Street, Charlotte, North Carolina 28202, c/o Vice President and Corporate Secretary. Honeywell’s Code of Business Conduct applies to all Honeywell directors, officers (including the Chief Executive Officer, Chief Financial Officer, and Controller), and employees. Amendments to or waivers of the Code of Business Conduct granted to any of Honeywell’s directors or executive officers will be published on our website within four business days of such amendment or waiver.</w:t>
      </w:r>
    </w:p>
    <w:p>
      <w:pPr>
        <w:spacing w:after="0" w:line="315"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EXECUTIVE COMPENSATION</w:t>
      </w:r>
    </w:p>
    <w:p>
      <w:pPr>
        <w:spacing w:after="0" w:line="379"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Information relating to executive compensation, including the Management Development and Compensation Committee Report and disclosures regarding compensation committee interlocks and insider participation will be contained in the Proxy Statement, and such information is incorporated herein by reference.</w:t>
      </w:r>
    </w:p>
    <w:p>
      <w:pPr>
        <w:spacing w:after="0" w:line="395" w:lineRule="exact"/>
        <w:rPr>
          <w:sz w:val="20"/>
          <w:szCs w:val="20"/>
          <w:color w:val="auto"/>
        </w:rPr>
      </w:pPr>
    </w:p>
    <w:p>
      <w:pPr>
        <w:ind w:left="500" w:hanging="492"/>
        <w:spacing w:after="0"/>
        <w:tabs>
          <w:tab w:leader="none" w:pos="500" w:val="left"/>
        </w:tabs>
        <w:numPr>
          <w:ilvl w:val="0"/>
          <w:numId w:val="192"/>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19" w:name="page120"/>
    <w:bookmarkEnd w:id="119"/>
    <w:p>
      <w:pPr>
        <w:ind w:left="20"/>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400"/>
        <w:spacing w:after="0" w:line="313" w:lineRule="auto"/>
        <w:rPr>
          <w:sz w:val="20"/>
          <w:szCs w:val="20"/>
          <w:color w:val="auto"/>
        </w:rPr>
      </w:pPr>
      <w:r>
        <w:rPr>
          <w:rFonts w:ascii="Arial" w:cs="Arial" w:eastAsia="Arial" w:hAnsi="Arial"/>
          <w:sz w:val="35"/>
          <w:szCs w:val="35"/>
          <w:b w:val="1"/>
          <w:bCs w:val="1"/>
          <w:color w:val="auto"/>
        </w:rPr>
        <w:t>SECURITY OWNERSHIP OF CERTAIN BENEFICIAL OWNERS AND MANAGEMENT AND RELATED STOCKHOLDER MATTERS</w:t>
      </w:r>
    </w:p>
    <w:p>
      <w:pPr>
        <w:spacing w:after="0" w:line="18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Information relating to security ownership of certain beneficial owners and management and related stockholder matters will be contained in the Proxy Statement, and such information is incorporated herein by reference.</w:t>
      </w:r>
    </w:p>
    <w:p>
      <w:pPr>
        <w:spacing w:after="0" w:line="219" w:lineRule="exact"/>
        <w:rPr>
          <w:sz w:val="20"/>
          <w:szCs w:val="20"/>
          <w:color w:val="auto"/>
        </w:rPr>
      </w:pPr>
    </w:p>
    <w:p>
      <w:pPr>
        <w:spacing w:after="0"/>
        <w:rPr>
          <w:sz w:val="20"/>
          <w:szCs w:val="20"/>
          <w:color w:val="auto"/>
        </w:rPr>
      </w:pPr>
      <w:r>
        <w:rPr>
          <w:rFonts w:ascii="Arial" w:cs="Arial" w:eastAsia="Arial" w:hAnsi="Arial"/>
          <w:sz w:val="29"/>
          <w:szCs w:val="29"/>
          <w:color w:val="D7282F"/>
        </w:rPr>
        <w:t>EQUITY COMPENSATION PLANS</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2024, information about our equity compensation plans was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1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100" w:type="dxa"/>
            <w:vAlign w:val="bottom"/>
          </w:tcPr>
          <w:p>
            <w:pPr>
              <w:jc w:val="center"/>
              <w:spacing w:after="0"/>
              <w:rPr>
                <w:sz w:val="20"/>
                <w:szCs w:val="20"/>
                <w:color w:val="auto"/>
              </w:rPr>
            </w:pPr>
            <w:r>
              <w:rPr>
                <w:rFonts w:ascii="Arial" w:cs="Arial" w:eastAsia="Arial" w:hAnsi="Arial"/>
                <w:sz w:val="14"/>
                <w:szCs w:val="14"/>
                <w:b w:val="1"/>
                <w:bCs w:val="1"/>
                <w:color w:val="auto"/>
              </w:rPr>
              <w:t>Number of Securities</w:t>
            </w:r>
          </w:p>
        </w:tc>
      </w:tr>
      <w:tr>
        <w:trPr>
          <w:trHeight w:val="162"/>
        </w:trPr>
        <w:tc>
          <w:tcPr>
            <w:tcW w:w="51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100" w:type="dxa"/>
            <w:vAlign w:val="bottom"/>
          </w:tcPr>
          <w:p>
            <w:pPr>
              <w:jc w:val="center"/>
              <w:spacing w:after="0"/>
              <w:rPr>
                <w:sz w:val="20"/>
                <w:szCs w:val="20"/>
                <w:color w:val="auto"/>
              </w:rPr>
            </w:pPr>
            <w:r>
              <w:rPr>
                <w:rFonts w:ascii="Arial" w:cs="Arial" w:eastAsia="Arial" w:hAnsi="Arial"/>
                <w:sz w:val="14"/>
                <w:szCs w:val="14"/>
                <w:b w:val="1"/>
                <w:bCs w:val="1"/>
                <w:color w:val="auto"/>
              </w:rPr>
              <w:t>Remaining Available for</w:t>
            </w:r>
          </w:p>
        </w:tc>
      </w:tr>
      <w:tr>
        <w:trPr>
          <w:trHeight w:val="176"/>
        </w:trPr>
        <w:tc>
          <w:tcPr>
            <w:tcW w:w="5160" w:type="dxa"/>
            <w:vAlign w:val="bottom"/>
          </w:tcPr>
          <w:p>
            <w:pPr>
              <w:spacing w:after="0"/>
              <w:rPr>
                <w:sz w:val="15"/>
                <w:szCs w:val="15"/>
                <w:color w:val="auto"/>
              </w:rPr>
            </w:pPr>
          </w:p>
        </w:tc>
        <w:tc>
          <w:tcPr>
            <w:tcW w:w="1680" w:type="dxa"/>
            <w:vAlign w:val="bottom"/>
            <w:gridSpan w:val="2"/>
          </w:tcPr>
          <w:p>
            <w:pPr>
              <w:jc w:val="center"/>
              <w:ind w:left="128"/>
              <w:spacing w:after="0"/>
              <w:rPr>
                <w:sz w:val="20"/>
                <w:szCs w:val="20"/>
                <w:color w:val="auto"/>
              </w:rPr>
            </w:pPr>
            <w:r>
              <w:rPr>
                <w:rFonts w:ascii="Arial" w:cs="Arial" w:eastAsia="Arial" w:hAnsi="Arial"/>
                <w:sz w:val="14"/>
                <w:szCs w:val="14"/>
                <w:b w:val="1"/>
                <w:bCs w:val="1"/>
                <w:color w:val="auto"/>
              </w:rPr>
              <w:t>Number of Securities</w:t>
            </w:r>
          </w:p>
        </w:tc>
        <w:tc>
          <w:tcPr>
            <w:tcW w:w="2300" w:type="dxa"/>
            <w:vAlign w:val="bottom"/>
            <w:gridSpan w:val="2"/>
          </w:tcPr>
          <w:p>
            <w:pPr>
              <w:jc w:val="center"/>
              <w:spacing w:after="0"/>
              <w:rPr>
                <w:sz w:val="20"/>
                <w:szCs w:val="20"/>
                <w:color w:val="auto"/>
              </w:rPr>
            </w:pPr>
            <w:r>
              <w:rPr>
                <w:rFonts w:ascii="Arial" w:cs="Arial" w:eastAsia="Arial" w:hAnsi="Arial"/>
                <w:sz w:val="14"/>
                <w:szCs w:val="14"/>
                <w:b w:val="1"/>
                <w:bCs w:val="1"/>
                <w:color w:val="auto"/>
              </w:rPr>
              <w:t>Weighted Average</w:t>
            </w:r>
          </w:p>
        </w:tc>
        <w:tc>
          <w:tcPr>
            <w:tcW w:w="2100" w:type="dxa"/>
            <w:vAlign w:val="bottom"/>
          </w:tcPr>
          <w:p>
            <w:pPr>
              <w:jc w:val="center"/>
              <w:spacing w:after="0"/>
              <w:rPr>
                <w:sz w:val="20"/>
                <w:szCs w:val="20"/>
                <w:color w:val="auto"/>
              </w:rPr>
            </w:pPr>
            <w:r>
              <w:rPr>
                <w:rFonts w:ascii="Arial" w:cs="Arial" w:eastAsia="Arial" w:hAnsi="Arial"/>
                <w:sz w:val="14"/>
                <w:szCs w:val="14"/>
                <w:b w:val="1"/>
                <w:bCs w:val="1"/>
                <w:color w:val="auto"/>
              </w:rPr>
              <w:t>Future Issuance Under</w:t>
            </w:r>
          </w:p>
        </w:tc>
      </w:tr>
      <w:tr>
        <w:trPr>
          <w:trHeight w:val="175"/>
        </w:trPr>
        <w:tc>
          <w:tcPr>
            <w:tcW w:w="5160" w:type="dxa"/>
            <w:vAlign w:val="bottom"/>
          </w:tcPr>
          <w:p>
            <w:pPr>
              <w:spacing w:after="0"/>
              <w:rPr>
                <w:sz w:val="15"/>
                <w:szCs w:val="15"/>
                <w:color w:val="auto"/>
              </w:rPr>
            </w:pPr>
          </w:p>
        </w:tc>
        <w:tc>
          <w:tcPr>
            <w:tcW w:w="1580" w:type="dxa"/>
            <w:vAlign w:val="bottom"/>
          </w:tcPr>
          <w:p>
            <w:pPr>
              <w:jc w:val="center"/>
              <w:ind w:left="228"/>
              <w:spacing w:after="0"/>
              <w:rPr>
                <w:sz w:val="20"/>
                <w:szCs w:val="20"/>
                <w:color w:val="auto"/>
              </w:rPr>
            </w:pPr>
            <w:r>
              <w:rPr>
                <w:rFonts w:ascii="Arial" w:cs="Arial" w:eastAsia="Arial" w:hAnsi="Arial"/>
                <w:sz w:val="14"/>
                <w:szCs w:val="14"/>
                <w:b w:val="1"/>
                <w:bCs w:val="1"/>
                <w:color w:val="auto"/>
              </w:rPr>
              <w:t>to be Issued</w:t>
            </w:r>
          </w:p>
        </w:tc>
        <w:tc>
          <w:tcPr>
            <w:tcW w:w="100" w:type="dxa"/>
            <w:vAlign w:val="bottom"/>
          </w:tcPr>
          <w:p>
            <w:pPr>
              <w:spacing w:after="0"/>
              <w:rPr>
                <w:sz w:val="15"/>
                <w:szCs w:val="15"/>
                <w:color w:val="auto"/>
              </w:rPr>
            </w:pPr>
          </w:p>
        </w:tc>
        <w:tc>
          <w:tcPr>
            <w:tcW w:w="2300" w:type="dxa"/>
            <w:vAlign w:val="bottom"/>
            <w:gridSpan w:val="2"/>
          </w:tcPr>
          <w:p>
            <w:pPr>
              <w:jc w:val="center"/>
              <w:spacing w:after="0"/>
              <w:rPr>
                <w:sz w:val="20"/>
                <w:szCs w:val="20"/>
                <w:color w:val="auto"/>
              </w:rPr>
            </w:pPr>
            <w:r>
              <w:rPr>
                <w:rFonts w:ascii="Arial" w:cs="Arial" w:eastAsia="Arial" w:hAnsi="Arial"/>
                <w:sz w:val="14"/>
                <w:szCs w:val="14"/>
                <w:b w:val="1"/>
                <w:bCs w:val="1"/>
                <w:color w:val="auto"/>
              </w:rPr>
              <w:t>Exercise Price of</w:t>
            </w:r>
          </w:p>
        </w:tc>
        <w:tc>
          <w:tcPr>
            <w:tcW w:w="2100" w:type="dxa"/>
            <w:vAlign w:val="bottom"/>
          </w:tcPr>
          <w:p>
            <w:pPr>
              <w:jc w:val="center"/>
              <w:spacing w:after="0"/>
              <w:rPr>
                <w:sz w:val="20"/>
                <w:szCs w:val="20"/>
                <w:color w:val="auto"/>
              </w:rPr>
            </w:pPr>
            <w:r>
              <w:rPr>
                <w:rFonts w:ascii="Arial" w:cs="Arial" w:eastAsia="Arial" w:hAnsi="Arial"/>
                <w:sz w:val="14"/>
                <w:szCs w:val="14"/>
                <w:b w:val="1"/>
                <w:bCs w:val="1"/>
                <w:color w:val="auto"/>
              </w:rPr>
              <w:t>Equity Compensation</w:t>
            </w:r>
          </w:p>
        </w:tc>
      </w:tr>
      <w:tr>
        <w:trPr>
          <w:trHeight w:val="176"/>
        </w:trPr>
        <w:tc>
          <w:tcPr>
            <w:tcW w:w="5160" w:type="dxa"/>
            <w:vAlign w:val="bottom"/>
          </w:tcPr>
          <w:p>
            <w:pPr>
              <w:spacing w:after="0"/>
              <w:rPr>
                <w:sz w:val="15"/>
                <w:szCs w:val="15"/>
                <w:color w:val="auto"/>
              </w:rPr>
            </w:pPr>
          </w:p>
        </w:tc>
        <w:tc>
          <w:tcPr>
            <w:tcW w:w="1580" w:type="dxa"/>
            <w:vAlign w:val="bottom"/>
          </w:tcPr>
          <w:p>
            <w:pPr>
              <w:jc w:val="center"/>
              <w:ind w:left="208"/>
              <w:spacing w:after="0"/>
              <w:rPr>
                <w:sz w:val="20"/>
                <w:szCs w:val="20"/>
                <w:color w:val="auto"/>
              </w:rPr>
            </w:pPr>
            <w:r>
              <w:rPr>
                <w:rFonts w:ascii="Arial" w:cs="Arial" w:eastAsia="Arial" w:hAnsi="Arial"/>
                <w:sz w:val="14"/>
                <w:szCs w:val="14"/>
                <w:b w:val="1"/>
                <w:bCs w:val="1"/>
                <w:color w:val="auto"/>
              </w:rPr>
              <w:t>Upon Exercise of</w:t>
            </w:r>
          </w:p>
        </w:tc>
        <w:tc>
          <w:tcPr>
            <w:tcW w:w="100" w:type="dxa"/>
            <w:vAlign w:val="bottom"/>
          </w:tcPr>
          <w:p>
            <w:pPr>
              <w:spacing w:after="0"/>
              <w:rPr>
                <w:sz w:val="15"/>
                <w:szCs w:val="15"/>
                <w:color w:val="auto"/>
              </w:rPr>
            </w:pPr>
          </w:p>
        </w:tc>
        <w:tc>
          <w:tcPr>
            <w:tcW w:w="2300" w:type="dxa"/>
            <w:vAlign w:val="bottom"/>
            <w:gridSpan w:val="2"/>
          </w:tcPr>
          <w:p>
            <w:pPr>
              <w:jc w:val="center"/>
              <w:spacing w:after="0"/>
              <w:rPr>
                <w:sz w:val="20"/>
                <w:szCs w:val="20"/>
                <w:color w:val="auto"/>
              </w:rPr>
            </w:pPr>
            <w:r>
              <w:rPr>
                <w:rFonts w:ascii="Arial" w:cs="Arial" w:eastAsia="Arial" w:hAnsi="Arial"/>
                <w:sz w:val="14"/>
                <w:szCs w:val="14"/>
                <w:b w:val="1"/>
                <w:bCs w:val="1"/>
                <w:color w:val="auto"/>
              </w:rPr>
              <w:t>Outstanding</w:t>
            </w:r>
          </w:p>
        </w:tc>
        <w:tc>
          <w:tcPr>
            <w:tcW w:w="2100" w:type="dxa"/>
            <w:vAlign w:val="bottom"/>
          </w:tcPr>
          <w:p>
            <w:pPr>
              <w:jc w:val="center"/>
              <w:spacing w:after="0"/>
              <w:rPr>
                <w:sz w:val="20"/>
                <w:szCs w:val="20"/>
                <w:color w:val="auto"/>
              </w:rPr>
            </w:pPr>
            <w:r>
              <w:rPr>
                <w:rFonts w:ascii="Arial" w:cs="Arial" w:eastAsia="Arial" w:hAnsi="Arial"/>
                <w:sz w:val="14"/>
                <w:szCs w:val="14"/>
                <w:b w:val="1"/>
                <w:bCs w:val="1"/>
                <w:color w:val="auto"/>
              </w:rPr>
              <w:t>Plans (Excluding</w:t>
            </w:r>
          </w:p>
        </w:tc>
      </w:tr>
      <w:tr>
        <w:trPr>
          <w:trHeight w:val="175"/>
        </w:trPr>
        <w:tc>
          <w:tcPr>
            <w:tcW w:w="5160" w:type="dxa"/>
            <w:vAlign w:val="bottom"/>
          </w:tcPr>
          <w:p>
            <w:pPr>
              <w:spacing w:after="0"/>
              <w:rPr>
                <w:sz w:val="15"/>
                <w:szCs w:val="15"/>
                <w:color w:val="auto"/>
              </w:rPr>
            </w:pPr>
          </w:p>
        </w:tc>
        <w:tc>
          <w:tcPr>
            <w:tcW w:w="1680" w:type="dxa"/>
            <w:vAlign w:val="bottom"/>
            <w:gridSpan w:val="2"/>
          </w:tcPr>
          <w:p>
            <w:pPr>
              <w:jc w:val="center"/>
              <w:ind w:left="128"/>
              <w:spacing w:after="0"/>
              <w:rPr>
                <w:sz w:val="20"/>
                <w:szCs w:val="20"/>
                <w:color w:val="auto"/>
              </w:rPr>
            </w:pPr>
            <w:r>
              <w:rPr>
                <w:rFonts w:ascii="Arial" w:cs="Arial" w:eastAsia="Arial" w:hAnsi="Arial"/>
                <w:sz w:val="14"/>
                <w:szCs w:val="14"/>
                <w:b w:val="1"/>
                <w:bCs w:val="1"/>
                <w:color w:val="auto"/>
              </w:rPr>
              <w:t>Outstanding Options,</w:t>
            </w:r>
          </w:p>
        </w:tc>
        <w:tc>
          <w:tcPr>
            <w:tcW w:w="2300" w:type="dxa"/>
            <w:vAlign w:val="bottom"/>
            <w:gridSpan w:val="2"/>
          </w:tcPr>
          <w:p>
            <w:pPr>
              <w:jc w:val="center"/>
              <w:spacing w:after="0"/>
              <w:rPr>
                <w:sz w:val="20"/>
                <w:szCs w:val="20"/>
                <w:color w:val="auto"/>
              </w:rPr>
            </w:pPr>
            <w:r>
              <w:rPr>
                <w:rFonts w:ascii="Arial" w:cs="Arial" w:eastAsia="Arial" w:hAnsi="Arial"/>
                <w:sz w:val="14"/>
                <w:szCs w:val="14"/>
                <w:b w:val="1"/>
                <w:bCs w:val="1"/>
                <w:color w:val="auto"/>
              </w:rPr>
              <w:t>Options, Warrants,</w:t>
            </w:r>
          </w:p>
        </w:tc>
        <w:tc>
          <w:tcPr>
            <w:tcW w:w="2100" w:type="dxa"/>
            <w:vAlign w:val="bottom"/>
          </w:tcPr>
          <w:p>
            <w:pPr>
              <w:jc w:val="center"/>
              <w:spacing w:after="0"/>
              <w:rPr>
                <w:sz w:val="20"/>
                <w:szCs w:val="20"/>
                <w:color w:val="auto"/>
              </w:rPr>
            </w:pPr>
            <w:r>
              <w:rPr>
                <w:rFonts w:ascii="Arial" w:cs="Arial" w:eastAsia="Arial" w:hAnsi="Arial"/>
                <w:sz w:val="14"/>
                <w:szCs w:val="14"/>
                <w:b w:val="1"/>
                <w:bCs w:val="1"/>
                <w:color w:val="auto"/>
              </w:rPr>
              <w:t>Securities Reflected in</w:t>
            </w:r>
          </w:p>
        </w:tc>
      </w:tr>
      <w:tr>
        <w:trPr>
          <w:trHeight w:val="205"/>
        </w:trPr>
        <w:tc>
          <w:tcPr>
            <w:tcW w:w="5160" w:type="dxa"/>
            <w:vAlign w:val="bottom"/>
          </w:tcPr>
          <w:p>
            <w:pPr>
              <w:spacing w:after="0"/>
              <w:rPr>
                <w:sz w:val="17"/>
                <w:szCs w:val="17"/>
                <w:color w:val="auto"/>
              </w:rPr>
            </w:pPr>
          </w:p>
        </w:tc>
        <w:tc>
          <w:tcPr>
            <w:tcW w:w="1680" w:type="dxa"/>
            <w:vAlign w:val="bottom"/>
            <w:tcBorders>
              <w:bottom w:val="single" w:sz="8" w:color="D7282F"/>
            </w:tcBorders>
            <w:gridSpan w:val="2"/>
          </w:tcPr>
          <w:p>
            <w:pPr>
              <w:jc w:val="center"/>
              <w:ind w:left="128"/>
              <w:spacing w:after="0"/>
              <w:rPr>
                <w:sz w:val="20"/>
                <w:szCs w:val="20"/>
                <w:color w:val="auto"/>
              </w:rPr>
            </w:pPr>
            <w:r>
              <w:rPr>
                <w:rFonts w:ascii="Arial" w:cs="Arial" w:eastAsia="Arial" w:hAnsi="Arial"/>
                <w:sz w:val="14"/>
                <w:szCs w:val="14"/>
                <w:b w:val="1"/>
                <w:bCs w:val="1"/>
                <w:color w:val="auto"/>
              </w:rPr>
              <w:t>Warrants, and Rights</w:t>
            </w:r>
          </w:p>
        </w:tc>
        <w:tc>
          <w:tcPr>
            <w:tcW w:w="2300" w:type="dxa"/>
            <w:vAlign w:val="bottom"/>
            <w:tcBorders>
              <w:bottom w:val="single" w:sz="8" w:color="D7282F"/>
            </w:tcBorders>
            <w:gridSpan w:val="2"/>
          </w:tcPr>
          <w:p>
            <w:pPr>
              <w:jc w:val="center"/>
              <w:spacing w:after="0"/>
              <w:rPr>
                <w:sz w:val="20"/>
                <w:szCs w:val="20"/>
                <w:color w:val="auto"/>
              </w:rPr>
            </w:pPr>
            <w:r>
              <w:rPr>
                <w:rFonts w:ascii="Arial" w:cs="Arial" w:eastAsia="Arial" w:hAnsi="Arial"/>
                <w:sz w:val="14"/>
                <w:szCs w:val="14"/>
                <w:b w:val="1"/>
                <w:bCs w:val="1"/>
                <w:color w:val="auto"/>
              </w:rPr>
              <w:t>and Rights</w:t>
            </w:r>
          </w:p>
        </w:tc>
        <w:tc>
          <w:tcPr>
            <w:tcW w:w="2100" w:type="dxa"/>
            <w:vAlign w:val="bottom"/>
            <w:tcBorders>
              <w:bottom w:val="single" w:sz="8" w:color="D7282F"/>
            </w:tcBorders>
          </w:tcPr>
          <w:p>
            <w:pPr>
              <w:jc w:val="center"/>
              <w:spacing w:after="0"/>
              <w:rPr>
                <w:sz w:val="20"/>
                <w:szCs w:val="20"/>
                <w:color w:val="auto"/>
              </w:rPr>
            </w:pPr>
            <w:r>
              <w:rPr>
                <w:rFonts w:ascii="Arial" w:cs="Arial" w:eastAsia="Arial" w:hAnsi="Arial"/>
                <w:sz w:val="14"/>
                <w:szCs w:val="14"/>
                <w:b w:val="1"/>
                <w:bCs w:val="1"/>
                <w:color w:val="auto"/>
              </w:rPr>
              <w:t>Column (a))</w:t>
            </w:r>
          </w:p>
        </w:tc>
      </w:tr>
      <w:tr>
        <w:trPr>
          <w:trHeight w:val="237"/>
        </w:trPr>
        <w:tc>
          <w:tcPr>
            <w:tcW w:w="516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Plan category</w:t>
            </w:r>
          </w:p>
        </w:tc>
        <w:tc>
          <w:tcPr>
            <w:tcW w:w="1580" w:type="dxa"/>
            <w:vAlign w:val="bottom"/>
            <w:tcBorders>
              <w:bottom w:val="single" w:sz="8" w:color="D7282F"/>
            </w:tcBorders>
          </w:tcPr>
          <w:p>
            <w:pPr>
              <w:spacing w:after="0"/>
              <w:rPr>
                <w:sz w:val="20"/>
                <w:szCs w:val="20"/>
                <w:color w:val="auto"/>
              </w:rPr>
            </w:pPr>
          </w:p>
        </w:tc>
        <w:tc>
          <w:tcPr>
            <w:tcW w:w="100" w:type="dxa"/>
            <w:vAlign w:val="bottom"/>
            <w:tcBorders>
              <w:bottom w:val="single" w:sz="8" w:color="D7282F"/>
            </w:tcBorders>
          </w:tcPr>
          <w:p>
            <w:pPr>
              <w:spacing w:after="0"/>
              <w:rPr>
                <w:sz w:val="20"/>
                <w:szCs w:val="20"/>
                <w:color w:val="auto"/>
              </w:rPr>
            </w:pPr>
          </w:p>
        </w:tc>
        <w:tc>
          <w:tcPr>
            <w:tcW w:w="1200" w:type="dxa"/>
            <w:vAlign w:val="bottom"/>
            <w:tcBorders>
              <w:bottom w:val="single" w:sz="8" w:color="D7282F"/>
            </w:tcBorders>
          </w:tcPr>
          <w:p>
            <w:pPr>
              <w:jc w:val="right"/>
              <w:ind w:right="948"/>
              <w:spacing w:after="0"/>
              <w:rPr>
                <w:sz w:val="20"/>
                <w:szCs w:val="20"/>
                <w:color w:val="auto"/>
              </w:rPr>
            </w:pPr>
            <w:r>
              <w:rPr>
                <w:rFonts w:ascii="Arial" w:cs="Arial" w:eastAsia="Arial" w:hAnsi="Arial"/>
                <w:sz w:val="14"/>
                <w:szCs w:val="14"/>
                <w:b w:val="1"/>
                <w:bCs w:val="1"/>
                <w:color w:val="auto"/>
                <w:w w:val="93"/>
              </w:rPr>
              <w:t>(a)</w:t>
            </w:r>
          </w:p>
        </w:tc>
        <w:tc>
          <w:tcPr>
            <w:tcW w:w="1100" w:type="dxa"/>
            <w:vAlign w:val="bottom"/>
            <w:tcBorders>
              <w:bottom w:val="single" w:sz="8" w:color="D7282F"/>
            </w:tcBorders>
          </w:tcPr>
          <w:p>
            <w:pPr>
              <w:ind w:left="680"/>
              <w:spacing w:after="0"/>
              <w:rPr>
                <w:sz w:val="20"/>
                <w:szCs w:val="20"/>
                <w:color w:val="auto"/>
              </w:rPr>
            </w:pPr>
            <w:r>
              <w:rPr>
                <w:rFonts w:ascii="Arial" w:cs="Arial" w:eastAsia="Arial" w:hAnsi="Arial"/>
                <w:sz w:val="14"/>
                <w:szCs w:val="14"/>
                <w:b w:val="1"/>
                <w:bCs w:val="1"/>
                <w:color w:val="auto"/>
              </w:rPr>
              <w:t>(b)</w:t>
            </w:r>
          </w:p>
        </w:tc>
        <w:tc>
          <w:tcPr>
            <w:tcW w:w="2100" w:type="dxa"/>
            <w:vAlign w:val="bottom"/>
            <w:tcBorders>
              <w:bottom w:val="single" w:sz="8" w:color="D7282F"/>
            </w:tcBorders>
          </w:tcPr>
          <w:p>
            <w:pPr>
              <w:ind w:left="1900"/>
              <w:spacing w:after="0"/>
              <w:rPr>
                <w:sz w:val="20"/>
                <w:szCs w:val="20"/>
                <w:color w:val="auto"/>
              </w:rPr>
            </w:pPr>
            <w:r>
              <w:rPr>
                <w:rFonts w:ascii="Arial" w:cs="Arial" w:eastAsia="Arial" w:hAnsi="Arial"/>
                <w:sz w:val="14"/>
                <w:szCs w:val="14"/>
                <w:b w:val="1"/>
                <w:bCs w:val="1"/>
                <w:color w:val="auto"/>
              </w:rPr>
              <w:t>(c)</w:t>
            </w:r>
          </w:p>
        </w:tc>
      </w:tr>
      <w:tr>
        <w:trPr>
          <w:trHeight w:val="203"/>
        </w:trPr>
        <w:tc>
          <w:tcPr>
            <w:tcW w:w="516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Equity compensation plans approved by security holders</w:t>
            </w:r>
          </w:p>
        </w:tc>
        <w:tc>
          <w:tcPr>
            <w:tcW w:w="15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12,767,488</w:t>
            </w:r>
          </w:p>
        </w:tc>
        <w:tc>
          <w:tcPr>
            <w:tcW w:w="100" w:type="dxa"/>
            <w:vAlign w:val="bottom"/>
            <w:tcBorders>
              <w:bottom w:val="single" w:sz="8" w:color="61656A"/>
            </w:tcBorders>
          </w:tcPr>
          <w:p>
            <w:pPr>
              <w:jc w:val="right"/>
              <w:spacing w:after="0"/>
              <w:rPr>
                <w:sz w:val="20"/>
                <w:szCs w:val="20"/>
                <w:color w:val="auto"/>
              </w:rPr>
            </w:pPr>
            <w:r>
              <w:rPr>
                <w:rFonts w:ascii="Arial" w:cs="Arial" w:eastAsia="Arial" w:hAnsi="Arial"/>
                <w:sz w:val="9"/>
                <w:szCs w:val="9"/>
                <w:color w:val="auto"/>
              </w:rPr>
              <w:t>1</w:t>
            </w:r>
          </w:p>
        </w:tc>
        <w:tc>
          <w:tcPr>
            <w:tcW w:w="12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61656A"/>
            </w:tcBorders>
          </w:tcPr>
          <w:p>
            <w:pPr>
              <w:ind w:left="80"/>
              <w:spacing w:after="0" w:line="202" w:lineRule="exact"/>
              <w:rPr>
                <w:sz w:val="20"/>
                <w:szCs w:val="20"/>
                <w:color w:val="auto"/>
              </w:rPr>
            </w:pPr>
            <w:r>
              <w:rPr>
                <w:rFonts w:ascii="Arial" w:cs="Arial" w:eastAsia="Arial" w:hAnsi="Arial"/>
                <w:sz w:val="14"/>
                <w:szCs w:val="14"/>
                <w:color w:val="auto"/>
              </w:rPr>
              <w:t xml:space="preserve">170.29 </w:t>
            </w:r>
            <w:r>
              <w:rPr>
                <w:rFonts w:ascii="Arial" w:cs="Arial" w:eastAsia="Arial" w:hAnsi="Arial"/>
                <w:sz w:val="18"/>
                <w:szCs w:val="18"/>
                <w:color w:val="auto"/>
                <w:vertAlign w:val="superscript"/>
              </w:rPr>
              <w:t>2</w:t>
            </w:r>
          </w:p>
        </w:tc>
        <w:tc>
          <w:tcPr>
            <w:tcW w:w="2100" w:type="dxa"/>
            <w:vAlign w:val="bottom"/>
            <w:tcBorders>
              <w:bottom w:val="single" w:sz="8" w:color="61656A"/>
            </w:tcBorders>
          </w:tcPr>
          <w:p>
            <w:pPr>
              <w:ind w:left="1020"/>
              <w:spacing w:after="0" w:line="202" w:lineRule="exact"/>
              <w:rPr>
                <w:sz w:val="20"/>
                <w:szCs w:val="20"/>
                <w:color w:val="auto"/>
              </w:rPr>
            </w:pPr>
            <w:r>
              <w:rPr>
                <w:rFonts w:ascii="Arial" w:cs="Arial" w:eastAsia="Arial" w:hAnsi="Arial"/>
                <w:sz w:val="14"/>
                <w:szCs w:val="14"/>
                <w:color w:val="auto"/>
              </w:rPr>
              <w:t xml:space="preserve">29,345,020 </w:t>
            </w:r>
            <w:r>
              <w:rPr>
                <w:rFonts w:ascii="Arial" w:cs="Arial" w:eastAsia="Arial" w:hAnsi="Arial"/>
                <w:sz w:val="18"/>
                <w:szCs w:val="18"/>
                <w:color w:val="auto"/>
                <w:vertAlign w:val="superscript"/>
              </w:rPr>
              <w:t>3</w:t>
            </w:r>
          </w:p>
        </w:tc>
      </w:tr>
      <w:tr>
        <w:trPr>
          <w:trHeight w:val="196"/>
        </w:trPr>
        <w:tc>
          <w:tcPr>
            <w:tcW w:w="516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Equity compensation plans not approved by security holders</w:t>
            </w:r>
          </w:p>
        </w:tc>
        <w:tc>
          <w:tcPr>
            <w:tcW w:w="15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159,450</w:t>
            </w:r>
          </w:p>
        </w:tc>
        <w:tc>
          <w:tcPr>
            <w:tcW w:w="100" w:type="dxa"/>
            <w:vAlign w:val="bottom"/>
            <w:tcBorders>
              <w:bottom w:val="single" w:sz="8" w:color="D7282F"/>
            </w:tcBorders>
          </w:tcPr>
          <w:p>
            <w:pPr>
              <w:jc w:val="right"/>
              <w:spacing w:after="0"/>
              <w:rPr>
                <w:sz w:val="20"/>
                <w:szCs w:val="20"/>
                <w:color w:val="auto"/>
              </w:rPr>
            </w:pPr>
            <w:r>
              <w:rPr>
                <w:rFonts w:ascii="Arial" w:cs="Arial" w:eastAsia="Arial" w:hAnsi="Arial"/>
                <w:sz w:val="9"/>
                <w:szCs w:val="9"/>
                <w:color w:val="auto"/>
              </w:rPr>
              <w:t>4</w:t>
            </w:r>
          </w:p>
        </w:tc>
        <w:tc>
          <w:tcPr>
            <w:tcW w:w="1200" w:type="dxa"/>
            <w:vAlign w:val="bottom"/>
            <w:tcBorders>
              <w:bottom w:val="single" w:sz="8" w:color="D7282F"/>
            </w:tcBorders>
          </w:tcPr>
          <w:p>
            <w:pPr>
              <w:spacing w:after="0"/>
              <w:rPr>
                <w:sz w:val="17"/>
                <w:szCs w:val="17"/>
                <w:color w:val="auto"/>
              </w:rPr>
            </w:pPr>
          </w:p>
        </w:tc>
        <w:tc>
          <w:tcPr>
            <w:tcW w:w="1100" w:type="dxa"/>
            <w:vAlign w:val="bottom"/>
            <w:tcBorders>
              <w:bottom w:val="single" w:sz="8" w:color="D7282F"/>
            </w:tcBorders>
          </w:tcPr>
          <w:p>
            <w:pPr>
              <w:ind w:left="340"/>
              <w:spacing w:after="0" w:line="196" w:lineRule="exact"/>
              <w:rPr>
                <w:sz w:val="20"/>
                <w:szCs w:val="20"/>
                <w:color w:val="auto"/>
              </w:rPr>
            </w:pPr>
            <w:r>
              <w:rPr>
                <w:rFonts w:ascii="Arial" w:cs="Arial" w:eastAsia="Arial" w:hAnsi="Arial"/>
                <w:sz w:val="14"/>
                <w:szCs w:val="14"/>
                <w:color w:val="auto"/>
              </w:rPr>
              <w:t xml:space="preserve">N/A </w:t>
            </w:r>
            <w:r>
              <w:rPr>
                <w:rFonts w:ascii="Arial" w:cs="Arial" w:eastAsia="Arial" w:hAnsi="Arial"/>
                <w:sz w:val="18"/>
                <w:szCs w:val="18"/>
                <w:color w:val="auto"/>
                <w:vertAlign w:val="superscript"/>
              </w:rPr>
              <w:t>5</w:t>
            </w:r>
          </w:p>
        </w:tc>
        <w:tc>
          <w:tcPr>
            <w:tcW w:w="2100" w:type="dxa"/>
            <w:vAlign w:val="bottom"/>
            <w:tcBorders>
              <w:bottom w:val="single" w:sz="8" w:color="D7282F"/>
            </w:tcBorders>
          </w:tcPr>
          <w:p>
            <w:pPr>
              <w:ind w:left="1560"/>
              <w:spacing w:after="0" w:line="196" w:lineRule="exact"/>
              <w:rPr>
                <w:sz w:val="20"/>
                <w:szCs w:val="20"/>
                <w:color w:val="auto"/>
              </w:rPr>
            </w:pPr>
            <w:r>
              <w:rPr>
                <w:rFonts w:ascii="Arial" w:cs="Arial" w:eastAsia="Arial" w:hAnsi="Arial"/>
                <w:sz w:val="14"/>
                <w:szCs w:val="14"/>
                <w:color w:val="auto"/>
              </w:rPr>
              <w:t xml:space="preserve">N/A </w:t>
            </w:r>
            <w:r>
              <w:rPr>
                <w:rFonts w:ascii="Arial" w:cs="Arial" w:eastAsia="Arial" w:hAnsi="Arial"/>
                <w:sz w:val="18"/>
                <w:szCs w:val="18"/>
                <w:color w:val="auto"/>
                <w:vertAlign w:val="superscript"/>
              </w:rPr>
              <w:t>6</w:t>
            </w:r>
          </w:p>
        </w:tc>
      </w:tr>
      <w:tr>
        <w:trPr>
          <w:trHeight w:val="195"/>
        </w:trPr>
        <w:tc>
          <w:tcPr>
            <w:tcW w:w="516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w:t>
            </w:r>
          </w:p>
        </w:tc>
        <w:tc>
          <w:tcPr>
            <w:tcW w:w="15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12,926,938</w:t>
            </w:r>
          </w:p>
        </w:tc>
        <w:tc>
          <w:tcPr>
            <w:tcW w:w="100" w:type="dxa"/>
            <w:vAlign w:val="bottom"/>
            <w:tcBorders>
              <w:bottom w:val="single" w:sz="8" w:color="D7282F"/>
            </w:tcBorders>
          </w:tcPr>
          <w:p>
            <w:pPr>
              <w:spacing w:after="0"/>
              <w:rPr>
                <w:sz w:val="16"/>
                <w:szCs w:val="16"/>
                <w:color w:val="auto"/>
              </w:rPr>
            </w:pPr>
          </w:p>
        </w:tc>
        <w:tc>
          <w:tcPr>
            <w:tcW w:w="12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D7282F"/>
            </w:tcBorders>
          </w:tcPr>
          <w:p>
            <w:pPr>
              <w:ind w:left="80"/>
              <w:spacing w:after="0"/>
              <w:rPr>
                <w:sz w:val="20"/>
                <w:szCs w:val="20"/>
                <w:color w:val="auto"/>
              </w:rPr>
            </w:pPr>
            <w:r>
              <w:rPr>
                <w:rFonts w:ascii="Arial" w:cs="Arial" w:eastAsia="Arial" w:hAnsi="Arial"/>
                <w:sz w:val="14"/>
                <w:szCs w:val="14"/>
                <w:b w:val="1"/>
                <w:bCs w:val="1"/>
                <w:color w:val="auto"/>
              </w:rPr>
              <w:t>170.29</w:t>
            </w:r>
          </w:p>
        </w:tc>
        <w:tc>
          <w:tcPr>
            <w:tcW w:w="2100" w:type="dxa"/>
            <w:vAlign w:val="bottom"/>
            <w:tcBorders>
              <w:bottom w:val="single" w:sz="8" w:color="D7282F"/>
            </w:tcBorders>
          </w:tcPr>
          <w:p>
            <w:pPr>
              <w:ind w:left="1020"/>
              <w:spacing w:after="0"/>
              <w:rPr>
                <w:sz w:val="20"/>
                <w:szCs w:val="20"/>
                <w:color w:val="auto"/>
              </w:rPr>
            </w:pPr>
            <w:r>
              <w:rPr>
                <w:rFonts w:ascii="Arial" w:cs="Arial" w:eastAsia="Arial" w:hAnsi="Arial"/>
                <w:sz w:val="14"/>
                <w:szCs w:val="14"/>
                <w:b w:val="1"/>
                <w:bCs w:val="1"/>
                <w:color w:val="auto"/>
              </w:rPr>
              <w:t>29,345,020</w:t>
            </w:r>
          </w:p>
        </w:tc>
      </w:tr>
    </w:tbl>
    <w:p>
      <w:pPr>
        <w:spacing w:after="0" w:line="61" w:lineRule="exact"/>
        <w:rPr>
          <w:sz w:val="20"/>
          <w:szCs w:val="20"/>
          <w:color w:val="auto"/>
        </w:rPr>
      </w:pPr>
    </w:p>
    <w:p>
      <w:pPr>
        <w:ind w:left="20"/>
        <w:spacing w:after="0"/>
        <w:rPr>
          <w:sz w:val="20"/>
          <w:szCs w:val="20"/>
          <w:color w:val="auto"/>
        </w:rPr>
      </w:pPr>
      <w:r>
        <w:rPr>
          <w:rFonts w:ascii="Arial" w:cs="Arial" w:eastAsia="Arial" w:hAnsi="Arial"/>
          <w:sz w:val="13"/>
          <w:szCs w:val="13"/>
          <w:color w:val="auto"/>
        </w:rPr>
        <w:t>1</w:t>
      </w:r>
    </w:p>
    <w:p>
      <w:pPr>
        <w:jc w:val="both"/>
        <w:ind w:left="480" w:right="20"/>
        <w:spacing w:after="0" w:line="244" w:lineRule="auto"/>
        <w:rPr>
          <w:sz w:val="20"/>
          <w:szCs w:val="20"/>
          <w:color w:val="auto"/>
        </w:rPr>
      </w:pPr>
      <w:r>
        <w:rPr>
          <w:rFonts w:ascii="Arial" w:cs="Arial" w:eastAsia="Arial" w:hAnsi="Arial"/>
          <w:sz w:val="13"/>
          <w:szCs w:val="13"/>
          <w:color w:val="auto"/>
        </w:rPr>
        <w:t>Equity compensation plans approved by shareowners which are included in column (a) of the table are the 2016 Stock Incentive Plan and the 2011 Stock Incentive Plan (including 10,221,113 shares of Common Stock to be issued for options; 2,005,555 RSUs subject to continued employment; 211,499 RSUs at target level and subject to company performance metrics and continued employment; and 189,639 deferred RSUs); and the 2016 Stock Plan for Non-Employee Directors and the 2006 Stock Plan for Non-Employee Directors (including 129,854 shares of Common Stock to be issued for options; and 6,370 RSUs subject to continued services, and 3,458 deferred RSUs). RSUs included in column (a) of the table represent the full number of RSUs awarded and outstanding whereas the number of shares of Common Stock to be issued upon vesting will be lower than what is reflected on the table because the value of shares required to meet employee tax withholding requirements are not issued.</w:t>
      </w:r>
    </w:p>
    <w:p>
      <w:pPr>
        <w:spacing w:after="0" w:line="48" w:lineRule="exact"/>
        <w:rPr>
          <w:sz w:val="20"/>
          <w:szCs w:val="20"/>
          <w:color w:val="auto"/>
        </w:rPr>
      </w:pPr>
    </w:p>
    <w:p>
      <w:pPr>
        <w:jc w:val="both"/>
        <w:ind w:left="480" w:right="20"/>
        <w:spacing w:after="0" w:line="264" w:lineRule="auto"/>
        <w:rPr>
          <w:sz w:val="20"/>
          <w:szCs w:val="20"/>
          <w:color w:val="auto"/>
        </w:rPr>
      </w:pPr>
      <w:r>
        <w:rPr>
          <w:rFonts w:ascii="Arial" w:cs="Arial" w:eastAsia="Arial" w:hAnsi="Arial"/>
          <w:sz w:val="13"/>
          <w:szCs w:val="13"/>
          <w:color w:val="auto"/>
        </w:rPr>
        <w:t>Because the number of future shares that may be distributed to employees participating in the Honeywell Global Stock Plan is unknown, no shares attributable to that plan are included in column (a) of the table above.</w:t>
      </w:r>
    </w:p>
    <w:p>
      <w:pPr>
        <w:spacing w:after="0" w:line="130" w:lineRule="exact"/>
        <w:rPr>
          <w:sz w:val="20"/>
          <w:szCs w:val="20"/>
          <w:color w:val="auto"/>
        </w:rPr>
      </w:pPr>
    </w:p>
    <w:p>
      <w:pPr>
        <w:ind w:left="480" w:right="20" w:hanging="454"/>
        <w:spacing w:after="0" w:line="182" w:lineRule="auto"/>
        <w:tabs>
          <w:tab w:leader="none" w:pos="480" w:val="left"/>
        </w:tabs>
        <w:numPr>
          <w:ilvl w:val="0"/>
          <w:numId w:val="193"/>
        </w:numPr>
        <w:rPr>
          <w:rFonts w:ascii="Arial" w:cs="Arial" w:eastAsia="Arial" w:hAnsi="Arial"/>
          <w:sz w:val="24"/>
          <w:szCs w:val="24"/>
          <w:color w:val="auto"/>
          <w:vertAlign w:val="superscript"/>
        </w:rPr>
      </w:pPr>
      <w:r>
        <w:rPr>
          <w:rFonts w:ascii="Arial" w:cs="Arial" w:eastAsia="Arial" w:hAnsi="Arial"/>
          <w:sz w:val="12"/>
          <w:szCs w:val="12"/>
          <w:color w:val="auto"/>
        </w:rPr>
        <w:t>Column (b) relates to stock options and does not include any exercise price for RSUs because an RSU’s value is dependent upon attainment of certain performance goals and/or continued employment or service and they are settled for shares of Common Stock on a one-for-one basis.</w:t>
      </w:r>
    </w:p>
    <w:p>
      <w:pPr>
        <w:sectPr>
          <w:pgSz w:w="11900" w:h="16838" w:orient="portrait"/>
          <w:cols w:equalWidth="0" w:num="1">
            <w:col w:w="11240"/>
          </w:cols>
          <w:pgMar w:left="320" w:top="162" w:right="339" w:bottom="1440" w:gutter="0" w:footer="0" w:header="0"/>
        </w:sectPr>
      </w:pPr>
    </w:p>
    <w:p>
      <w:pPr>
        <w:spacing w:after="0" w:line="91" w:lineRule="exact"/>
        <w:rPr>
          <w:sz w:val="20"/>
          <w:szCs w:val="20"/>
          <w:color w:val="auto"/>
        </w:rPr>
      </w:pPr>
    </w:p>
    <w:p>
      <w:pPr>
        <w:ind w:left="20"/>
        <w:spacing w:after="0"/>
        <w:rPr>
          <w:sz w:val="20"/>
          <w:szCs w:val="20"/>
          <w:color w:val="auto"/>
        </w:rPr>
      </w:pPr>
      <w:r>
        <w:rPr>
          <w:rFonts w:ascii="Arial" w:cs="Arial" w:eastAsia="Arial" w:hAnsi="Arial"/>
          <w:sz w:val="13"/>
          <w:szCs w:val="13"/>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jc w:val="both"/>
        <w:ind w:right="20"/>
        <w:spacing w:after="0" w:line="247" w:lineRule="auto"/>
        <w:rPr>
          <w:sz w:val="20"/>
          <w:szCs w:val="20"/>
          <w:color w:val="auto"/>
        </w:rPr>
      </w:pPr>
      <w:r>
        <w:rPr>
          <w:rFonts w:ascii="Arial" w:cs="Arial" w:eastAsia="Arial" w:hAnsi="Arial"/>
          <w:sz w:val="13"/>
          <w:szCs w:val="13"/>
          <w:color w:val="auto"/>
        </w:rPr>
        <w:t>The number of shares that may be issued under the 2016 Stock Incentive Plan as of December 31, 2024, is 27,143,929, which includes the following additional shares that may again be available for issuance: shares that are settled for cash, expire, are canceled, or under similar prior plans, are tendered as option exercise price or tax withholding obligations, are reacquired with cash option exercise price or with monies attributable to any tax deduction to Honeywell upon the exercise of an option, or are under any outstanding awards assumed under any equity compensation plan of an entity acquired by Honeywell. No securities are available for future issuance under the 2011 Stock Incentive Plan.</w:t>
      </w:r>
    </w:p>
    <w:p>
      <w:pPr>
        <w:spacing w:after="0" w:line="60" w:lineRule="exact"/>
        <w:rPr>
          <w:sz w:val="20"/>
          <w:szCs w:val="20"/>
          <w:color w:val="auto"/>
        </w:rPr>
      </w:pPr>
    </w:p>
    <w:p>
      <w:pPr>
        <w:jc w:val="both"/>
        <w:ind w:right="20"/>
        <w:spacing w:after="0" w:line="264" w:lineRule="auto"/>
        <w:rPr>
          <w:sz w:val="20"/>
          <w:szCs w:val="20"/>
          <w:color w:val="auto"/>
        </w:rPr>
      </w:pPr>
      <w:r>
        <w:rPr>
          <w:rFonts w:ascii="Arial" w:cs="Arial" w:eastAsia="Arial" w:hAnsi="Arial"/>
          <w:sz w:val="13"/>
          <w:szCs w:val="13"/>
          <w:color w:val="auto"/>
        </w:rPr>
        <w:t>The number of shares that may be issued under the Honeywell Global Stock Plan as of December 31, 2024, is 1,425,693. This plan is an umbrella plan for three plans described below maintained solely for eligible employees of participating non-U.S. countries.</w:t>
      </w:r>
    </w:p>
    <w:p>
      <w:pPr>
        <w:spacing w:after="0" w:line="49" w:lineRule="exact"/>
        <w:rPr>
          <w:sz w:val="20"/>
          <w:szCs w:val="20"/>
          <w:color w:val="auto"/>
        </w:rPr>
      </w:pPr>
    </w:p>
    <w:p>
      <w:pPr>
        <w:ind w:left="380" w:right="20" w:hanging="194"/>
        <w:spacing w:after="0" w:line="264" w:lineRule="auto"/>
        <w:tabs>
          <w:tab w:leader="none" w:pos="378" w:val="left"/>
        </w:tabs>
        <w:numPr>
          <w:ilvl w:val="0"/>
          <w:numId w:val="194"/>
        </w:numPr>
        <w:rPr>
          <w:rFonts w:ascii="Arial" w:cs="Arial" w:eastAsia="Arial" w:hAnsi="Arial"/>
          <w:sz w:val="13"/>
          <w:szCs w:val="13"/>
          <w:b w:val="1"/>
          <w:bCs w:val="1"/>
          <w:color w:val="D7282F"/>
        </w:rPr>
      </w:pPr>
      <w:r>
        <w:rPr>
          <w:rFonts w:ascii="Arial" w:cs="Arial" w:eastAsia="Arial" w:hAnsi="Arial"/>
          <w:sz w:val="13"/>
          <w:szCs w:val="13"/>
          <w:color w:val="auto"/>
        </w:rPr>
        <w:t>The UK Sharebuilder Plan allows an eligible UK employee to invest taxable earnings in Common Stock. The Company matches those shares and dividends paid are used to purchase additional shares of Common Stock. For the year ended December 31, 2024, 24,228 shares were credited to participants’ accounts under the UK Sharebuilder Plan.</w:t>
      </w:r>
    </w:p>
    <w:p>
      <w:pPr>
        <w:spacing w:after="0" w:line="35" w:lineRule="exact"/>
        <w:rPr>
          <w:rFonts w:ascii="Arial" w:cs="Arial" w:eastAsia="Arial" w:hAnsi="Arial"/>
          <w:sz w:val="13"/>
          <w:szCs w:val="13"/>
          <w:b w:val="1"/>
          <w:bCs w:val="1"/>
          <w:color w:val="D7282F"/>
        </w:rPr>
      </w:pPr>
    </w:p>
    <w:p>
      <w:pPr>
        <w:ind w:left="380" w:right="20" w:hanging="194"/>
        <w:spacing w:after="0" w:line="264" w:lineRule="auto"/>
        <w:tabs>
          <w:tab w:leader="none" w:pos="378" w:val="left"/>
        </w:tabs>
        <w:numPr>
          <w:ilvl w:val="0"/>
          <w:numId w:val="194"/>
        </w:numPr>
        <w:rPr>
          <w:rFonts w:ascii="Arial" w:cs="Arial" w:eastAsia="Arial" w:hAnsi="Arial"/>
          <w:sz w:val="13"/>
          <w:szCs w:val="13"/>
          <w:b w:val="1"/>
          <w:bCs w:val="1"/>
          <w:color w:val="D7282F"/>
        </w:rPr>
      </w:pPr>
      <w:r>
        <w:rPr>
          <w:rFonts w:ascii="Arial" w:cs="Arial" w:eastAsia="Arial" w:hAnsi="Arial"/>
          <w:sz w:val="13"/>
          <w:szCs w:val="13"/>
          <w:color w:val="auto"/>
        </w:rPr>
        <w:t>The Honeywell Aerospace Ireland Share Participation Plan allows eligible Irish employees to contribute a percentage of base pay and/or bonus that is invested in Common Stock. For the year ended December 31, 2024, 628 shares of Common Stock were credited to participants’ accounts under these plans.</w:t>
      </w:r>
    </w:p>
    <w:p>
      <w:pPr>
        <w:spacing w:after="0" w:line="49" w:lineRule="exact"/>
        <w:rPr>
          <w:rFonts w:ascii="Arial" w:cs="Arial" w:eastAsia="Arial" w:hAnsi="Arial"/>
          <w:sz w:val="13"/>
          <w:szCs w:val="13"/>
          <w:b w:val="1"/>
          <w:bCs w:val="1"/>
          <w:color w:val="D7282F"/>
        </w:rPr>
      </w:pPr>
    </w:p>
    <w:p>
      <w:pPr>
        <w:ind w:left="380" w:hanging="194"/>
        <w:spacing w:after="0"/>
        <w:tabs>
          <w:tab w:leader="none" w:pos="380" w:val="left"/>
        </w:tabs>
        <w:numPr>
          <w:ilvl w:val="0"/>
          <w:numId w:val="194"/>
        </w:numPr>
        <w:rPr>
          <w:rFonts w:ascii="Arial" w:cs="Arial" w:eastAsia="Arial" w:hAnsi="Arial"/>
          <w:sz w:val="13"/>
          <w:szCs w:val="13"/>
          <w:b w:val="1"/>
          <w:bCs w:val="1"/>
          <w:color w:val="D7282F"/>
        </w:rPr>
      </w:pPr>
      <w:r>
        <w:rPr>
          <w:rFonts w:ascii="Arial" w:cs="Arial" w:eastAsia="Arial" w:hAnsi="Arial"/>
          <w:sz w:val="13"/>
          <w:szCs w:val="13"/>
          <w:color w:val="auto"/>
        </w:rPr>
        <w:t>The remaining 775,398 shares included in column (c) are shares remaining under the 2016 Stock Plan for Non-Employee Directors.</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Equity compensation plans not approved by shareowners included in the table refer to the Honeywell Excess Benefit Plan and Supplemental Savings Plan.</w:t>
      </w:r>
    </w:p>
    <w:p>
      <w:pPr>
        <w:spacing w:after="0" w:line="67" w:lineRule="exact"/>
        <w:rPr>
          <w:sz w:val="20"/>
          <w:szCs w:val="20"/>
          <w:color w:val="auto"/>
        </w:rPr>
      </w:pPr>
    </w:p>
    <w:p>
      <w:pPr>
        <w:jc w:val="both"/>
        <w:ind w:right="20"/>
        <w:spacing w:after="0" w:line="282" w:lineRule="auto"/>
        <w:rPr>
          <w:sz w:val="20"/>
          <w:szCs w:val="20"/>
          <w:color w:val="auto"/>
        </w:rPr>
      </w:pPr>
      <w:r>
        <w:rPr>
          <w:rFonts w:ascii="Arial" w:cs="Arial" w:eastAsia="Arial" w:hAnsi="Arial"/>
          <w:sz w:val="12"/>
          <w:szCs w:val="12"/>
          <w:color w:val="auto"/>
        </w:rPr>
        <w:t>The Honeywell Excess Benefit Plan and Supplemental Savings Plan for certain highly compensated employees is an unfunded, non-tax qualified plan that provides benefits equal to the employee deferrals and Company matching allocations that would have been provided under Honeywell’s U.S. tax-qualified savings plan if the Internal Revenue Code limitations on compensation and contributions did not apply. The Company matching contribution is credited to participants’ accounts in the form of notional shares of Common Stock. The notional shares are distributed in the form of actual shares of Common Stock. The number of shares to be issued under this plan based on the value of the notional shares as of December 31, 2024, is 159,450.</w:t>
      </w:r>
    </w:p>
    <w:p>
      <w:pPr>
        <w:spacing w:after="0" w:line="121" w:lineRule="exact"/>
        <w:rPr>
          <w:sz w:val="20"/>
          <w:szCs w:val="20"/>
          <w:color w:val="auto"/>
        </w:rPr>
      </w:pPr>
    </w:p>
    <w:p>
      <w:pPr>
        <w:sectPr>
          <w:pgSz w:w="11900" w:h="16838" w:orient="portrait"/>
          <w:cols w:equalWidth="0" w:num="2">
            <w:col w:w="100" w:space="380"/>
            <w:col w:w="10760"/>
          </w:cols>
          <w:pgMar w:left="320" w:top="162" w:right="339" w:bottom="1440" w:gutter="0" w:footer="0" w:header="0"/>
          <w:type w:val="continuous"/>
        </w:sectPr>
      </w:pPr>
    </w:p>
    <w:p>
      <w:pPr>
        <w:ind w:left="480" w:right="20" w:hanging="454"/>
        <w:spacing w:after="0" w:line="182" w:lineRule="auto"/>
        <w:tabs>
          <w:tab w:leader="none" w:pos="480" w:val="left"/>
        </w:tabs>
        <w:numPr>
          <w:ilvl w:val="0"/>
          <w:numId w:val="195"/>
        </w:numPr>
        <w:rPr>
          <w:rFonts w:ascii="Arial" w:cs="Arial" w:eastAsia="Arial" w:hAnsi="Arial"/>
          <w:sz w:val="24"/>
          <w:szCs w:val="24"/>
          <w:color w:val="auto"/>
          <w:vertAlign w:val="superscript"/>
        </w:rPr>
      </w:pPr>
      <w:r>
        <w:rPr>
          <w:rFonts w:ascii="Arial" w:cs="Arial" w:eastAsia="Arial" w:hAnsi="Arial"/>
          <w:sz w:val="12"/>
          <w:szCs w:val="12"/>
          <w:color w:val="auto"/>
        </w:rPr>
        <w:t>Column (b) does not include any exercise price for notional shares allocated to employees under Honeywell’s equity compensation plans not approved by shareowners because all of these shares are only settled for shares of Common Stock on a one-for-one basis.</w:t>
      </w:r>
    </w:p>
    <w:p>
      <w:pPr>
        <w:spacing w:after="0" w:line="145" w:lineRule="exact"/>
        <w:rPr>
          <w:sz w:val="20"/>
          <w:szCs w:val="20"/>
          <w:color w:val="auto"/>
        </w:rPr>
      </w:pPr>
    </w:p>
    <w:p>
      <w:pPr>
        <w:ind w:left="480" w:right="20" w:hanging="454"/>
        <w:spacing w:after="0" w:line="182" w:lineRule="auto"/>
        <w:tabs>
          <w:tab w:leader="none" w:pos="480" w:val="left"/>
        </w:tabs>
        <w:numPr>
          <w:ilvl w:val="0"/>
          <w:numId w:val="196"/>
        </w:numPr>
        <w:rPr>
          <w:rFonts w:ascii="Arial" w:cs="Arial" w:eastAsia="Arial" w:hAnsi="Arial"/>
          <w:sz w:val="24"/>
          <w:szCs w:val="24"/>
          <w:color w:val="auto"/>
          <w:vertAlign w:val="superscript"/>
        </w:rPr>
      </w:pPr>
      <w:r>
        <w:rPr>
          <w:rFonts w:ascii="Arial" w:cs="Arial" w:eastAsia="Arial" w:hAnsi="Arial"/>
          <w:sz w:val="12"/>
          <w:szCs w:val="12"/>
          <w:color w:val="auto"/>
        </w:rPr>
        <w:t>The amount of securities available for future issuance under the Honeywell Excess Benefit Plan and Supplemental Savings Plan is not determinable because the number of securities that may be issued under this plan depends upon the amount deferred to the plan by participants in future years.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00" w:hanging="492"/>
        <w:spacing w:after="0"/>
        <w:tabs>
          <w:tab w:leader="none" w:pos="500" w:val="left"/>
        </w:tabs>
        <w:numPr>
          <w:ilvl w:val="0"/>
          <w:numId w:val="197"/>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type w:val="continuous"/>
        </w:sectPr>
      </w:pPr>
    </w:p>
    <w:bookmarkStart w:id="120" w:name="page121"/>
    <w:bookmarkEnd w:id="120"/>
    <w:p>
      <w:pPr>
        <w:ind w:left="20"/>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80"/>
        <w:spacing w:after="0" w:line="297" w:lineRule="auto"/>
        <w:rPr>
          <w:sz w:val="20"/>
          <w:szCs w:val="20"/>
          <w:color w:val="auto"/>
        </w:rPr>
      </w:pPr>
      <w:r>
        <w:rPr>
          <w:rFonts w:ascii="Arial" w:cs="Arial" w:eastAsia="Arial" w:hAnsi="Arial"/>
          <w:sz w:val="36"/>
          <w:szCs w:val="36"/>
          <w:b w:val="1"/>
          <w:bCs w:val="1"/>
          <w:color w:val="auto"/>
        </w:rPr>
        <w:t>CERTAIN RELATIONSHIPS AND RELATED TRANSACTIONS, AND DIRECTOR INDEPENDENCE</w:t>
      </w:r>
    </w:p>
    <w:p>
      <w:pPr>
        <w:spacing w:after="0" w:line="214"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Information relating to certain relationships and related transactions and director independence will be contained in the Proxy Statement, and such information is incorporated herein by reference.</w:t>
      </w:r>
    </w:p>
    <w:p>
      <w:pPr>
        <w:spacing w:after="0" w:line="294"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PRINCIPAL ACCOUNTING FEES AND SERVICES</w:t>
      </w:r>
    </w:p>
    <w:p>
      <w:pPr>
        <w:spacing w:after="0" w:line="393"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Information relating to fees paid to and services performed by Deloitte &amp; Touche LLP and our Audit Committee’s pre-approval policies and procedures with respect to non-audit services will be contained in the Proxy Statement, and such information is incorporated herein by reference.</w:t>
      </w:r>
    </w:p>
    <w:p>
      <w:pPr>
        <w:spacing w:after="0" w:line="294"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EXHIBITS AND FINANCIAL STATEMENT SCHEDULES</w:t>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820" w:type="dxa"/>
            <w:vAlign w:val="bottom"/>
          </w:tcPr>
          <w:p>
            <w:pPr>
              <w:spacing w:after="0"/>
              <w:rPr>
                <w:sz w:val="15"/>
                <w:szCs w:val="15"/>
                <w:color w:val="auto"/>
              </w:rPr>
            </w:pPr>
          </w:p>
        </w:tc>
        <w:tc>
          <w:tcPr>
            <w:tcW w:w="2420" w:type="dxa"/>
            <w:vAlign w:val="bottom"/>
          </w:tcPr>
          <w:p>
            <w:pPr>
              <w:jc w:val="center"/>
              <w:ind w:left="1048"/>
              <w:spacing w:after="0"/>
              <w:rPr>
                <w:sz w:val="20"/>
                <w:szCs w:val="20"/>
                <w:color w:val="auto"/>
              </w:rPr>
            </w:pPr>
            <w:r>
              <w:rPr>
                <w:rFonts w:ascii="Arial" w:cs="Arial" w:eastAsia="Arial" w:hAnsi="Arial"/>
                <w:sz w:val="14"/>
                <w:szCs w:val="14"/>
                <w:b w:val="1"/>
                <w:bCs w:val="1"/>
                <w:color w:val="auto"/>
              </w:rPr>
              <w:t>Page Number</w:t>
            </w:r>
          </w:p>
        </w:tc>
      </w:tr>
      <w:tr>
        <w:trPr>
          <w:trHeight w:val="205"/>
        </w:trPr>
        <w:tc>
          <w:tcPr>
            <w:tcW w:w="8820" w:type="dxa"/>
            <w:vAlign w:val="bottom"/>
            <w:tcBorders>
              <w:bottom w:val="single" w:sz="8" w:color="D7282F"/>
            </w:tcBorders>
          </w:tcPr>
          <w:p>
            <w:pPr>
              <w:spacing w:after="0"/>
              <w:rPr>
                <w:sz w:val="17"/>
                <w:szCs w:val="17"/>
                <w:color w:val="auto"/>
              </w:rPr>
            </w:pPr>
          </w:p>
        </w:tc>
        <w:tc>
          <w:tcPr>
            <w:tcW w:w="2420" w:type="dxa"/>
            <w:vAlign w:val="bottom"/>
            <w:tcBorders>
              <w:bottom w:val="single" w:sz="8" w:color="D7282F"/>
            </w:tcBorders>
          </w:tcPr>
          <w:p>
            <w:pPr>
              <w:jc w:val="center"/>
              <w:ind w:left="1068"/>
              <w:spacing w:after="0"/>
              <w:rPr>
                <w:sz w:val="20"/>
                <w:szCs w:val="20"/>
                <w:color w:val="auto"/>
              </w:rPr>
            </w:pPr>
            <w:r>
              <w:rPr>
                <w:rFonts w:ascii="Arial" w:cs="Arial" w:eastAsia="Arial" w:hAnsi="Arial"/>
                <w:sz w:val="14"/>
                <w:szCs w:val="14"/>
                <w:b w:val="1"/>
                <w:bCs w:val="1"/>
                <w:color w:val="auto"/>
              </w:rPr>
              <w:t>in Form 10-K</w:t>
            </w:r>
          </w:p>
        </w:tc>
      </w:tr>
      <w:tr>
        <w:trPr>
          <w:trHeight w:val="202"/>
        </w:trPr>
        <w:tc>
          <w:tcPr>
            <w:tcW w:w="882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DC202E"/>
              </w:rPr>
              <w:t>(a)(1.)  Consolidated Financial Statements:</w:t>
            </w:r>
          </w:p>
        </w:tc>
        <w:tc>
          <w:tcPr>
            <w:tcW w:w="2420" w:type="dxa"/>
            <w:vAlign w:val="bottom"/>
            <w:tcBorders>
              <w:bottom w:val="single" w:sz="8" w:color="61656A"/>
            </w:tcBorders>
          </w:tcPr>
          <w:p>
            <w:pPr>
              <w:spacing w:after="0"/>
              <w:rPr>
                <w:sz w:val="17"/>
                <w:szCs w:val="17"/>
                <w:color w:val="auto"/>
              </w:rPr>
            </w:pPr>
          </w:p>
        </w:tc>
      </w:tr>
      <w:tr>
        <w:trPr>
          <w:trHeight w:val="193"/>
        </w:trPr>
        <w:tc>
          <w:tcPr>
            <w:tcW w:w="8820" w:type="dxa"/>
            <w:vAlign w:val="bottom"/>
            <w:tcBorders>
              <w:bottom w:val="single" w:sz="8" w:color="61656A"/>
            </w:tcBorders>
          </w:tcPr>
          <w:p>
            <w:pPr>
              <w:ind w:left="600"/>
              <w:spacing w:after="0"/>
              <w:rPr>
                <w:sz w:val="20"/>
                <w:szCs w:val="20"/>
                <w:color w:val="auto"/>
              </w:rPr>
            </w:pPr>
            <w:r>
              <w:rPr>
                <w:rFonts w:ascii="Arial" w:cs="Arial" w:eastAsia="Arial" w:hAnsi="Arial"/>
                <w:sz w:val="14"/>
                <w:szCs w:val="14"/>
                <w:color w:val="auto"/>
              </w:rPr>
              <w:t>Consolidated Statement of Operations for the years ended December 31, 2024, 2023, and 2022</w:t>
            </w:r>
          </w:p>
        </w:tc>
        <w:tc>
          <w:tcPr>
            <w:tcW w:w="2420" w:type="dxa"/>
            <w:vAlign w:val="bottom"/>
            <w:tcBorders>
              <w:bottom w:val="single" w:sz="8" w:color="61656A"/>
            </w:tcBorders>
          </w:tcPr>
          <w:p>
            <w:pPr>
              <w:jc w:val="center"/>
              <w:ind w:left="1068"/>
              <w:spacing w:after="0"/>
              <w:rPr>
                <w:sz w:val="20"/>
                <w:szCs w:val="20"/>
                <w:color w:val="auto"/>
              </w:rPr>
            </w:pPr>
            <w:r>
              <w:rPr>
                <w:rFonts w:ascii="Arial" w:cs="Arial" w:eastAsia="Arial" w:hAnsi="Arial"/>
                <w:sz w:val="14"/>
                <w:szCs w:val="14"/>
                <w:color w:val="auto"/>
              </w:rPr>
              <w:t>52</w:t>
            </w:r>
          </w:p>
        </w:tc>
      </w:tr>
      <w:tr>
        <w:trPr>
          <w:trHeight w:val="196"/>
        </w:trPr>
        <w:tc>
          <w:tcPr>
            <w:tcW w:w="8820" w:type="dxa"/>
            <w:vAlign w:val="bottom"/>
            <w:tcBorders>
              <w:bottom w:val="single" w:sz="8" w:color="61656A"/>
            </w:tcBorders>
          </w:tcPr>
          <w:p>
            <w:pPr>
              <w:ind w:left="600"/>
              <w:spacing w:after="0"/>
              <w:rPr>
                <w:sz w:val="20"/>
                <w:szCs w:val="20"/>
                <w:color w:val="auto"/>
              </w:rPr>
            </w:pPr>
            <w:r>
              <w:rPr>
                <w:rFonts w:ascii="Arial" w:cs="Arial" w:eastAsia="Arial" w:hAnsi="Arial"/>
                <w:sz w:val="14"/>
                <w:szCs w:val="14"/>
                <w:color w:val="auto"/>
              </w:rPr>
              <w:t>Consolidated Statement of Comprehensive Income for the years ended December 31, 2024, 2023, and 2022</w:t>
            </w:r>
          </w:p>
        </w:tc>
        <w:tc>
          <w:tcPr>
            <w:tcW w:w="2420" w:type="dxa"/>
            <w:vAlign w:val="bottom"/>
            <w:tcBorders>
              <w:bottom w:val="single" w:sz="8" w:color="61656A"/>
            </w:tcBorders>
          </w:tcPr>
          <w:p>
            <w:pPr>
              <w:jc w:val="center"/>
              <w:ind w:left="1068"/>
              <w:spacing w:after="0"/>
              <w:rPr>
                <w:sz w:val="20"/>
                <w:szCs w:val="20"/>
                <w:color w:val="auto"/>
              </w:rPr>
            </w:pPr>
            <w:r>
              <w:rPr>
                <w:rFonts w:ascii="Arial" w:cs="Arial" w:eastAsia="Arial" w:hAnsi="Arial"/>
                <w:sz w:val="14"/>
                <w:szCs w:val="14"/>
                <w:color w:val="auto"/>
              </w:rPr>
              <w:t>53</w:t>
            </w:r>
          </w:p>
        </w:tc>
      </w:tr>
      <w:tr>
        <w:trPr>
          <w:trHeight w:val="196"/>
        </w:trPr>
        <w:tc>
          <w:tcPr>
            <w:tcW w:w="8820" w:type="dxa"/>
            <w:vAlign w:val="bottom"/>
            <w:tcBorders>
              <w:bottom w:val="single" w:sz="8" w:color="61656A"/>
            </w:tcBorders>
          </w:tcPr>
          <w:p>
            <w:pPr>
              <w:ind w:left="600"/>
              <w:spacing w:after="0"/>
              <w:rPr>
                <w:sz w:val="20"/>
                <w:szCs w:val="20"/>
                <w:color w:val="auto"/>
              </w:rPr>
            </w:pPr>
            <w:r>
              <w:rPr>
                <w:rFonts w:ascii="Arial" w:cs="Arial" w:eastAsia="Arial" w:hAnsi="Arial"/>
                <w:sz w:val="14"/>
                <w:szCs w:val="14"/>
                <w:color w:val="auto"/>
              </w:rPr>
              <w:t>Consolidated Balance Sheet at December 31, 2024, and 2023</w:t>
            </w:r>
          </w:p>
        </w:tc>
        <w:tc>
          <w:tcPr>
            <w:tcW w:w="2420" w:type="dxa"/>
            <w:vAlign w:val="bottom"/>
            <w:tcBorders>
              <w:bottom w:val="single" w:sz="8" w:color="61656A"/>
            </w:tcBorders>
          </w:tcPr>
          <w:p>
            <w:pPr>
              <w:jc w:val="center"/>
              <w:ind w:left="1068"/>
              <w:spacing w:after="0"/>
              <w:rPr>
                <w:sz w:val="20"/>
                <w:szCs w:val="20"/>
                <w:color w:val="auto"/>
              </w:rPr>
            </w:pPr>
            <w:r>
              <w:rPr>
                <w:rFonts w:ascii="Arial" w:cs="Arial" w:eastAsia="Arial" w:hAnsi="Arial"/>
                <w:sz w:val="14"/>
                <w:szCs w:val="14"/>
                <w:color w:val="auto"/>
              </w:rPr>
              <w:t>54</w:t>
            </w:r>
          </w:p>
        </w:tc>
      </w:tr>
      <w:tr>
        <w:trPr>
          <w:trHeight w:val="196"/>
        </w:trPr>
        <w:tc>
          <w:tcPr>
            <w:tcW w:w="8820" w:type="dxa"/>
            <w:vAlign w:val="bottom"/>
            <w:tcBorders>
              <w:bottom w:val="single" w:sz="8" w:color="61656A"/>
            </w:tcBorders>
          </w:tcPr>
          <w:p>
            <w:pPr>
              <w:ind w:left="600"/>
              <w:spacing w:after="0"/>
              <w:rPr>
                <w:sz w:val="20"/>
                <w:szCs w:val="20"/>
                <w:color w:val="auto"/>
              </w:rPr>
            </w:pPr>
            <w:r>
              <w:rPr>
                <w:rFonts w:ascii="Arial" w:cs="Arial" w:eastAsia="Arial" w:hAnsi="Arial"/>
                <w:sz w:val="14"/>
                <w:szCs w:val="14"/>
                <w:color w:val="auto"/>
              </w:rPr>
              <w:t>Consolidated Statement of Cash Flows for the years ended December 31, 2024, 2023, and 2022</w:t>
            </w:r>
          </w:p>
        </w:tc>
        <w:tc>
          <w:tcPr>
            <w:tcW w:w="2420" w:type="dxa"/>
            <w:vAlign w:val="bottom"/>
            <w:tcBorders>
              <w:bottom w:val="single" w:sz="8" w:color="61656A"/>
            </w:tcBorders>
          </w:tcPr>
          <w:p>
            <w:pPr>
              <w:jc w:val="center"/>
              <w:ind w:left="1068"/>
              <w:spacing w:after="0"/>
              <w:rPr>
                <w:sz w:val="20"/>
                <w:szCs w:val="20"/>
                <w:color w:val="auto"/>
              </w:rPr>
            </w:pPr>
            <w:r>
              <w:rPr>
                <w:rFonts w:ascii="Arial" w:cs="Arial" w:eastAsia="Arial" w:hAnsi="Arial"/>
                <w:sz w:val="14"/>
                <w:szCs w:val="14"/>
                <w:color w:val="auto"/>
              </w:rPr>
              <w:t>55</w:t>
            </w:r>
          </w:p>
        </w:tc>
      </w:tr>
      <w:tr>
        <w:trPr>
          <w:trHeight w:val="196"/>
        </w:trPr>
        <w:tc>
          <w:tcPr>
            <w:tcW w:w="8820" w:type="dxa"/>
            <w:vAlign w:val="bottom"/>
            <w:tcBorders>
              <w:bottom w:val="single" w:sz="8" w:color="61656A"/>
            </w:tcBorders>
          </w:tcPr>
          <w:p>
            <w:pPr>
              <w:ind w:left="600"/>
              <w:spacing w:after="0"/>
              <w:rPr>
                <w:sz w:val="20"/>
                <w:szCs w:val="20"/>
                <w:color w:val="auto"/>
              </w:rPr>
            </w:pPr>
            <w:r>
              <w:rPr>
                <w:rFonts w:ascii="Arial" w:cs="Arial" w:eastAsia="Arial" w:hAnsi="Arial"/>
                <w:sz w:val="14"/>
                <w:szCs w:val="14"/>
                <w:color w:val="auto"/>
              </w:rPr>
              <w:t>Consolidated Statement of Shareowners’ Equity for the years ended December 31, 2024, 2023, and 2022</w:t>
            </w:r>
          </w:p>
        </w:tc>
        <w:tc>
          <w:tcPr>
            <w:tcW w:w="2420" w:type="dxa"/>
            <w:vAlign w:val="bottom"/>
            <w:tcBorders>
              <w:bottom w:val="single" w:sz="8" w:color="61656A"/>
            </w:tcBorders>
          </w:tcPr>
          <w:p>
            <w:pPr>
              <w:jc w:val="center"/>
              <w:ind w:left="1068"/>
              <w:spacing w:after="0"/>
              <w:rPr>
                <w:sz w:val="20"/>
                <w:szCs w:val="20"/>
                <w:color w:val="auto"/>
              </w:rPr>
            </w:pPr>
            <w:r>
              <w:rPr>
                <w:rFonts w:ascii="Arial" w:cs="Arial" w:eastAsia="Arial" w:hAnsi="Arial"/>
                <w:sz w:val="14"/>
                <w:szCs w:val="14"/>
                <w:color w:val="auto"/>
              </w:rPr>
              <w:t>56</w:t>
            </w:r>
          </w:p>
        </w:tc>
      </w:tr>
      <w:tr>
        <w:trPr>
          <w:trHeight w:val="196"/>
        </w:trPr>
        <w:tc>
          <w:tcPr>
            <w:tcW w:w="8820" w:type="dxa"/>
            <w:vAlign w:val="bottom"/>
            <w:tcBorders>
              <w:bottom w:val="single" w:sz="8" w:color="61656A"/>
            </w:tcBorders>
          </w:tcPr>
          <w:p>
            <w:pPr>
              <w:ind w:left="600"/>
              <w:spacing w:after="0"/>
              <w:rPr>
                <w:sz w:val="20"/>
                <w:szCs w:val="20"/>
                <w:color w:val="auto"/>
              </w:rPr>
            </w:pPr>
            <w:r>
              <w:rPr>
                <w:rFonts w:ascii="Arial" w:cs="Arial" w:eastAsia="Arial" w:hAnsi="Arial"/>
                <w:sz w:val="14"/>
                <w:szCs w:val="14"/>
                <w:color w:val="auto"/>
              </w:rPr>
              <w:t>Notes to Consolidated Financial Statements</w:t>
            </w:r>
          </w:p>
        </w:tc>
        <w:tc>
          <w:tcPr>
            <w:tcW w:w="2420" w:type="dxa"/>
            <w:vAlign w:val="bottom"/>
            <w:tcBorders>
              <w:bottom w:val="single" w:sz="8" w:color="61656A"/>
            </w:tcBorders>
          </w:tcPr>
          <w:p>
            <w:pPr>
              <w:jc w:val="center"/>
              <w:ind w:left="1068"/>
              <w:spacing w:after="0"/>
              <w:rPr>
                <w:sz w:val="20"/>
                <w:szCs w:val="20"/>
                <w:color w:val="auto"/>
              </w:rPr>
            </w:pPr>
            <w:r>
              <w:rPr>
                <w:rFonts w:ascii="Arial" w:cs="Arial" w:eastAsia="Arial" w:hAnsi="Arial"/>
                <w:sz w:val="14"/>
                <w:szCs w:val="14"/>
                <w:color w:val="auto"/>
              </w:rPr>
              <w:t>57</w:t>
            </w:r>
          </w:p>
        </w:tc>
      </w:tr>
      <w:tr>
        <w:trPr>
          <w:trHeight w:val="196"/>
        </w:trPr>
        <w:tc>
          <w:tcPr>
            <w:tcW w:w="8820" w:type="dxa"/>
            <w:vAlign w:val="bottom"/>
            <w:tcBorders>
              <w:bottom w:val="single" w:sz="8" w:color="D7282F"/>
            </w:tcBorders>
          </w:tcPr>
          <w:p>
            <w:pPr>
              <w:ind w:left="600"/>
              <w:spacing w:after="0"/>
              <w:rPr>
                <w:sz w:val="20"/>
                <w:szCs w:val="20"/>
                <w:color w:val="auto"/>
              </w:rPr>
            </w:pPr>
            <w:r>
              <w:rPr>
                <w:rFonts w:ascii="Arial" w:cs="Arial" w:eastAsia="Arial" w:hAnsi="Arial"/>
                <w:sz w:val="14"/>
                <w:szCs w:val="14"/>
                <w:color w:val="auto"/>
              </w:rPr>
              <w:t>Report of Independent Registered Public Accounting Firm (PCAOB ID No. 34)</w:t>
            </w:r>
          </w:p>
        </w:tc>
        <w:tc>
          <w:tcPr>
            <w:tcW w:w="2420" w:type="dxa"/>
            <w:vAlign w:val="bottom"/>
            <w:tcBorders>
              <w:bottom w:val="single" w:sz="8" w:color="D7282F"/>
            </w:tcBorders>
          </w:tcPr>
          <w:p>
            <w:pPr>
              <w:jc w:val="center"/>
              <w:ind w:left="1048"/>
              <w:spacing w:after="0"/>
              <w:rPr>
                <w:sz w:val="20"/>
                <w:szCs w:val="20"/>
                <w:color w:val="auto"/>
              </w:rPr>
            </w:pPr>
            <w:r>
              <w:rPr>
                <w:rFonts w:ascii="Arial" w:cs="Arial" w:eastAsia="Arial" w:hAnsi="Arial"/>
                <w:sz w:val="14"/>
                <w:szCs w:val="14"/>
                <w:color w:val="auto"/>
                <w:w w:val="94"/>
              </w:rPr>
              <w:t>114</w:t>
            </w:r>
          </w:p>
        </w:tc>
      </w:tr>
    </w:tbl>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200" w:type="dxa"/>
            <w:vAlign w:val="bottom"/>
          </w:tcPr>
          <w:p>
            <w:pPr>
              <w:spacing w:after="0"/>
              <w:rPr>
                <w:sz w:val="14"/>
                <w:szCs w:val="14"/>
                <w:color w:val="auto"/>
              </w:rPr>
            </w:pPr>
          </w:p>
        </w:tc>
        <w:tc>
          <w:tcPr>
            <w:tcW w:w="4040" w:type="dxa"/>
            <w:vAlign w:val="bottom"/>
          </w:tcPr>
          <w:p>
            <w:pPr>
              <w:jc w:val="center"/>
              <w:ind w:left="2668"/>
              <w:spacing w:after="0"/>
              <w:rPr>
                <w:sz w:val="20"/>
                <w:szCs w:val="20"/>
                <w:color w:val="auto"/>
              </w:rPr>
            </w:pPr>
            <w:r>
              <w:rPr>
                <w:rFonts w:ascii="Arial" w:cs="Arial" w:eastAsia="Arial" w:hAnsi="Arial"/>
                <w:sz w:val="14"/>
                <w:szCs w:val="14"/>
                <w:b w:val="1"/>
                <w:bCs w:val="1"/>
                <w:color w:val="auto"/>
              </w:rPr>
              <w:t>Page Number</w:t>
            </w:r>
          </w:p>
        </w:tc>
      </w:tr>
      <w:tr>
        <w:trPr>
          <w:trHeight w:val="196"/>
        </w:trPr>
        <w:tc>
          <w:tcPr>
            <w:tcW w:w="7200" w:type="dxa"/>
            <w:vAlign w:val="bottom"/>
          </w:tcPr>
          <w:p>
            <w:pPr>
              <w:spacing w:after="0"/>
              <w:rPr>
                <w:sz w:val="17"/>
                <w:szCs w:val="17"/>
                <w:color w:val="auto"/>
              </w:rPr>
            </w:pPr>
          </w:p>
        </w:tc>
        <w:tc>
          <w:tcPr>
            <w:tcW w:w="4040" w:type="dxa"/>
            <w:vAlign w:val="bottom"/>
          </w:tcPr>
          <w:p>
            <w:pPr>
              <w:jc w:val="center"/>
              <w:ind w:left="2688"/>
              <w:spacing w:after="0"/>
              <w:rPr>
                <w:sz w:val="20"/>
                <w:szCs w:val="20"/>
                <w:color w:val="auto"/>
              </w:rPr>
            </w:pPr>
            <w:r>
              <w:rPr>
                <w:rFonts w:ascii="Arial" w:cs="Arial" w:eastAsia="Arial" w:hAnsi="Arial"/>
                <w:sz w:val="14"/>
                <w:szCs w:val="14"/>
                <w:b w:val="1"/>
                <w:bCs w:val="1"/>
                <w:color w:val="auto"/>
              </w:rPr>
              <w:t>in Form 10-K</w:t>
            </w:r>
          </w:p>
        </w:tc>
      </w:tr>
      <w:tr>
        <w:trPr>
          <w:trHeight w:val="29"/>
        </w:trPr>
        <w:tc>
          <w:tcPr>
            <w:tcW w:w="7200" w:type="dxa"/>
            <w:vAlign w:val="bottom"/>
            <w:tcBorders>
              <w:bottom w:val="single" w:sz="8" w:color="D7282F"/>
            </w:tcBorders>
          </w:tcPr>
          <w:p>
            <w:pPr>
              <w:spacing w:after="0"/>
              <w:rPr>
                <w:sz w:val="2"/>
                <w:szCs w:val="2"/>
                <w:color w:val="auto"/>
              </w:rPr>
            </w:pPr>
          </w:p>
        </w:tc>
        <w:tc>
          <w:tcPr>
            <w:tcW w:w="4040" w:type="dxa"/>
            <w:vAlign w:val="bottom"/>
            <w:tcBorders>
              <w:bottom w:val="single" w:sz="8" w:color="D7282F"/>
            </w:tcBorders>
          </w:tcPr>
          <w:p>
            <w:pPr>
              <w:spacing w:after="0"/>
              <w:rPr>
                <w:sz w:val="2"/>
                <w:szCs w:val="2"/>
                <w:color w:val="auto"/>
              </w:rPr>
            </w:pPr>
          </w:p>
        </w:tc>
      </w:tr>
      <w:tr>
        <w:trPr>
          <w:trHeight w:val="195"/>
        </w:trPr>
        <w:tc>
          <w:tcPr>
            <w:tcW w:w="720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EE2724"/>
              </w:rPr>
              <w:t>(a)(3.)  Exhibits</w:t>
            </w:r>
          </w:p>
        </w:tc>
        <w:tc>
          <w:tcPr>
            <w:tcW w:w="4040" w:type="dxa"/>
            <w:vAlign w:val="bottom"/>
            <w:tcBorders>
              <w:bottom w:val="single" w:sz="8" w:color="61656A"/>
            </w:tcBorders>
          </w:tcPr>
          <w:p>
            <w:pPr>
              <w:spacing w:after="0"/>
              <w:rPr>
                <w:sz w:val="16"/>
                <w:szCs w:val="16"/>
                <w:color w:val="auto"/>
              </w:rPr>
            </w:pPr>
          </w:p>
        </w:tc>
      </w:tr>
      <w:tr>
        <w:trPr>
          <w:trHeight w:val="193"/>
        </w:trPr>
        <w:tc>
          <w:tcPr>
            <w:tcW w:w="7200" w:type="dxa"/>
            <w:vAlign w:val="bottom"/>
            <w:tcBorders>
              <w:bottom w:val="single" w:sz="8" w:color="D7282F"/>
            </w:tcBorders>
          </w:tcPr>
          <w:p>
            <w:pPr>
              <w:ind w:left="600"/>
              <w:spacing w:after="0"/>
              <w:rPr>
                <w:sz w:val="20"/>
                <w:szCs w:val="20"/>
                <w:color w:val="auto"/>
              </w:rPr>
            </w:pPr>
            <w:r>
              <w:rPr>
                <w:rFonts w:ascii="Arial" w:cs="Arial" w:eastAsia="Arial" w:hAnsi="Arial"/>
                <w:sz w:val="14"/>
                <w:szCs w:val="14"/>
                <w:color w:val="auto"/>
              </w:rPr>
              <w:t>See the Exhibit Index of this Annual Report on Form 10-K</w:t>
            </w:r>
          </w:p>
        </w:tc>
        <w:tc>
          <w:tcPr>
            <w:tcW w:w="4040" w:type="dxa"/>
            <w:vAlign w:val="bottom"/>
            <w:tcBorders>
              <w:bottom w:val="single" w:sz="8" w:color="D7282F"/>
            </w:tcBorders>
          </w:tcPr>
          <w:p>
            <w:pPr>
              <w:jc w:val="center"/>
              <w:ind w:left="2688"/>
              <w:spacing w:after="0"/>
              <w:rPr>
                <w:sz w:val="20"/>
                <w:szCs w:val="20"/>
                <w:color w:val="auto"/>
              </w:rPr>
            </w:pPr>
            <w:r>
              <w:rPr>
                <w:rFonts w:ascii="Arial" w:cs="Arial" w:eastAsia="Arial" w:hAnsi="Arial"/>
                <w:sz w:val="14"/>
                <w:szCs w:val="14"/>
                <w:color w:val="auto"/>
              </w:rPr>
              <w:t>120</w:t>
            </w:r>
          </w:p>
        </w:tc>
      </w:tr>
    </w:tbl>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FORM 10-K SUMMARY</w:t>
      </w:r>
    </w:p>
    <w:p>
      <w:pPr>
        <w:spacing w:after="0" w:line="379"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00" w:lineRule="exact"/>
        <w:rPr>
          <w:sz w:val="20"/>
          <w:szCs w:val="20"/>
          <w:color w:val="auto"/>
        </w:rPr>
      </w:pPr>
    </w:p>
    <w:p>
      <w:pPr>
        <w:spacing w:after="0" w:line="266" w:lineRule="exact"/>
        <w:rPr>
          <w:sz w:val="20"/>
          <w:szCs w:val="20"/>
          <w:color w:val="auto"/>
        </w:rPr>
      </w:pPr>
    </w:p>
    <w:p>
      <w:pPr>
        <w:ind w:left="500" w:hanging="492"/>
        <w:spacing w:after="0"/>
        <w:tabs>
          <w:tab w:leader="none" w:pos="500" w:val="left"/>
        </w:tabs>
        <w:numPr>
          <w:ilvl w:val="0"/>
          <w:numId w:val="198"/>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21" w:name="page122"/>
    <w:bookmarkEnd w:id="121"/>
    <w:p>
      <w:pPr>
        <w:ind w:left="20"/>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9"/>
          <w:szCs w:val="29"/>
          <w:color w:val="D7282F"/>
        </w:rPr>
        <w:t>EXHIBIT INDEX</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16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Exhibit No.</w:t>
            </w:r>
          </w:p>
        </w:tc>
        <w:tc>
          <w:tcPr>
            <w:tcW w:w="10080" w:type="dxa"/>
            <w:vAlign w:val="bottom"/>
            <w:tcBorders>
              <w:bottom w:val="single" w:sz="8" w:color="D7282F"/>
            </w:tcBorders>
          </w:tcPr>
          <w:p>
            <w:pPr>
              <w:ind w:left="4820"/>
              <w:spacing w:after="0"/>
              <w:rPr>
                <w:sz w:val="20"/>
                <w:szCs w:val="20"/>
                <w:color w:val="auto"/>
              </w:rPr>
            </w:pPr>
            <w:r>
              <w:rPr>
                <w:rFonts w:ascii="Arial" w:cs="Arial" w:eastAsia="Arial" w:hAnsi="Arial"/>
                <w:sz w:val="14"/>
                <w:szCs w:val="14"/>
                <w:b w:val="1"/>
                <w:bCs w:val="1"/>
                <w:color w:val="auto"/>
              </w:rPr>
              <w:t>Description</w:t>
            </w:r>
          </w:p>
        </w:tc>
      </w:tr>
      <w:tr>
        <w:trPr>
          <w:trHeight w:val="153"/>
        </w:trPr>
        <w:tc>
          <w:tcPr>
            <w:tcW w:w="1160" w:type="dxa"/>
            <w:vAlign w:val="bottom"/>
          </w:tcPr>
          <w:p>
            <w:pPr>
              <w:ind w:left="20"/>
              <w:spacing w:after="0" w:line="153" w:lineRule="exact"/>
              <w:rPr>
                <w:sz w:val="20"/>
                <w:szCs w:val="20"/>
                <w:color w:val="auto"/>
              </w:rPr>
            </w:pPr>
            <w:r>
              <w:rPr>
                <w:rFonts w:ascii="Arial" w:cs="Arial" w:eastAsia="Arial" w:hAnsi="Arial"/>
                <w:sz w:val="14"/>
                <w:szCs w:val="14"/>
                <w:color w:val="auto"/>
              </w:rPr>
              <w:t>3(i)</w:t>
            </w:r>
          </w:p>
        </w:tc>
        <w:tc>
          <w:tcPr>
            <w:tcW w:w="10080" w:type="dxa"/>
            <w:vAlign w:val="bottom"/>
          </w:tcPr>
          <w:p>
            <w:pPr>
              <w:ind w:left="360"/>
              <w:spacing w:after="0" w:line="153" w:lineRule="exact"/>
              <w:rPr>
                <w:rFonts w:ascii="Arial" w:cs="Arial" w:eastAsia="Arial" w:hAnsi="Arial"/>
                <w:sz w:val="14"/>
                <w:szCs w:val="14"/>
                <w:color w:val="auto"/>
              </w:rPr>
            </w:pPr>
            <w:hyperlink r:id="rId267">
              <w:r>
                <w:rPr>
                  <w:rFonts w:ascii="Arial" w:cs="Arial" w:eastAsia="Arial" w:hAnsi="Arial"/>
                  <w:sz w:val="14"/>
                  <w:szCs w:val="14"/>
                  <w:color w:val="auto"/>
                </w:rPr>
                <w:t>Amended and Restated Certificate of Incorporation of Honeywell International Inc., as amended April 23, 2018 (incorporated by reference to Exhibit 3(i)</w:t>
              </w:r>
            </w:hyperlink>
          </w:p>
        </w:tc>
      </w:tr>
      <w:tr>
        <w:trPr>
          <w:trHeight w:val="185"/>
        </w:trPr>
        <w:tc>
          <w:tcPr>
            <w:tcW w:w="1160" w:type="dxa"/>
            <w:vAlign w:val="bottom"/>
            <w:tcBorders>
              <w:bottom w:val="single" w:sz="8" w:color="61656A"/>
            </w:tcBorders>
          </w:tcPr>
          <w:p>
            <w:pPr>
              <w:spacing w:after="0"/>
              <w:rPr>
                <w:sz w:val="16"/>
                <w:szCs w:val="16"/>
                <w:color w:val="auto"/>
              </w:rPr>
            </w:pPr>
          </w:p>
        </w:tc>
        <w:tc>
          <w:tcPr>
            <w:tcW w:w="10080" w:type="dxa"/>
            <w:vAlign w:val="bottom"/>
            <w:tcBorders>
              <w:bottom w:val="single" w:sz="8" w:color="61656A"/>
            </w:tcBorders>
          </w:tcPr>
          <w:p>
            <w:pPr>
              <w:ind w:left="360"/>
              <w:spacing w:after="0"/>
              <w:rPr>
                <w:rFonts w:ascii="Arial" w:cs="Arial" w:eastAsia="Arial" w:hAnsi="Arial"/>
                <w:sz w:val="14"/>
                <w:szCs w:val="14"/>
                <w:color w:val="auto"/>
              </w:rPr>
            </w:pPr>
            <w:hyperlink r:id="rId267">
              <w:r>
                <w:rPr>
                  <w:rFonts w:ascii="Arial" w:cs="Arial" w:eastAsia="Arial" w:hAnsi="Arial"/>
                  <w:sz w:val="14"/>
                  <w:szCs w:val="14"/>
                  <w:color w:val="auto"/>
                </w:rPr>
                <w:t>to Honeywell’s Form 10-Q for the quarter ended June 30, 2018)</w:t>
              </w:r>
            </w:hyperlink>
          </w:p>
        </w:tc>
      </w:tr>
      <w:tr>
        <w:trPr>
          <w:trHeight w:val="146"/>
        </w:trPr>
        <w:tc>
          <w:tcPr>
            <w:tcW w:w="1160" w:type="dxa"/>
            <w:vAlign w:val="bottom"/>
          </w:tcPr>
          <w:p>
            <w:pPr>
              <w:ind w:left="20"/>
              <w:spacing w:after="0" w:line="147" w:lineRule="exact"/>
              <w:rPr>
                <w:sz w:val="20"/>
                <w:szCs w:val="20"/>
                <w:color w:val="auto"/>
              </w:rPr>
            </w:pPr>
            <w:r>
              <w:rPr>
                <w:rFonts w:ascii="Arial" w:cs="Arial" w:eastAsia="Arial" w:hAnsi="Arial"/>
                <w:sz w:val="14"/>
                <w:szCs w:val="14"/>
                <w:color w:val="auto"/>
              </w:rPr>
              <w:t>3(ii)</w:t>
            </w:r>
          </w:p>
        </w:tc>
        <w:tc>
          <w:tcPr>
            <w:tcW w:w="10080" w:type="dxa"/>
            <w:vAlign w:val="bottom"/>
          </w:tcPr>
          <w:p>
            <w:pPr>
              <w:ind w:left="360"/>
              <w:spacing w:after="0" w:line="147" w:lineRule="exact"/>
              <w:rPr>
                <w:rFonts w:ascii="Arial" w:cs="Arial" w:eastAsia="Arial" w:hAnsi="Arial"/>
                <w:sz w:val="14"/>
                <w:szCs w:val="14"/>
                <w:color w:val="auto"/>
              </w:rPr>
            </w:pPr>
            <w:hyperlink r:id="rId268">
              <w:r>
                <w:rPr>
                  <w:rFonts w:ascii="Arial" w:cs="Arial" w:eastAsia="Arial" w:hAnsi="Arial"/>
                  <w:sz w:val="14"/>
                  <w:szCs w:val="14"/>
                  <w:color w:val="auto"/>
                </w:rPr>
                <w:t>By-laws of Honeywell International Inc., as amended December 8, 2023 (incorporated by reference to Exhibit 3(i) to Honeywell’s 8-K filed December 11,</w:t>
              </w:r>
            </w:hyperlink>
          </w:p>
        </w:tc>
      </w:tr>
      <w:tr>
        <w:trPr>
          <w:trHeight w:val="185"/>
        </w:trPr>
        <w:tc>
          <w:tcPr>
            <w:tcW w:w="1160" w:type="dxa"/>
            <w:vAlign w:val="bottom"/>
            <w:tcBorders>
              <w:bottom w:val="single" w:sz="8" w:color="61656A"/>
            </w:tcBorders>
          </w:tcPr>
          <w:p>
            <w:pPr>
              <w:spacing w:after="0"/>
              <w:rPr>
                <w:sz w:val="16"/>
                <w:szCs w:val="16"/>
                <w:color w:val="auto"/>
              </w:rPr>
            </w:pPr>
          </w:p>
        </w:tc>
        <w:tc>
          <w:tcPr>
            <w:tcW w:w="10080" w:type="dxa"/>
            <w:vAlign w:val="bottom"/>
            <w:tcBorders>
              <w:bottom w:val="single" w:sz="8" w:color="61656A"/>
            </w:tcBorders>
          </w:tcPr>
          <w:p>
            <w:pPr>
              <w:ind w:left="360"/>
              <w:spacing w:after="0"/>
              <w:rPr>
                <w:rFonts w:ascii="Arial" w:cs="Arial" w:eastAsia="Arial" w:hAnsi="Arial"/>
                <w:sz w:val="14"/>
                <w:szCs w:val="14"/>
                <w:color w:val="auto"/>
              </w:rPr>
            </w:pPr>
            <w:hyperlink r:id="rId268">
              <w:r>
                <w:rPr>
                  <w:rFonts w:ascii="Arial" w:cs="Arial" w:eastAsia="Arial" w:hAnsi="Arial"/>
                  <w:sz w:val="14"/>
                  <w:szCs w:val="14"/>
                  <w:color w:val="auto"/>
                </w:rPr>
                <w:t>2023)</w:t>
              </w:r>
            </w:hyperlink>
          </w:p>
        </w:tc>
      </w:tr>
      <w:tr>
        <w:trPr>
          <w:trHeight w:val="146"/>
        </w:trPr>
        <w:tc>
          <w:tcPr>
            <w:tcW w:w="1160" w:type="dxa"/>
            <w:vAlign w:val="bottom"/>
          </w:tcPr>
          <w:p>
            <w:pPr>
              <w:ind w:left="20"/>
              <w:spacing w:after="0" w:line="147" w:lineRule="exact"/>
              <w:rPr>
                <w:sz w:val="20"/>
                <w:szCs w:val="20"/>
                <w:color w:val="auto"/>
              </w:rPr>
            </w:pPr>
            <w:r>
              <w:rPr>
                <w:rFonts w:ascii="Arial" w:cs="Arial" w:eastAsia="Arial" w:hAnsi="Arial"/>
                <w:sz w:val="14"/>
                <w:szCs w:val="14"/>
                <w:color w:val="auto"/>
              </w:rPr>
              <w:t>4.1</w:t>
            </w:r>
          </w:p>
        </w:tc>
        <w:tc>
          <w:tcPr>
            <w:tcW w:w="10080" w:type="dxa"/>
            <w:vAlign w:val="bottom"/>
          </w:tcPr>
          <w:p>
            <w:pPr>
              <w:ind w:left="360"/>
              <w:spacing w:after="0" w:line="147" w:lineRule="exact"/>
              <w:rPr>
                <w:sz w:val="20"/>
                <w:szCs w:val="20"/>
                <w:color w:val="auto"/>
              </w:rPr>
            </w:pPr>
            <w:r>
              <w:rPr>
                <w:rFonts w:ascii="Arial" w:cs="Arial" w:eastAsia="Arial" w:hAnsi="Arial"/>
                <w:sz w:val="14"/>
                <w:szCs w:val="14"/>
                <w:color w:val="auto"/>
              </w:rPr>
              <w:t>Honeywell International Inc. is a party to several long-term debt instruments under which, in each case, the total amount of securities authorized does</w:t>
            </w:r>
          </w:p>
        </w:tc>
      </w:tr>
      <w:tr>
        <w:trPr>
          <w:trHeight w:val="144"/>
        </w:trPr>
        <w:tc>
          <w:tcPr>
            <w:tcW w:w="1160" w:type="dxa"/>
            <w:vAlign w:val="bottom"/>
          </w:tcPr>
          <w:p>
            <w:pPr>
              <w:spacing w:after="0"/>
              <w:rPr>
                <w:sz w:val="12"/>
                <w:szCs w:val="12"/>
                <w:color w:val="auto"/>
              </w:rPr>
            </w:pPr>
          </w:p>
        </w:tc>
        <w:tc>
          <w:tcPr>
            <w:tcW w:w="10080" w:type="dxa"/>
            <w:vAlign w:val="bottom"/>
          </w:tcPr>
          <w:p>
            <w:pPr>
              <w:ind w:left="360"/>
              <w:spacing w:after="0" w:line="145" w:lineRule="exact"/>
              <w:rPr>
                <w:sz w:val="20"/>
                <w:szCs w:val="20"/>
                <w:color w:val="auto"/>
              </w:rPr>
            </w:pPr>
            <w:r>
              <w:rPr>
                <w:rFonts w:ascii="Arial" w:cs="Arial" w:eastAsia="Arial" w:hAnsi="Arial"/>
                <w:sz w:val="14"/>
                <w:szCs w:val="14"/>
                <w:color w:val="auto"/>
              </w:rPr>
              <w:t>not exceed 10% of the total assets of Honeywell and its subsidiaries on a consolidated basis. Pursuant to paragraph 4(iii)(A) of Item 601(b) of</w:t>
            </w:r>
          </w:p>
        </w:tc>
      </w:tr>
      <w:tr>
        <w:trPr>
          <w:trHeight w:val="189"/>
        </w:trPr>
        <w:tc>
          <w:tcPr>
            <w:tcW w:w="1160" w:type="dxa"/>
            <w:vAlign w:val="bottom"/>
            <w:tcBorders>
              <w:bottom w:val="single" w:sz="8" w:color="61656A"/>
            </w:tcBorders>
          </w:tcPr>
          <w:p>
            <w:pPr>
              <w:spacing w:after="0"/>
              <w:rPr>
                <w:sz w:val="16"/>
                <w:szCs w:val="16"/>
                <w:color w:val="auto"/>
              </w:rPr>
            </w:pPr>
          </w:p>
        </w:tc>
        <w:tc>
          <w:tcPr>
            <w:tcW w:w="10080" w:type="dxa"/>
            <w:vAlign w:val="bottom"/>
            <w:tcBorders>
              <w:bottom w:val="single" w:sz="8" w:color="61656A"/>
            </w:tcBorders>
          </w:tcPr>
          <w:p>
            <w:pPr>
              <w:ind w:left="360"/>
              <w:spacing w:after="0"/>
              <w:rPr>
                <w:sz w:val="20"/>
                <w:szCs w:val="20"/>
                <w:color w:val="auto"/>
              </w:rPr>
            </w:pPr>
            <w:r>
              <w:rPr>
                <w:rFonts w:ascii="Arial" w:cs="Arial" w:eastAsia="Arial" w:hAnsi="Arial"/>
                <w:sz w:val="14"/>
                <w:szCs w:val="14"/>
                <w:color w:val="auto"/>
              </w:rPr>
              <w:t>Regulation S-K, Honeywell agrees to furnish a copy of such instruments to the Securities and Exchange Commission upon request.</w:t>
            </w:r>
          </w:p>
        </w:tc>
      </w:tr>
      <w:tr>
        <w:trPr>
          <w:trHeight w:val="192"/>
        </w:trPr>
        <w:tc>
          <w:tcPr>
            <w:tcW w:w="116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4.2</w:t>
            </w:r>
          </w:p>
        </w:tc>
        <w:tc>
          <w:tcPr>
            <w:tcW w:w="10080" w:type="dxa"/>
            <w:vAlign w:val="bottom"/>
            <w:tcBorders>
              <w:bottom w:val="single" w:sz="8" w:color="61656A"/>
            </w:tcBorders>
          </w:tcPr>
          <w:p>
            <w:pPr>
              <w:ind w:left="360"/>
              <w:spacing w:after="0"/>
              <w:rPr>
                <w:sz w:val="20"/>
                <w:szCs w:val="20"/>
                <w:color w:val="auto"/>
              </w:rPr>
            </w:pPr>
            <w:r>
              <w:rPr>
                <w:rFonts w:ascii="Arial" w:cs="Arial" w:eastAsia="Arial" w:hAnsi="Arial"/>
                <w:sz w:val="14"/>
                <w:szCs w:val="14"/>
                <w:color w:val="auto"/>
              </w:rPr>
              <w:t>Description of Honeywell International Inc. Securities Registered Pursuant to Section 12 of the Securities Exchange Act of 1934 (filed herewith)</w:t>
            </w:r>
          </w:p>
        </w:tc>
      </w:tr>
      <w:tr>
        <w:trPr>
          <w:trHeight w:val="150"/>
        </w:trPr>
        <w:tc>
          <w:tcPr>
            <w:tcW w:w="1160" w:type="dxa"/>
            <w:vAlign w:val="bottom"/>
          </w:tcPr>
          <w:p>
            <w:pPr>
              <w:ind w:left="20"/>
              <w:spacing w:after="0" w:line="151" w:lineRule="exact"/>
              <w:rPr>
                <w:sz w:val="20"/>
                <w:szCs w:val="20"/>
                <w:color w:val="auto"/>
              </w:rPr>
            </w:pPr>
            <w:r>
              <w:rPr>
                <w:rFonts w:ascii="Arial" w:cs="Arial" w:eastAsia="Arial" w:hAnsi="Arial"/>
                <w:sz w:val="14"/>
                <w:szCs w:val="14"/>
                <w:color w:val="auto"/>
              </w:rPr>
              <w:t>10.1*</w:t>
            </w:r>
          </w:p>
        </w:tc>
        <w:tc>
          <w:tcPr>
            <w:tcW w:w="10080" w:type="dxa"/>
            <w:vAlign w:val="bottom"/>
          </w:tcPr>
          <w:p>
            <w:pPr>
              <w:ind w:left="360"/>
              <w:spacing w:after="0" w:line="151" w:lineRule="exact"/>
              <w:rPr>
                <w:rFonts w:ascii="Arial" w:cs="Arial" w:eastAsia="Arial" w:hAnsi="Arial"/>
                <w:sz w:val="14"/>
                <w:szCs w:val="14"/>
                <w:color w:val="auto"/>
              </w:rPr>
            </w:pPr>
            <w:hyperlink r:id="rId269">
              <w:r>
                <w:rPr>
                  <w:rFonts w:ascii="Arial" w:cs="Arial" w:eastAsia="Arial" w:hAnsi="Arial"/>
                  <w:sz w:val="14"/>
                  <w:szCs w:val="14"/>
                  <w:color w:val="auto"/>
                </w:rPr>
                <w:t>Deferred Compensation Plan for Non-Employee Directors of Honeywell International Inc., as amended and restated (incorporated by reference to</w:t>
              </w:r>
            </w:hyperlink>
          </w:p>
        </w:tc>
      </w:tr>
      <w:tr>
        <w:trPr>
          <w:trHeight w:val="185"/>
        </w:trPr>
        <w:tc>
          <w:tcPr>
            <w:tcW w:w="1160" w:type="dxa"/>
            <w:vAlign w:val="bottom"/>
            <w:tcBorders>
              <w:bottom w:val="single" w:sz="8" w:color="61656A"/>
            </w:tcBorders>
          </w:tcPr>
          <w:p>
            <w:pPr>
              <w:spacing w:after="0"/>
              <w:rPr>
                <w:sz w:val="16"/>
                <w:szCs w:val="16"/>
                <w:color w:val="auto"/>
              </w:rPr>
            </w:pPr>
          </w:p>
        </w:tc>
        <w:tc>
          <w:tcPr>
            <w:tcW w:w="10080" w:type="dxa"/>
            <w:vAlign w:val="bottom"/>
            <w:tcBorders>
              <w:bottom w:val="single" w:sz="8" w:color="61656A"/>
            </w:tcBorders>
          </w:tcPr>
          <w:p>
            <w:pPr>
              <w:ind w:left="360"/>
              <w:spacing w:after="0"/>
              <w:rPr>
                <w:rFonts w:ascii="Arial" w:cs="Arial" w:eastAsia="Arial" w:hAnsi="Arial"/>
                <w:sz w:val="14"/>
                <w:szCs w:val="14"/>
                <w:color w:val="auto"/>
              </w:rPr>
            </w:pPr>
            <w:hyperlink r:id="rId269">
              <w:r>
                <w:rPr>
                  <w:rFonts w:ascii="Arial" w:cs="Arial" w:eastAsia="Arial" w:hAnsi="Arial"/>
                  <w:sz w:val="14"/>
                  <w:szCs w:val="14"/>
                  <w:color w:val="auto"/>
                </w:rPr>
                <w:t>Exhibit 10.2 to Honeywell’s Form 10-Q for the quarter ended June 30, 2003)</w:t>
              </w:r>
            </w:hyperlink>
          </w:p>
        </w:tc>
      </w:tr>
      <w:tr>
        <w:trPr>
          <w:trHeight w:val="146"/>
        </w:trPr>
        <w:tc>
          <w:tcPr>
            <w:tcW w:w="1160" w:type="dxa"/>
            <w:vAlign w:val="bottom"/>
          </w:tcPr>
          <w:p>
            <w:pPr>
              <w:ind w:left="20"/>
              <w:spacing w:after="0" w:line="147" w:lineRule="exact"/>
              <w:rPr>
                <w:sz w:val="20"/>
                <w:szCs w:val="20"/>
                <w:color w:val="auto"/>
              </w:rPr>
            </w:pPr>
            <w:r>
              <w:rPr>
                <w:rFonts w:ascii="Arial" w:cs="Arial" w:eastAsia="Arial" w:hAnsi="Arial"/>
                <w:sz w:val="14"/>
                <w:szCs w:val="14"/>
                <w:color w:val="auto"/>
              </w:rPr>
              <w:t>10.2*</w:t>
            </w:r>
          </w:p>
        </w:tc>
        <w:tc>
          <w:tcPr>
            <w:tcW w:w="10080" w:type="dxa"/>
            <w:vAlign w:val="bottom"/>
          </w:tcPr>
          <w:p>
            <w:pPr>
              <w:ind w:left="360"/>
              <w:spacing w:after="0" w:line="147" w:lineRule="exact"/>
              <w:rPr>
                <w:rFonts w:ascii="Arial" w:cs="Arial" w:eastAsia="Arial" w:hAnsi="Arial"/>
                <w:sz w:val="14"/>
                <w:szCs w:val="14"/>
                <w:color w:val="auto"/>
              </w:rPr>
            </w:pPr>
            <w:hyperlink r:id="rId270">
              <w:r>
                <w:rPr>
                  <w:rFonts w:ascii="Arial" w:cs="Arial" w:eastAsia="Arial" w:hAnsi="Arial"/>
                  <w:sz w:val="14"/>
                  <w:szCs w:val="14"/>
                  <w:color w:val="auto"/>
                </w:rPr>
                <w:t>Amendment to Deferred Compensation Plan for Non-Employee Directors of Honeywell International Inc., as amended and restated (incorporated by</w:t>
              </w:r>
            </w:hyperlink>
          </w:p>
        </w:tc>
      </w:tr>
      <w:tr>
        <w:trPr>
          <w:trHeight w:val="185"/>
        </w:trPr>
        <w:tc>
          <w:tcPr>
            <w:tcW w:w="1160" w:type="dxa"/>
            <w:vAlign w:val="bottom"/>
            <w:tcBorders>
              <w:bottom w:val="single" w:sz="8" w:color="61656A"/>
            </w:tcBorders>
          </w:tcPr>
          <w:p>
            <w:pPr>
              <w:spacing w:after="0"/>
              <w:rPr>
                <w:sz w:val="16"/>
                <w:szCs w:val="16"/>
                <w:color w:val="auto"/>
              </w:rPr>
            </w:pPr>
          </w:p>
        </w:tc>
        <w:tc>
          <w:tcPr>
            <w:tcW w:w="10080" w:type="dxa"/>
            <w:vAlign w:val="bottom"/>
            <w:tcBorders>
              <w:bottom w:val="single" w:sz="8" w:color="61656A"/>
            </w:tcBorders>
          </w:tcPr>
          <w:p>
            <w:pPr>
              <w:ind w:left="360"/>
              <w:spacing w:after="0"/>
              <w:rPr>
                <w:rFonts w:ascii="Arial" w:cs="Arial" w:eastAsia="Arial" w:hAnsi="Arial"/>
                <w:sz w:val="14"/>
                <w:szCs w:val="14"/>
                <w:color w:val="auto"/>
              </w:rPr>
            </w:pPr>
            <w:hyperlink r:id="rId270">
              <w:r>
                <w:rPr>
                  <w:rFonts w:ascii="Arial" w:cs="Arial" w:eastAsia="Arial" w:hAnsi="Arial"/>
                  <w:sz w:val="14"/>
                  <w:szCs w:val="14"/>
                  <w:color w:val="auto"/>
                </w:rPr>
                <w:t>reference to Exhibit 10.1 to Honeywell’s Form 8-K filed December 21, 2004)</w:t>
              </w:r>
            </w:hyperlink>
          </w:p>
        </w:tc>
      </w:tr>
      <w:tr>
        <w:trPr>
          <w:trHeight w:val="146"/>
        </w:trPr>
        <w:tc>
          <w:tcPr>
            <w:tcW w:w="1160" w:type="dxa"/>
            <w:vAlign w:val="bottom"/>
          </w:tcPr>
          <w:p>
            <w:pPr>
              <w:ind w:left="20"/>
              <w:spacing w:after="0" w:line="147" w:lineRule="exact"/>
              <w:rPr>
                <w:sz w:val="20"/>
                <w:szCs w:val="20"/>
                <w:color w:val="auto"/>
              </w:rPr>
            </w:pPr>
            <w:r>
              <w:rPr>
                <w:rFonts w:ascii="Arial" w:cs="Arial" w:eastAsia="Arial" w:hAnsi="Arial"/>
                <w:sz w:val="14"/>
                <w:szCs w:val="14"/>
                <w:color w:val="auto"/>
              </w:rPr>
              <w:t>10.3*</w:t>
            </w:r>
          </w:p>
        </w:tc>
        <w:tc>
          <w:tcPr>
            <w:tcW w:w="10080" w:type="dxa"/>
            <w:vAlign w:val="bottom"/>
          </w:tcPr>
          <w:p>
            <w:pPr>
              <w:ind w:left="360"/>
              <w:spacing w:after="0" w:line="147" w:lineRule="exact"/>
              <w:rPr>
                <w:rFonts w:ascii="Arial" w:cs="Arial" w:eastAsia="Arial" w:hAnsi="Arial"/>
                <w:sz w:val="14"/>
                <w:szCs w:val="14"/>
                <w:color w:val="auto"/>
              </w:rPr>
            </w:pPr>
            <w:hyperlink r:id="rId271">
              <w:r>
                <w:rPr>
                  <w:rFonts w:ascii="Arial" w:cs="Arial" w:eastAsia="Arial" w:hAnsi="Arial"/>
                  <w:sz w:val="14"/>
                  <w:szCs w:val="14"/>
                  <w:color w:val="auto"/>
                </w:rPr>
                <w:t>Amendment to Deferred Compensation Plan for Non-Employee Directors of Honeywell International Inc., as amended and restated (incorporated by</w:t>
              </w:r>
            </w:hyperlink>
          </w:p>
        </w:tc>
      </w:tr>
      <w:tr>
        <w:trPr>
          <w:trHeight w:val="185"/>
        </w:trPr>
        <w:tc>
          <w:tcPr>
            <w:tcW w:w="1160" w:type="dxa"/>
            <w:vAlign w:val="bottom"/>
            <w:tcBorders>
              <w:bottom w:val="single" w:sz="8" w:color="61656A"/>
            </w:tcBorders>
          </w:tcPr>
          <w:p>
            <w:pPr>
              <w:spacing w:after="0"/>
              <w:rPr>
                <w:sz w:val="16"/>
                <w:szCs w:val="16"/>
                <w:color w:val="auto"/>
              </w:rPr>
            </w:pPr>
          </w:p>
        </w:tc>
        <w:tc>
          <w:tcPr>
            <w:tcW w:w="10080" w:type="dxa"/>
            <w:vAlign w:val="bottom"/>
            <w:tcBorders>
              <w:bottom w:val="single" w:sz="8" w:color="61656A"/>
            </w:tcBorders>
          </w:tcPr>
          <w:p>
            <w:pPr>
              <w:ind w:left="360"/>
              <w:spacing w:after="0"/>
              <w:rPr>
                <w:rFonts w:ascii="Arial" w:cs="Arial" w:eastAsia="Arial" w:hAnsi="Arial"/>
                <w:sz w:val="14"/>
                <w:szCs w:val="14"/>
                <w:color w:val="auto"/>
              </w:rPr>
            </w:pPr>
            <w:hyperlink r:id="rId271">
              <w:r>
                <w:rPr>
                  <w:rFonts w:ascii="Arial" w:cs="Arial" w:eastAsia="Arial" w:hAnsi="Arial"/>
                  <w:sz w:val="14"/>
                  <w:szCs w:val="14"/>
                  <w:color w:val="auto"/>
                </w:rPr>
                <w:t>reference to Exhibit 10.2 to Honeywell’s Form 10-K for the year ended December 31, 2005)</w:t>
              </w:r>
            </w:hyperlink>
          </w:p>
        </w:tc>
      </w:tr>
      <w:tr>
        <w:trPr>
          <w:trHeight w:val="146"/>
        </w:trPr>
        <w:tc>
          <w:tcPr>
            <w:tcW w:w="1160" w:type="dxa"/>
            <w:vAlign w:val="bottom"/>
          </w:tcPr>
          <w:p>
            <w:pPr>
              <w:ind w:left="20"/>
              <w:spacing w:after="0" w:line="147" w:lineRule="exact"/>
              <w:rPr>
                <w:sz w:val="20"/>
                <w:szCs w:val="20"/>
                <w:color w:val="auto"/>
              </w:rPr>
            </w:pPr>
            <w:r>
              <w:rPr>
                <w:rFonts w:ascii="Arial" w:cs="Arial" w:eastAsia="Arial" w:hAnsi="Arial"/>
                <w:sz w:val="14"/>
                <w:szCs w:val="14"/>
                <w:color w:val="auto"/>
              </w:rPr>
              <w:t>10.4*</w:t>
            </w:r>
          </w:p>
        </w:tc>
        <w:tc>
          <w:tcPr>
            <w:tcW w:w="10080" w:type="dxa"/>
            <w:vAlign w:val="bottom"/>
          </w:tcPr>
          <w:p>
            <w:pPr>
              <w:ind w:left="360"/>
              <w:spacing w:after="0" w:line="147" w:lineRule="exact"/>
              <w:rPr>
                <w:rFonts w:ascii="Arial" w:cs="Arial" w:eastAsia="Arial" w:hAnsi="Arial"/>
                <w:sz w:val="14"/>
                <w:szCs w:val="14"/>
                <w:color w:val="auto"/>
              </w:rPr>
            </w:pPr>
            <w:hyperlink r:id="rId272">
              <w:r>
                <w:rPr>
                  <w:rFonts w:ascii="Arial" w:cs="Arial" w:eastAsia="Arial" w:hAnsi="Arial"/>
                  <w:sz w:val="14"/>
                  <w:szCs w:val="14"/>
                  <w:color w:val="auto"/>
                </w:rPr>
                <w:t>Omnibus Amendment to Deferred Compensation Plan for Non-Employee Directors of Honeywell International Inc., as amended and restated</w:t>
              </w:r>
            </w:hyperlink>
          </w:p>
        </w:tc>
      </w:tr>
      <w:tr>
        <w:trPr>
          <w:trHeight w:val="185"/>
        </w:trPr>
        <w:tc>
          <w:tcPr>
            <w:tcW w:w="1160" w:type="dxa"/>
            <w:vAlign w:val="bottom"/>
            <w:tcBorders>
              <w:bottom w:val="single" w:sz="8" w:color="61656A"/>
            </w:tcBorders>
          </w:tcPr>
          <w:p>
            <w:pPr>
              <w:spacing w:after="0"/>
              <w:rPr>
                <w:sz w:val="16"/>
                <w:szCs w:val="16"/>
                <w:color w:val="auto"/>
              </w:rPr>
            </w:pPr>
          </w:p>
        </w:tc>
        <w:tc>
          <w:tcPr>
            <w:tcW w:w="10080" w:type="dxa"/>
            <w:vAlign w:val="bottom"/>
            <w:tcBorders>
              <w:bottom w:val="single" w:sz="8" w:color="61656A"/>
            </w:tcBorders>
          </w:tcPr>
          <w:p>
            <w:pPr>
              <w:ind w:left="360"/>
              <w:spacing w:after="0"/>
              <w:rPr>
                <w:rFonts w:ascii="Arial" w:cs="Arial" w:eastAsia="Arial" w:hAnsi="Arial"/>
                <w:sz w:val="14"/>
                <w:szCs w:val="14"/>
                <w:color w:val="auto"/>
              </w:rPr>
            </w:pPr>
            <w:hyperlink r:id="rId272">
              <w:r>
                <w:rPr>
                  <w:rFonts w:ascii="Arial" w:cs="Arial" w:eastAsia="Arial" w:hAnsi="Arial"/>
                  <w:sz w:val="14"/>
                  <w:szCs w:val="14"/>
                  <w:color w:val="auto"/>
                </w:rPr>
                <w:t>(incorporated by reference to Exhibit 10.1 to Honeywell’s Form 10-Q for the quarter ended June 30, 2021)</w:t>
              </w:r>
            </w:hyperlink>
          </w:p>
        </w:tc>
      </w:tr>
      <w:tr>
        <w:trPr>
          <w:trHeight w:val="146"/>
        </w:trPr>
        <w:tc>
          <w:tcPr>
            <w:tcW w:w="1160" w:type="dxa"/>
            <w:vAlign w:val="bottom"/>
          </w:tcPr>
          <w:p>
            <w:pPr>
              <w:ind w:left="20"/>
              <w:spacing w:after="0" w:line="147" w:lineRule="exact"/>
              <w:rPr>
                <w:sz w:val="20"/>
                <w:szCs w:val="20"/>
                <w:color w:val="auto"/>
              </w:rPr>
            </w:pPr>
            <w:r>
              <w:rPr>
                <w:rFonts w:ascii="Arial" w:cs="Arial" w:eastAsia="Arial" w:hAnsi="Arial"/>
                <w:sz w:val="14"/>
                <w:szCs w:val="14"/>
                <w:color w:val="auto"/>
              </w:rPr>
              <w:t>10.5*</w:t>
            </w:r>
          </w:p>
        </w:tc>
        <w:tc>
          <w:tcPr>
            <w:tcW w:w="10080" w:type="dxa"/>
            <w:vAlign w:val="bottom"/>
          </w:tcPr>
          <w:p>
            <w:pPr>
              <w:ind w:left="360"/>
              <w:spacing w:after="0" w:line="147" w:lineRule="exact"/>
              <w:rPr>
                <w:rFonts w:ascii="Arial" w:cs="Arial" w:eastAsia="Arial" w:hAnsi="Arial"/>
                <w:sz w:val="14"/>
                <w:szCs w:val="14"/>
                <w:color w:val="auto"/>
              </w:rPr>
            </w:pPr>
            <w:hyperlink r:id="rId273">
              <w:r>
                <w:rPr>
                  <w:rFonts w:ascii="Arial" w:cs="Arial" w:eastAsia="Arial" w:hAnsi="Arial"/>
                  <w:sz w:val="14"/>
                  <w:szCs w:val="14"/>
                  <w:color w:val="auto"/>
                </w:rPr>
                <w:t>Honeywell International Inc. Incentive Compensation Plan for Executive Employees, as amended and restated (incorporated by reference to Exhibit 10.4</w:t>
              </w:r>
            </w:hyperlink>
          </w:p>
        </w:tc>
      </w:tr>
      <w:tr>
        <w:trPr>
          <w:trHeight w:val="185"/>
        </w:trPr>
        <w:tc>
          <w:tcPr>
            <w:tcW w:w="1160" w:type="dxa"/>
            <w:vAlign w:val="bottom"/>
            <w:tcBorders>
              <w:bottom w:val="single" w:sz="8" w:color="61656A"/>
            </w:tcBorders>
          </w:tcPr>
          <w:p>
            <w:pPr>
              <w:spacing w:after="0"/>
              <w:rPr>
                <w:sz w:val="16"/>
                <w:szCs w:val="16"/>
                <w:color w:val="auto"/>
              </w:rPr>
            </w:pPr>
          </w:p>
        </w:tc>
        <w:tc>
          <w:tcPr>
            <w:tcW w:w="10080" w:type="dxa"/>
            <w:vAlign w:val="bottom"/>
            <w:tcBorders>
              <w:bottom w:val="single" w:sz="8" w:color="61656A"/>
            </w:tcBorders>
          </w:tcPr>
          <w:p>
            <w:pPr>
              <w:ind w:left="360"/>
              <w:spacing w:after="0"/>
              <w:rPr>
                <w:rFonts w:ascii="Arial" w:cs="Arial" w:eastAsia="Arial" w:hAnsi="Arial"/>
                <w:sz w:val="14"/>
                <w:szCs w:val="14"/>
                <w:color w:val="auto"/>
              </w:rPr>
            </w:pPr>
            <w:hyperlink r:id="rId273">
              <w:r>
                <w:rPr>
                  <w:rFonts w:ascii="Arial" w:cs="Arial" w:eastAsia="Arial" w:hAnsi="Arial"/>
                  <w:sz w:val="14"/>
                  <w:szCs w:val="14"/>
                  <w:color w:val="auto"/>
                </w:rPr>
                <w:t>to Honeywell’s Form 10-K for the year ended December 31, 2018)</w:t>
              </w:r>
            </w:hyperlink>
          </w:p>
        </w:tc>
      </w:tr>
      <w:tr>
        <w:trPr>
          <w:trHeight w:val="146"/>
        </w:trPr>
        <w:tc>
          <w:tcPr>
            <w:tcW w:w="1160" w:type="dxa"/>
            <w:vAlign w:val="bottom"/>
          </w:tcPr>
          <w:p>
            <w:pPr>
              <w:ind w:left="20"/>
              <w:spacing w:after="0" w:line="147" w:lineRule="exact"/>
              <w:rPr>
                <w:sz w:val="20"/>
                <w:szCs w:val="20"/>
                <w:color w:val="auto"/>
              </w:rPr>
            </w:pPr>
            <w:r>
              <w:rPr>
                <w:rFonts w:ascii="Arial" w:cs="Arial" w:eastAsia="Arial" w:hAnsi="Arial"/>
                <w:sz w:val="14"/>
                <w:szCs w:val="14"/>
                <w:color w:val="auto"/>
              </w:rPr>
              <w:t>10.6*</w:t>
            </w:r>
          </w:p>
        </w:tc>
        <w:tc>
          <w:tcPr>
            <w:tcW w:w="10080" w:type="dxa"/>
            <w:vAlign w:val="bottom"/>
          </w:tcPr>
          <w:p>
            <w:pPr>
              <w:ind w:left="360"/>
              <w:spacing w:after="0" w:line="147" w:lineRule="exact"/>
              <w:rPr>
                <w:rFonts w:ascii="Arial" w:cs="Arial" w:eastAsia="Arial" w:hAnsi="Arial"/>
                <w:sz w:val="14"/>
                <w:szCs w:val="14"/>
                <w:color w:val="auto"/>
              </w:rPr>
            </w:pPr>
            <w:hyperlink r:id="rId274">
              <w:r>
                <w:rPr>
                  <w:rFonts w:ascii="Arial" w:cs="Arial" w:eastAsia="Arial" w:hAnsi="Arial"/>
                  <w:sz w:val="14"/>
                  <w:szCs w:val="14"/>
                  <w:color w:val="auto"/>
                </w:rPr>
                <w:t>Amendment to Honeywell International Inc. Incentive Compensation Plan for Executive Employees, as amended and restated (incorporated by</w:t>
              </w:r>
            </w:hyperlink>
          </w:p>
        </w:tc>
      </w:tr>
      <w:tr>
        <w:trPr>
          <w:trHeight w:val="185"/>
        </w:trPr>
        <w:tc>
          <w:tcPr>
            <w:tcW w:w="1160" w:type="dxa"/>
            <w:vAlign w:val="bottom"/>
            <w:tcBorders>
              <w:bottom w:val="single" w:sz="8" w:color="61656A"/>
            </w:tcBorders>
          </w:tcPr>
          <w:p>
            <w:pPr>
              <w:spacing w:after="0"/>
              <w:rPr>
                <w:sz w:val="16"/>
                <w:szCs w:val="16"/>
                <w:color w:val="auto"/>
              </w:rPr>
            </w:pPr>
          </w:p>
        </w:tc>
        <w:tc>
          <w:tcPr>
            <w:tcW w:w="10080" w:type="dxa"/>
            <w:vAlign w:val="bottom"/>
            <w:tcBorders>
              <w:bottom w:val="single" w:sz="8" w:color="61656A"/>
            </w:tcBorders>
          </w:tcPr>
          <w:p>
            <w:pPr>
              <w:ind w:left="360"/>
              <w:spacing w:after="0"/>
              <w:rPr>
                <w:rFonts w:ascii="Arial" w:cs="Arial" w:eastAsia="Arial" w:hAnsi="Arial"/>
                <w:sz w:val="14"/>
                <w:szCs w:val="14"/>
                <w:color w:val="auto"/>
              </w:rPr>
            </w:pPr>
            <w:hyperlink r:id="rId274">
              <w:r>
                <w:rPr>
                  <w:rFonts w:ascii="Arial" w:cs="Arial" w:eastAsia="Arial" w:hAnsi="Arial"/>
                  <w:sz w:val="14"/>
                  <w:szCs w:val="14"/>
                  <w:color w:val="auto"/>
                </w:rPr>
                <w:t>reference to Exhibit 10.69 to Honeywell’s Form 10-K for the year ended December 31, 2020)</w:t>
              </w:r>
            </w:hyperlink>
          </w:p>
        </w:tc>
      </w:tr>
      <w:tr>
        <w:trPr>
          <w:trHeight w:val="146"/>
        </w:trPr>
        <w:tc>
          <w:tcPr>
            <w:tcW w:w="1160" w:type="dxa"/>
            <w:vAlign w:val="bottom"/>
          </w:tcPr>
          <w:p>
            <w:pPr>
              <w:ind w:left="20"/>
              <w:spacing w:after="0" w:line="147" w:lineRule="exact"/>
              <w:rPr>
                <w:sz w:val="20"/>
                <w:szCs w:val="20"/>
                <w:color w:val="auto"/>
              </w:rPr>
            </w:pPr>
            <w:r>
              <w:rPr>
                <w:rFonts w:ascii="Arial" w:cs="Arial" w:eastAsia="Arial" w:hAnsi="Arial"/>
                <w:sz w:val="14"/>
                <w:szCs w:val="14"/>
                <w:color w:val="auto"/>
              </w:rPr>
              <w:t>10.7*</w:t>
            </w:r>
          </w:p>
        </w:tc>
        <w:tc>
          <w:tcPr>
            <w:tcW w:w="10080" w:type="dxa"/>
            <w:vAlign w:val="bottom"/>
          </w:tcPr>
          <w:p>
            <w:pPr>
              <w:ind w:left="360"/>
              <w:spacing w:after="0" w:line="147" w:lineRule="exact"/>
              <w:rPr>
                <w:rFonts w:ascii="Arial" w:cs="Arial" w:eastAsia="Arial" w:hAnsi="Arial"/>
                <w:sz w:val="14"/>
                <w:szCs w:val="14"/>
                <w:color w:val="auto"/>
              </w:rPr>
            </w:pPr>
            <w:hyperlink r:id="rId275">
              <w:r>
                <w:rPr>
                  <w:rFonts w:ascii="Arial" w:cs="Arial" w:eastAsia="Arial" w:hAnsi="Arial"/>
                  <w:sz w:val="14"/>
                  <w:szCs w:val="14"/>
                  <w:color w:val="auto"/>
                </w:rPr>
                <w:t>Omnibus Amendment to Honeywell International Inc. Incentive Compensation Plan for Executive Employees, as amended and restated (incorporated by</w:t>
              </w:r>
            </w:hyperlink>
          </w:p>
        </w:tc>
      </w:tr>
      <w:tr>
        <w:trPr>
          <w:trHeight w:val="185"/>
        </w:trPr>
        <w:tc>
          <w:tcPr>
            <w:tcW w:w="1160" w:type="dxa"/>
            <w:vAlign w:val="bottom"/>
            <w:tcBorders>
              <w:bottom w:val="single" w:sz="8" w:color="61656A"/>
            </w:tcBorders>
          </w:tcPr>
          <w:p>
            <w:pPr>
              <w:spacing w:after="0"/>
              <w:rPr>
                <w:sz w:val="16"/>
                <w:szCs w:val="16"/>
                <w:color w:val="auto"/>
              </w:rPr>
            </w:pPr>
          </w:p>
        </w:tc>
        <w:tc>
          <w:tcPr>
            <w:tcW w:w="10080" w:type="dxa"/>
            <w:vAlign w:val="bottom"/>
            <w:tcBorders>
              <w:bottom w:val="single" w:sz="8" w:color="61656A"/>
            </w:tcBorders>
          </w:tcPr>
          <w:p>
            <w:pPr>
              <w:ind w:left="360"/>
              <w:spacing w:after="0"/>
              <w:rPr>
                <w:rFonts w:ascii="Arial" w:cs="Arial" w:eastAsia="Arial" w:hAnsi="Arial"/>
                <w:sz w:val="14"/>
                <w:szCs w:val="14"/>
                <w:color w:val="auto"/>
              </w:rPr>
            </w:pPr>
            <w:hyperlink r:id="rId275">
              <w:r>
                <w:rPr>
                  <w:rFonts w:ascii="Arial" w:cs="Arial" w:eastAsia="Arial" w:hAnsi="Arial"/>
                  <w:sz w:val="14"/>
                  <w:szCs w:val="14"/>
                  <w:color w:val="auto"/>
                </w:rPr>
                <w:t>reference to Exhibit 10.1 to Honeywell’s Form 10-Q for the quarter ended June 30, 2021)</w:t>
              </w:r>
            </w:hyperlink>
          </w:p>
        </w:tc>
      </w:tr>
      <w:tr>
        <w:trPr>
          <w:trHeight w:val="146"/>
        </w:trPr>
        <w:tc>
          <w:tcPr>
            <w:tcW w:w="1160" w:type="dxa"/>
            <w:vAlign w:val="bottom"/>
          </w:tcPr>
          <w:p>
            <w:pPr>
              <w:ind w:left="20"/>
              <w:spacing w:after="0" w:line="147" w:lineRule="exact"/>
              <w:rPr>
                <w:sz w:val="20"/>
                <w:szCs w:val="20"/>
                <w:color w:val="auto"/>
              </w:rPr>
            </w:pPr>
            <w:r>
              <w:rPr>
                <w:rFonts w:ascii="Arial" w:cs="Arial" w:eastAsia="Arial" w:hAnsi="Arial"/>
                <w:sz w:val="14"/>
                <w:szCs w:val="14"/>
                <w:color w:val="auto"/>
              </w:rPr>
              <w:t>10.8*</w:t>
            </w:r>
          </w:p>
        </w:tc>
        <w:tc>
          <w:tcPr>
            <w:tcW w:w="10080" w:type="dxa"/>
            <w:vAlign w:val="bottom"/>
          </w:tcPr>
          <w:p>
            <w:pPr>
              <w:ind w:left="360"/>
              <w:spacing w:after="0" w:line="147" w:lineRule="exact"/>
              <w:rPr>
                <w:rFonts w:ascii="Arial" w:cs="Arial" w:eastAsia="Arial" w:hAnsi="Arial"/>
                <w:sz w:val="14"/>
                <w:szCs w:val="14"/>
                <w:color w:val="auto"/>
              </w:rPr>
            </w:pPr>
            <w:hyperlink r:id="rId276">
              <w:r>
                <w:rPr>
                  <w:rFonts w:ascii="Arial" w:cs="Arial" w:eastAsia="Arial" w:hAnsi="Arial"/>
                  <w:sz w:val="14"/>
                  <w:szCs w:val="14"/>
                  <w:color w:val="auto"/>
                </w:rPr>
                <w:t>Honeywell Excess Benefit Plan and Honeywell Supplemental Savings Plan, as amended and restated (incorporated by reference to Exhibit 10.5 to</w:t>
              </w:r>
            </w:hyperlink>
          </w:p>
        </w:tc>
      </w:tr>
      <w:tr>
        <w:trPr>
          <w:trHeight w:val="185"/>
        </w:trPr>
        <w:tc>
          <w:tcPr>
            <w:tcW w:w="1160" w:type="dxa"/>
            <w:vAlign w:val="bottom"/>
            <w:tcBorders>
              <w:bottom w:val="single" w:sz="8" w:color="61656A"/>
            </w:tcBorders>
          </w:tcPr>
          <w:p>
            <w:pPr>
              <w:spacing w:after="0"/>
              <w:rPr>
                <w:sz w:val="16"/>
                <w:szCs w:val="16"/>
                <w:color w:val="auto"/>
              </w:rPr>
            </w:pPr>
          </w:p>
        </w:tc>
        <w:tc>
          <w:tcPr>
            <w:tcW w:w="10080" w:type="dxa"/>
            <w:vAlign w:val="bottom"/>
            <w:tcBorders>
              <w:bottom w:val="single" w:sz="8" w:color="61656A"/>
            </w:tcBorders>
          </w:tcPr>
          <w:p>
            <w:pPr>
              <w:ind w:left="360"/>
              <w:spacing w:after="0"/>
              <w:rPr>
                <w:rFonts w:ascii="Arial" w:cs="Arial" w:eastAsia="Arial" w:hAnsi="Arial"/>
                <w:sz w:val="14"/>
                <w:szCs w:val="14"/>
                <w:color w:val="auto"/>
              </w:rPr>
            </w:pPr>
            <w:hyperlink r:id="rId276">
              <w:r>
                <w:rPr>
                  <w:rFonts w:ascii="Arial" w:cs="Arial" w:eastAsia="Arial" w:hAnsi="Arial"/>
                  <w:sz w:val="14"/>
                  <w:szCs w:val="14"/>
                  <w:color w:val="auto"/>
                </w:rPr>
                <w:t>Honeywell’s Form 10-K for the year ended December 31, 2020)</w:t>
              </w:r>
            </w:hyperlink>
          </w:p>
        </w:tc>
      </w:tr>
      <w:tr>
        <w:trPr>
          <w:trHeight w:val="146"/>
        </w:trPr>
        <w:tc>
          <w:tcPr>
            <w:tcW w:w="1160" w:type="dxa"/>
            <w:vAlign w:val="bottom"/>
          </w:tcPr>
          <w:p>
            <w:pPr>
              <w:ind w:left="20"/>
              <w:spacing w:after="0" w:line="147" w:lineRule="exact"/>
              <w:rPr>
                <w:sz w:val="20"/>
                <w:szCs w:val="20"/>
                <w:color w:val="auto"/>
              </w:rPr>
            </w:pPr>
            <w:r>
              <w:rPr>
                <w:rFonts w:ascii="Arial" w:cs="Arial" w:eastAsia="Arial" w:hAnsi="Arial"/>
                <w:sz w:val="14"/>
                <w:szCs w:val="14"/>
                <w:color w:val="auto"/>
              </w:rPr>
              <w:t>10.9*</w:t>
            </w:r>
          </w:p>
        </w:tc>
        <w:tc>
          <w:tcPr>
            <w:tcW w:w="10080" w:type="dxa"/>
            <w:vAlign w:val="bottom"/>
          </w:tcPr>
          <w:p>
            <w:pPr>
              <w:ind w:left="360"/>
              <w:spacing w:after="0" w:line="147" w:lineRule="exact"/>
              <w:rPr>
                <w:rFonts w:ascii="Arial" w:cs="Arial" w:eastAsia="Arial" w:hAnsi="Arial"/>
                <w:sz w:val="14"/>
                <w:szCs w:val="14"/>
                <w:color w:val="auto"/>
              </w:rPr>
            </w:pPr>
            <w:hyperlink r:id="rId272">
              <w:r>
                <w:rPr>
                  <w:rFonts w:ascii="Arial" w:cs="Arial" w:eastAsia="Arial" w:hAnsi="Arial"/>
                  <w:sz w:val="14"/>
                  <w:szCs w:val="14"/>
                  <w:color w:val="auto"/>
                </w:rPr>
                <w:t>Omnibus Amendment to Honeywell Excess Benefit Plan and Honeywell Supplemental Savings Plan, as amended and restated (incorporated by</w:t>
              </w:r>
            </w:hyperlink>
          </w:p>
        </w:tc>
      </w:tr>
      <w:tr>
        <w:trPr>
          <w:trHeight w:val="185"/>
        </w:trPr>
        <w:tc>
          <w:tcPr>
            <w:tcW w:w="1160" w:type="dxa"/>
            <w:vAlign w:val="bottom"/>
            <w:tcBorders>
              <w:bottom w:val="single" w:sz="8" w:color="61656A"/>
            </w:tcBorders>
          </w:tcPr>
          <w:p>
            <w:pPr>
              <w:spacing w:after="0"/>
              <w:rPr>
                <w:sz w:val="16"/>
                <w:szCs w:val="16"/>
                <w:color w:val="auto"/>
              </w:rPr>
            </w:pPr>
          </w:p>
        </w:tc>
        <w:tc>
          <w:tcPr>
            <w:tcW w:w="10080" w:type="dxa"/>
            <w:vAlign w:val="bottom"/>
            <w:tcBorders>
              <w:bottom w:val="single" w:sz="8" w:color="61656A"/>
            </w:tcBorders>
          </w:tcPr>
          <w:p>
            <w:pPr>
              <w:ind w:left="360"/>
              <w:spacing w:after="0"/>
              <w:rPr>
                <w:rFonts w:ascii="Arial" w:cs="Arial" w:eastAsia="Arial" w:hAnsi="Arial"/>
                <w:sz w:val="14"/>
                <w:szCs w:val="14"/>
                <w:color w:val="auto"/>
              </w:rPr>
            </w:pPr>
            <w:hyperlink r:id="rId272">
              <w:r>
                <w:rPr>
                  <w:rFonts w:ascii="Arial" w:cs="Arial" w:eastAsia="Arial" w:hAnsi="Arial"/>
                  <w:sz w:val="14"/>
                  <w:szCs w:val="14"/>
                  <w:color w:val="auto"/>
                </w:rPr>
                <w:t>reference to Exhibit 10.1 to Honeywell’s Form 10-Q for the quarter ended June 30, 2021)</w:t>
              </w:r>
            </w:hyperlink>
          </w:p>
        </w:tc>
      </w:tr>
      <w:tr>
        <w:trPr>
          <w:trHeight w:val="146"/>
        </w:trPr>
        <w:tc>
          <w:tcPr>
            <w:tcW w:w="1160" w:type="dxa"/>
            <w:vAlign w:val="bottom"/>
          </w:tcPr>
          <w:p>
            <w:pPr>
              <w:ind w:left="20"/>
              <w:spacing w:after="0" w:line="147" w:lineRule="exact"/>
              <w:rPr>
                <w:sz w:val="20"/>
                <w:szCs w:val="20"/>
                <w:color w:val="auto"/>
              </w:rPr>
            </w:pPr>
            <w:r>
              <w:rPr>
                <w:rFonts w:ascii="Arial" w:cs="Arial" w:eastAsia="Arial" w:hAnsi="Arial"/>
                <w:sz w:val="14"/>
                <w:szCs w:val="14"/>
                <w:color w:val="auto"/>
              </w:rPr>
              <w:t>10.10*</w:t>
            </w:r>
          </w:p>
        </w:tc>
        <w:tc>
          <w:tcPr>
            <w:tcW w:w="10080" w:type="dxa"/>
            <w:vAlign w:val="bottom"/>
          </w:tcPr>
          <w:p>
            <w:pPr>
              <w:ind w:left="360"/>
              <w:spacing w:after="0" w:line="147" w:lineRule="exact"/>
              <w:rPr>
                <w:rFonts w:ascii="Arial" w:cs="Arial" w:eastAsia="Arial" w:hAnsi="Arial"/>
                <w:sz w:val="14"/>
                <w:szCs w:val="14"/>
                <w:color w:val="auto"/>
              </w:rPr>
            </w:pPr>
            <w:hyperlink r:id="rId277">
              <w:r>
                <w:rPr>
                  <w:rFonts w:ascii="Arial" w:cs="Arial" w:eastAsia="Arial" w:hAnsi="Arial"/>
                  <w:sz w:val="14"/>
                  <w:szCs w:val="14"/>
                  <w:color w:val="auto"/>
                </w:rPr>
                <w:t>Honeywell International Inc. Severance Plan for Designated Officers, as amended and restated (incorporated by reference to Exhibit 10.10 to</w:t>
              </w:r>
            </w:hyperlink>
          </w:p>
        </w:tc>
      </w:tr>
      <w:tr>
        <w:trPr>
          <w:trHeight w:val="185"/>
        </w:trPr>
        <w:tc>
          <w:tcPr>
            <w:tcW w:w="1160" w:type="dxa"/>
            <w:vAlign w:val="bottom"/>
            <w:tcBorders>
              <w:bottom w:val="single" w:sz="8" w:color="61656A"/>
            </w:tcBorders>
          </w:tcPr>
          <w:p>
            <w:pPr>
              <w:spacing w:after="0"/>
              <w:rPr>
                <w:sz w:val="16"/>
                <w:szCs w:val="16"/>
                <w:color w:val="auto"/>
              </w:rPr>
            </w:pPr>
          </w:p>
        </w:tc>
        <w:tc>
          <w:tcPr>
            <w:tcW w:w="10080" w:type="dxa"/>
            <w:vAlign w:val="bottom"/>
            <w:tcBorders>
              <w:bottom w:val="single" w:sz="8" w:color="61656A"/>
            </w:tcBorders>
          </w:tcPr>
          <w:p>
            <w:pPr>
              <w:ind w:left="360"/>
              <w:spacing w:after="0"/>
              <w:rPr>
                <w:rFonts w:ascii="Arial" w:cs="Arial" w:eastAsia="Arial" w:hAnsi="Arial"/>
                <w:sz w:val="14"/>
                <w:szCs w:val="14"/>
                <w:color w:val="auto"/>
              </w:rPr>
            </w:pPr>
            <w:hyperlink r:id="rId277">
              <w:r>
                <w:rPr>
                  <w:rFonts w:ascii="Arial" w:cs="Arial" w:eastAsia="Arial" w:hAnsi="Arial"/>
                  <w:sz w:val="14"/>
                  <w:szCs w:val="14"/>
                  <w:color w:val="auto"/>
                </w:rPr>
                <w:t>Honeywell's Form 10-K for the year ended December 31, 2022)</w:t>
              </w:r>
            </w:hyperlink>
          </w:p>
        </w:tc>
      </w:tr>
      <w:tr>
        <w:trPr>
          <w:trHeight w:val="146"/>
        </w:trPr>
        <w:tc>
          <w:tcPr>
            <w:tcW w:w="1160" w:type="dxa"/>
            <w:vAlign w:val="bottom"/>
          </w:tcPr>
          <w:p>
            <w:pPr>
              <w:ind w:left="20"/>
              <w:spacing w:after="0" w:line="147" w:lineRule="exact"/>
              <w:rPr>
                <w:sz w:val="20"/>
                <w:szCs w:val="20"/>
                <w:color w:val="auto"/>
              </w:rPr>
            </w:pPr>
            <w:r>
              <w:rPr>
                <w:rFonts w:ascii="Arial" w:cs="Arial" w:eastAsia="Arial" w:hAnsi="Arial"/>
                <w:sz w:val="14"/>
                <w:szCs w:val="14"/>
                <w:color w:val="auto"/>
              </w:rPr>
              <w:t>10.11*</w:t>
            </w:r>
          </w:p>
        </w:tc>
        <w:tc>
          <w:tcPr>
            <w:tcW w:w="10080" w:type="dxa"/>
            <w:vAlign w:val="bottom"/>
          </w:tcPr>
          <w:p>
            <w:pPr>
              <w:ind w:left="360"/>
              <w:spacing w:after="0" w:line="147" w:lineRule="exact"/>
              <w:rPr>
                <w:rFonts w:ascii="Arial" w:cs="Arial" w:eastAsia="Arial" w:hAnsi="Arial"/>
                <w:sz w:val="14"/>
                <w:szCs w:val="14"/>
                <w:color w:val="auto"/>
              </w:rPr>
            </w:pPr>
            <w:hyperlink r:id="rId278">
              <w:r>
                <w:rPr>
                  <w:rFonts w:ascii="Arial" w:cs="Arial" w:eastAsia="Arial" w:hAnsi="Arial"/>
                  <w:sz w:val="14"/>
                  <w:szCs w:val="14"/>
                  <w:color w:val="auto"/>
                </w:rPr>
                <w:t>Honeywell Deferred Incentive Compensation Plan, as amended and restated (incorporated by reference to Exhibit 10.7 to Honeywell's Form 10-K for the</w:t>
              </w:r>
            </w:hyperlink>
          </w:p>
        </w:tc>
      </w:tr>
      <w:tr>
        <w:trPr>
          <w:trHeight w:val="185"/>
        </w:trPr>
        <w:tc>
          <w:tcPr>
            <w:tcW w:w="1160" w:type="dxa"/>
            <w:vAlign w:val="bottom"/>
            <w:tcBorders>
              <w:bottom w:val="single" w:sz="8" w:color="61656A"/>
            </w:tcBorders>
          </w:tcPr>
          <w:p>
            <w:pPr>
              <w:spacing w:after="0"/>
              <w:rPr>
                <w:sz w:val="16"/>
                <w:szCs w:val="16"/>
                <w:color w:val="auto"/>
              </w:rPr>
            </w:pPr>
          </w:p>
        </w:tc>
        <w:tc>
          <w:tcPr>
            <w:tcW w:w="10080" w:type="dxa"/>
            <w:vAlign w:val="bottom"/>
            <w:tcBorders>
              <w:bottom w:val="single" w:sz="8" w:color="61656A"/>
            </w:tcBorders>
          </w:tcPr>
          <w:p>
            <w:pPr>
              <w:ind w:left="360"/>
              <w:spacing w:after="0"/>
              <w:rPr>
                <w:rFonts w:ascii="Arial" w:cs="Arial" w:eastAsia="Arial" w:hAnsi="Arial"/>
                <w:sz w:val="14"/>
                <w:szCs w:val="14"/>
                <w:color w:val="auto"/>
              </w:rPr>
            </w:pPr>
            <w:hyperlink r:id="rId278">
              <w:r>
                <w:rPr>
                  <w:rFonts w:ascii="Arial" w:cs="Arial" w:eastAsia="Arial" w:hAnsi="Arial"/>
                  <w:sz w:val="14"/>
                  <w:szCs w:val="14"/>
                  <w:color w:val="auto"/>
                </w:rPr>
                <w:t>year ended December 31, 2020)</w:t>
              </w:r>
            </w:hyperlink>
          </w:p>
        </w:tc>
      </w:tr>
      <w:tr>
        <w:trPr>
          <w:trHeight w:val="146"/>
        </w:trPr>
        <w:tc>
          <w:tcPr>
            <w:tcW w:w="1160" w:type="dxa"/>
            <w:vAlign w:val="bottom"/>
          </w:tcPr>
          <w:p>
            <w:pPr>
              <w:ind w:left="20"/>
              <w:spacing w:after="0" w:line="147" w:lineRule="exact"/>
              <w:rPr>
                <w:sz w:val="20"/>
                <w:szCs w:val="20"/>
                <w:color w:val="auto"/>
              </w:rPr>
            </w:pPr>
            <w:r>
              <w:rPr>
                <w:rFonts w:ascii="Arial" w:cs="Arial" w:eastAsia="Arial" w:hAnsi="Arial"/>
                <w:sz w:val="14"/>
                <w:szCs w:val="14"/>
                <w:color w:val="auto"/>
              </w:rPr>
              <w:t>10.12*</w:t>
            </w:r>
          </w:p>
        </w:tc>
        <w:tc>
          <w:tcPr>
            <w:tcW w:w="10080" w:type="dxa"/>
            <w:vAlign w:val="bottom"/>
          </w:tcPr>
          <w:p>
            <w:pPr>
              <w:ind w:left="360"/>
              <w:spacing w:after="0" w:line="147" w:lineRule="exact"/>
              <w:rPr>
                <w:rFonts w:ascii="Arial" w:cs="Arial" w:eastAsia="Arial" w:hAnsi="Arial"/>
                <w:sz w:val="14"/>
                <w:szCs w:val="14"/>
                <w:color w:val="auto"/>
              </w:rPr>
            </w:pPr>
            <w:hyperlink r:id="rId275">
              <w:r>
                <w:rPr>
                  <w:rFonts w:ascii="Arial" w:cs="Arial" w:eastAsia="Arial" w:hAnsi="Arial"/>
                  <w:sz w:val="14"/>
                  <w:szCs w:val="14"/>
                  <w:color w:val="auto"/>
                </w:rPr>
                <w:t>Omnibus Amendment to Honeywell Deferred Incentive Compensation Plan, as amended and restated (incorporated by reference to Exhibit 10.1 to</w:t>
              </w:r>
            </w:hyperlink>
          </w:p>
        </w:tc>
      </w:tr>
      <w:tr>
        <w:trPr>
          <w:trHeight w:val="185"/>
        </w:trPr>
        <w:tc>
          <w:tcPr>
            <w:tcW w:w="1160" w:type="dxa"/>
            <w:vAlign w:val="bottom"/>
            <w:tcBorders>
              <w:bottom w:val="single" w:sz="8" w:color="61656A"/>
            </w:tcBorders>
          </w:tcPr>
          <w:p>
            <w:pPr>
              <w:spacing w:after="0"/>
              <w:rPr>
                <w:sz w:val="16"/>
                <w:szCs w:val="16"/>
                <w:color w:val="auto"/>
              </w:rPr>
            </w:pPr>
          </w:p>
        </w:tc>
        <w:tc>
          <w:tcPr>
            <w:tcW w:w="10080" w:type="dxa"/>
            <w:vAlign w:val="bottom"/>
            <w:tcBorders>
              <w:bottom w:val="single" w:sz="8" w:color="61656A"/>
            </w:tcBorders>
          </w:tcPr>
          <w:p>
            <w:pPr>
              <w:ind w:left="360"/>
              <w:spacing w:after="0"/>
              <w:rPr>
                <w:rFonts w:ascii="Arial" w:cs="Arial" w:eastAsia="Arial" w:hAnsi="Arial"/>
                <w:sz w:val="14"/>
                <w:szCs w:val="14"/>
                <w:color w:val="auto"/>
              </w:rPr>
            </w:pPr>
            <w:hyperlink r:id="rId275">
              <w:r>
                <w:rPr>
                  <w:rFonts w:ascii="Arial" w:cs="Arial" w:eastAsia="Arial" w:hAnsi="Arial"/>
                  <w:sz w:val="14"/>
                  <w:szCs w:val="14"/>
                  <w:color w:val="auto"/>
                </w:rPr>
                <w:t>Honeywell’s Form 10-Q for the quarter ended June 30, 2021)</w:t>
              </w:r>
            </w:hyperlink>
          </w:p>
        </w:tc>
      </w:tr>
      <w:tr>
        <w:trPr>
          <w:trHeight w:val="146"/>
        </w:trPr>
        <w:tc>
          <w:tcPr>
            <w:tcW w:w="1160" w:type="dxa"/>
            <w:vAlign w:val="bottom"/>
          </w:tcPr>
          <w:p>
            <w:pPr>
              <w:ind w:left="20"/>
              <w:spacing w:after="0" w:line="147" w:lineRule="exact"/>
              <w:rPr>
                <w:sz w:val="20"/>
                <w:szCs w:val="20"/>
                <w:color w:val="auto"/>
              </w:rPr>
            </w:pPr>
            <w:r>
              <w:rPr>
                <w:rFonts w:ascii="Arial" w:cs="Arial" w:eastAsia="Arial" w:hAnsi="Arial"/>
                <w:sz w:val="14"/>
                <w:szCs w:val="14"/>
                <w:color w:val="auto"/>
              </w:rPr>
              <w:t>10.13*</w:t>
            </w:r>
          </w:p>
        </w:tc>
        <w:tc>
          <w:tcPr>
            <w:tcW w:w="10080" w:type="dxa"/>
            <w:vAlign w:val="bottom"/>
          </w:tcPr>
          <w:p>
            <w:pPr>
              <w:ind w:left="360"/>
              <w:spacing w:after="0" w:line="147" w:lineRule="exact"/>
              <w:rPr>
                <w:rFonts w:ascii="Arial" w:cs="Arial" w:eastAsia="Arial" w:hAnsi="Arial"/>
                <w:sz w:val="14"/>
                <w:szCs w:val="14"/>
                <w:color w:val="auto"/>
              </w:rPr>
            </w:pPr>
            <w:hyperlink r:id="rId279">
              <w:r>
                <w:rPr>
                  <w:rFonts w:ascii="Arial" w:cs="Arial" w:eastAsia="Arial" w:hAnsi="Arial"/>
                  <w:sz w:val="14"/>
                  <w:szCs w:val="14"/>
                  <w:color w:val="auto"/>
                </w:rPr>
                <w:t>Honeywell International Inc. Supplemental Pension Plan, as amended and restated (incorporated by reference to Exhibit 10.10 to Honeywell’s Form 10-</w:t>
              </w:r>
            </w:hyperlink>
          </w:p>
        </w:tc>
      </w:tr>
      <w:tr>
        <w:trPr>
          <w:trHeight w:val="185"/>
        </w:trPr>
        <w:tc>
          <w:tcPr>
            <w:tcW w:w="1160" w:type="dxa"/>
            <w:vAlign w:val="bottom"/>
            <w:tcBorders>
              <w:bottom w:val="single" w:sz="8" w:color="61656A"/>
            </w:tcBorders>
          </w:tcPr>
          <w:p>
            <w:pPr>
              <w:spacing w:after="0"/>
              <w:rPr>
                <w:sz w:val="16"/>
                <w:szCs w:val="16"/>
                <w:color w:val="auto"/>
              </w:rPr>
            </w:pPr>
          </w:p>
        </w:tc>
        <w:tc>
          <w:tcPr>
            <w:tcW w:w="10080" w:type="dxa"/>
            <w:vAlign w:val="bottom"/>
            <w:tcBorders>
              <w:bottom w:val="single" w:sz="8" w:color="61656A"/>
            </w:tcBorders>
          </w:tcPr>
          <w:p>
            <w:pPr>
              <w:ind w:left="360"/>
              <w:spacing w:after="0"/>
              <w:rPr>
                <w:rFonts w:ascii="Arial" w:cs="Arial" w:eastAsia="Arial" w:hAnsi="Arial"/>
                <w:sz w:val="14"/>
                <w:szCs w:val="14"/>
                <w:color w:val="auto"/>
              </w:rPr>
            </w:pPr>
            <w:hyperlink r:id="rId279">
              <w:r>
                <w:rPr>
                  <w:rFonts w:ascii="Arial" w:cs="Arial" w:eastAsia="Arial" w:hAnsi="Arial"/>
                  <w:sz w:val="14"/>
                  <w:szCs w:val="14"/>
                  <w:color w:val="auto"/>
                </w:rPr>
                <w:t>K for the year ended December 31, 2008)</w:t>
              </w:r>
            </w:hyperlink>
          </w:p>
        </w:tc>
      </w:tr>
      <w:tr>
        <w:trPr>
          <w:trHeight w:val="146"/>
        </w:trPr>
        <w:tc>
          <w:tcPr>
            <w:tcW w:w="1160" w:type="dxa"/>
            <w:vAlign w:val="bottom"/>
          </w:tcPr>
          <w:p>
            <w:pPr>
              <w:ind w:left="20"/>
              <w:spacing w:after="0" w:line="147" w:lineRule="exact"/>
              <w:rPr>
                <w:sz w:val="20"/>
                <w:szCs w:val="20"/>
                <w:color w:val="auto"/>
              </w:rPr>
            </w:pPr>
            <w:r>
              <w:rPr>
                <w:rFonts w:ascii="Arial" w:cs="Arial" w:eastAsia="Arial" w:hAnsi="Arial"/>
                <w:sz w:val="14"/>
                <w:szCs w:val="14"/>
                <w:color w:val="auto"/>
              </w:rPr>
              <w:t>10.14*</w:t>
            </w:r>
          </w:p>
        </w:tc>
        <w:tc>
          <w:tcPr>
            <w:tcW w:w="10080" w:type="dxa"/>
            <w:vAlign w:val="bottom"/>
          </w:tcPr>
          <w:p>
            <w:pPr>
              <w:ind w:left="360"/>
              <w:spacing w:after="0" w:line="147" w:lineRule="exact"/>
              <w:rPr>
                <w:rFonts w:ascii="Arial" w:cs="Arial" w:eastAsia="Arial" w:hAnsi="Arial"/>
                <w:sz w:val="14"/>
                <w:szCs w:val="14"/>
                <w:color w:val="auto"/>
              </w:rPr>
            </w:pPr>
            <w:hyperlink r:id="rId280">
              <w:r>
                <w:rPr>
                  <w:rFonts w:ascii="Arial" w:cs="Arial" w:eastAsia="Arial" w:hAnsi="Arial"/>
                  <w:sz w:val="14"/>
                  <w:szCs w:val="14"/>
                  <w:color w:val="auto"/>
                </w:rPr>
                <w:t>Amendment to Honeywell International Inc. Supplemental Pension Plan, as amended and restated (incorporated by reference to Exhibit 10.10 to</w:t>
              </w:r>
            </w:hyperlink>
          </w:p>
        </w:tc>
      </w:tr>
      <w:tr>
        <w:trPr>
          <w:trHeight w:val="185"/>
        </w:trPr>
        <w:tc>
          <w:tcPr>
            <w:tcW w:w="1160" w:type="dxa"/>
            <w:vAlign w:val="bottom"/>
            <w:tcBorders>
              <w:bottom w:val="single" w:sz="8" w:color="61656A"/>
            </w:tcBorders>
          </w:tcPr>
          <w:p>
            <w:pPr>
              <w:spacing w:after="0"/>
              <w:rPr>
                <w:sz w:val="16"/>
                <w:szCs w:val="16"/>
                <w:color w:val="auto"/>
              </w:rPr>
            </w:pPr>
          </w:p>
        </w:tc>
        <w:tc>
          <w:tcPr>
            <w:tcW w:w="10080" w:type="dxa"/>
            <w:vAlign w:val="bottom"/>
            <w:tcBorders>
              <w:bottom w:val="single" w:sz="8" w:color="61656A"/>
            </w:tcBorders>
          </w:tcPr>
          <w:p>
            <w:pPr>
              <w:ind w:left="360"/>
              <w:spacing w:after="0"/>
              <w:rPr>
                <w:rFonts w:ascii="Arial" w:cs="Arial" w:eastAsia="Arial" w:hAnsi="Arial"/>
                <w:sz w:val="14"/>
                <w:szCs w:val="14"/>
                <w:color w:val="auto"/>
              </w:rPr>
            </w:pPr>
            <w:hyperlink r:id="rId280">
              <w:r>
                <w:rPr>
                  <w:rFonts w:ascii="Arial" w:cs="Arial" w:eastAsia="Arial" w:hAnsi="Arial"/>
                  <w:sz w:val="14"/>
                  <w:szCs w:val="14"/>
                  <w:color w:val="auto"/>
                </w:rPr>
                <w:t>Honeywell’s Form 10-K for the year ended December 31, 2009)</w:t>
              </w:r>
            </w:hyperlink>
          </w:p>
        </w:tc>
      </w:tr>
      <w:tr>
        <w:trPr>
          <w:trHeight w:val="146"/>
        </w:trPr>
        <w:tc>
          <w:tcPr>
            <w:tcW w:w="1160" w:type="dxa"/>
            <w:vAlign w:val="bottom"/>
          </w:tcPr>
          <w:p>
            <w:pPr>
              <w:ind w:left="20"/>
              <w:spacing w:after="0" w:line="147" w:lineRule="exact"/>
              <w:rPr>
                <w:sz w:val="20"/>
                <w:szCs w:val="20"/>
                <w:color w:val="auto"/>
              </w:rPr>
            </w:pPr>
            <w:r>
              <w:rPr>
                <w:rFonts w:ascii="Arial" w:cs="Arial" w:eastAsia="Arial" w:hAnsi="Arial"/>
                <w:sz w:val="14"/>
                <w:szCs w:val="14"/>
                <w:color w:val="auto"/>
              </w:rPr>
              <w:t>10.15*</w:t>
            </w:r>
          </w:p>
        </w:tc>
        <w:tc>
          <w:tcPr>
            <w:tcW w:w="10080" w:type="dxa"/>
            <w:vAlign w:val="bottom"/>
          </w:tcPr>
          <w:p>
            <w:pPr>
              <w:ind w:left="360"/>
              <w:spacing w:after="0" w:line="147" w:lineRule="exact"/>
              <w:rPr>
                <w:rFonts w:ascii="Arial" w:cs="Arial" w:eastAsia="Arial" w:hAnsi="Arial"/>
                <w:sz w:val="14"/>
                <w:szCs w:val="14"/>
                <w:color w:val="auto"/>
              </w:rPr>
            </w:pPr>
            <w:hyperlink r:id="rId281">
              <w:r>
                <w:rPr>
                  <w:rFonts w:ascii="Arial" w:cs="Arial" w:eastAsia="Arial" w:hAnsi="Arial"/>
                  <w:sz w:val="14"/>
                  <w:szCs w:val="14"/>
                  <w:color w:val="auto"/>
                </w:rPr>
                <w:t>Amendment to Honeywell International Inc. Supplemental Pension Plan, as amended and restated (incorporated by reference to Exhibit 10.7 to</w:t>
              </w:r>
            </w:hyperlink>
          </w:p>
        </w:tc>
      </w:tr>
      <w:tr>
        <w:trPr>
          <w:trHeight w:val="185"/>
        </w:trPr>
        <w:tc>
          <w:tcPr>
            <w:tcW w:w="1160" w:type="dxa"/>
            <w:vAlign w:val="bottom"/>
            <w:tcBorders>
              <w:bottom w:val="single" w:sz="8" w:color="61656A"/>
            </w:tcBorders>
          </w:tcPr>
          <w:p>
            <w:pPr>
              <w:spacing w:after="0"/>
              <w:rPr>
                <w:sz w:val="16"/>
                <w:szCs w:val="16"/>
                <w:color w:val="auto"/>
              </w:rPr>
            </w:pPr>
          </w:p>
        </w:tc>
        <w:tc>
          <w:tcPr>
            <w:tcW w:w="10080" w:type="dxa"/>
            <w:vAlign w:val="bottom"/>
            <w:tcBorders>
              <w:bottom w:val="single" w:sz="8" w:color="61656A"/>
            </w:tcBorders>
          </w:tcPr>
          <w:p>
            <w:pPr>
              <w:ind w:left="360"/>
              <w:spacing w:after="0"/>
              <w:rPr>
                <w:rFonts w:ascii="Arial" w:cs="Arial" w:eastAsia="Arial" w:hAnsi="Arial"/>
                <w:sz w:val="14"/>
                <w:szCs w:val="14"/>
                <w:color w:val="auto"/>
              </w:rPr>
            </w:pPr>
            <w:hyperlink r:id="rId281">
              <w:r>
                <w:rPr>
                  <w:rFonts w:ascii="Arial" w:cs="Arial" w:eastAsia="Arial" w:hAnsi="Arial"/>
                  <w:sz w:val="14"/>
                  <w:szCs w:val="14"/>
                  <w:color w:val="auto"/>
                </w:rPr>
                <w:t>Honeywell’s Form 10-K for the year ended December 31, 2015)</w:t>
              </w:r>
            </w:hyperlink>
          </w:p>
        </w:tc>
      </w:tr>
      <w:tr>
        <w:trPr>
          <w:trHeight w:val="146"/>
        </w:trPr>
        <w:tc>
          <w:tcPr>
            <w:tcW w:w="1160" w:type="dxa"/>
            <w:vAlign w:val="bottom"/>
          </w:tcPr>
          <w:p>
            <w:pPr>
              <w:ind w:left="20"/>
              <w:spacing w:after="0" w:line="147" w:lineRule="exact"/>
              <w:rPr>
                <w:sz w:val="20"/>
                <w:szCs w:val="20"/>
                <w:color w:val="auto"/>
              </w:rPr>
            </w:pPr>
            <w:r>
              <w:rPr>
                <w:rFonts w:ascii="Arial" w:cs="Arial" w:eastAsia="Arial" w:hAnsi="Arial"/>
                <w:sz w:val="14"/>
                <w:szCs w:val="14"/>
                <w:color w:val="auto"/>
              </w:rPr>
              <w:t>10.16*</w:t>
            </w:r>
          </w:p>
        </w:tc>
        <w:tc>
          <w:tcPr>
            <w:tcW w:w="10080" w:type="dxa"/>
            <w:vAlign w:val="bottom"/>
          </w:tcPr>
          <w:p>
            <w:pPr>
              <w:ind w:left="360"/>
              <w:spacing w:after="0" w:line="147" w:lineRule="exact"/>
              <w:rPr>
                <w:rFonts w:ascii="Arial" w:cs="Arial" w:eastAsia="Arial" w:hAnsi="Arial"/>
                <w:sz w:val="14"/>
                <w:szCs w:val="14"/>
                <w:color w:val="auto"/>
              </w:rPr>
            </w:pPr>
            <w:hyperlink r:id="rId282">
              <w:r>
                <w:rPr>
                  <w:rFonts w:ascii="Arial" w:cs="Arial" w:eastAsia="Arial" w:hAnsi="Arial"/>
                  <w:sz w:val="14"/>
                  <w:szCs w:val="14"/>
                  <w:color w:val="auto"/>
                </w:rPr>
                <w:t>Honeywell International Inc. Supplemental Executive Retirement Plan for Executives in Career Band 6 and Above, as amended and restated</w:t>
              </w:r>
            </w:hyperlink>
          </w:p>
        </w:tc>
      </w:tr>
      <w:tr>
        <w:trPr>
          <w:trHeight w:val="185"/>
        </w:trPr>
        <w:tc>
          <w:tcPr>
            <w:tcW w:w="1160" w:type="dxa"/>
            <w:vAlign w:val="bottom"/>
            <w:tcBorders>
              <w:bottom w:val="single" w:sz="8" w:color="61656A"/>
            </w:tcBorders>
          </w:tcPr>
          <w:p>
            <w:pPr>
              <w:spacing w:after="0"/>
              <w:rPr>
                <w:sz w:val="16"/>
                <w:szCs w:val="16"/>
                <w:color w:val="auto"/>
              </w:rPr>
            </w:pPr>
          </w:p>
        </w:tc>
        <w:tc>
          <w:tcPr>
            <w:tcW w:w="10080" w:type="dxa"/>
            <w:vAlign w:val="bottom"/>
            <w:tcBorders>
              <w:bottom w:val="single" w:sz="8" w:color="61656A"/>
            </w:tcBorders>
          </w:tcPr>
          <w:p>
            <w:pPr>
              <w:ind w:left="360"/>
              <w:spacing w:after="0"/>
              <w:rPr>
                <w:rFonts w:ascii="Arial" w:cs="Arial" w:eastAsia="Arial" w:hAnsi="Arial"/>
                <w:sz w:val="14"/>
                <w:szCs w:val="14"/>
                <w:color w:val="auto"/>
              </w:rPr>
            </w:pPr>
            <w:hyperlink r:id="rId282">
              <w:r>
                <w:rPr>
                  <w:rFonts w:ascii="Arial" w:cs="Arial" w:eastAsia="Arial" w:hAnsi="Arial"/>
                  <w:sz w:val="14"/>
                  <w:szCs w:val="14"/>
                  <w:color w:val="auto"/>
                </w:rPr>
                <w:t>(incorporated by reference to Exhibit 10.12 to Honeywell’s Form 10-K for the year ended December 31, 2008)</w:t>
              </w:r>
            </w:hyperlink>
          </w:p>
        </w:tc>
      </w:tr>
      <w:tr>
        <w:trPr>
          <w:trHeight w:val="146"/>
        </w:trPr>
        <w:tc>
          <w:tcPr>
            <w:tcW w:w="1160" w:type="dxa"/>
            <w:vAlign w:val="bottom"/>
          </w:tcPr>
          <w:p>
            <w:pPr>
              <w:ind w:left="20"/>
              <w:spacing w:after="0" w:line="147" w:lineRule="exact"/>
              <w:rPr>
                <w:sz w:val="20"/>
                <w:szCs w:val="20"/>
                <w:color w:val="auto"/>
              </w:rPr>
            </w:pPr>
            <w:r>
              <w:rPr>
                <w:rFonts w:ascii="Arial" w:cs="Arial" w:eastAsia="Arial" w:hAnsi="Arial"/>
                <w:sz w:val="14"/>
                <w:szCs w:val="14"/>
                <w:color w:val="auto"/>
              </w:rPr>
              <w:t>10.17*</w:t>
            </w:r>
          </w:p>
        </w:tc>
        <w:tc>
          <w:tcPr>
            <w:tcW w:w="10080" w:type="dxa"/>
            <w:vAlign w:val="bottom"/>
          </w:tcPr>
          <w:p>
            <w:pPr>
              <w:ind w:left="360"/>
              <w:spacing w:after="0" w:line="147" w:lineRule="exact"/>
              <w:rPr>
                <w:rFonts w:ascii="Arial" w:cs="Arial" w:eastAsia="Arial" w:hAnsi="Arial"/>
                <w:sz w:val="14"/>
                <w:szCs w:val="14"/>
                <w:color w:val="auto"/>
              </w:rPr>
            </w:pPr>
            <w:hyperlink r:id="rId283">
              <w:r>
                <w:rPr>
                  <w:rFonts w:ascii="Arial" w:cs="Arial" w:eastAsia="Arial" w:hAnsi="Arial"/>
                  <w:sz w:val="14"/>
                  <w:szCs w:val="14"/>
                  <w:color w:val="auto"/>
                </w:rPr>
                <w:t>Amendment to Honeywell International Inc. Supplemental Executive Retirement Plan for Executives in Career Band 6 and Above, as amended and</w:t>
              </w:r>
            </w:hyperlink>
          </w:p>
        </w:tc>
      </w:tr>
      <w:tr>
        <w:trPr>
          <w:trHeight w:val="185"/>
        </w:trPr>
        <w:tc>
          <w:tcPr>
            <w:tcW w:w="1160" w:type="dxa"/>
            <w:vAlign w:val="bottom"/>
            <w:tcBorders>
              <w:bottom w:val="single" w:sz="8" w:color="61656A"/>
            </w:tcBorders>
          </w:tcPr>
          <w:p>
            <w:pPr>
              <w:spacing w:after="0"/>
              <w:rPr>
                <w:sz w:val="16"/>
                <w:szCs w:val="16"/>
                <w:color w:val="auto"/>
              </w:rPr>
            </w:pPr>
          </w:p>
        </w:tc>
        <w:tc>
          <w:tcPr>
            <w:tcW w:w="10080" w:type="dxa"/>
            <w:vAlign w:val="bottom"/>
            <w:tcBorders>
              <w:bottom w:val="single" w:sz="8" w:color="61656A"/>
            </w:tcBorders>
          </w:tcPr>
          <w:p>
            <w:pPr>
              <w:ind w:left="360"/>
              <w:spacing w:after="0"/>
              <w:rPr>
                <w:rFonts w:ascii="Arial" w:cs="Arial" w:eastAsia="Arial" w:hAnsi="Arial"/>
                <w:sz w:val="14"/>
                <w:szCs w:val="14"/>
                <w:color w:val="auto"/>
              </w:rPr>
            </w:pPr>
            <w:hyperlink r:id="rId283">
              <w:r>
                <w:rPr>
                  <w:rFonts w:ascii="Arial" w:cs="Arial" w:eastAsia="Arial" w:hAnsi="Arial"/>
                  <w:sz w:val="14"/>
                  <w:szCs w:val="14"/>
                  <w:color w:val="auto"/>
                </w:rPr>
                <w:t>restated (incorporated by reference to Exhibit 10.12 to Honeywell’s Form 10-K for the year ended December 31, 2009)</w:t>
              </w:r>
            </w:hyperlink>
          </w:p>
        </w:tc>
      </w:tr>
      <w:tr>
        <w:trPr>
          <w:trHeight w:val="146"/>
        </w:trPr>
        <w:tc>
          <w:tcPr>
            <w:tcW w:w="1160" w:type="dxa"/>
            <w:vAlign w:val="bottom"/>
          </w:tcPr>
          <w:p>
            <w:pPr>
              <w:ind w:left="20"/>
              <w:spacing w:after="0" w:line="147" w:lineRule="exact"/>
              <w:rPr>
                <w:sz w:val="20"/>
                <w:szCs w:val="20"/>
                <w:color w:val="auto"/>
              </w:rPr>
            </w:pPr>
            <w:r>
              <w:rPr>
                <w:rFonts w:ascii="Arial" w:cs="Arial" w:eastAsia="Arial" w:hAnsi="Arial"/>
                <w:sz w:val="14"/>
                <w:szCs w:val="14"/>
                <w:color w:val="auto"/>
              </w:rPr>
              <w:t>10.18*</w:t>
            </w:r>
          </w:p>
        </w:tc>
        <w:tc>
          <w:tcPr>
            <w:tcW w:w="10080" w:type="dxa"/>
            <w:vAlign w:val="bottom"/>
          </w:tcPr>
          <w:p>
            <w:pPr>
              <w:ind w:left="360"/>
              <w:spacing w:after="0" w:line="147" w:lineRule="exact"/>
              <w:rPr>
                <w:rFonts w:ascii="Arial" w:cs="Arial" w:eastAsia="Arial" w:hAnsi="Arial"/>
                <w:sz w:val="14"/>
                <w:szCs w:val="14"/>
                <w:color w:val="auto"/>
              </w:rPr>
            </w:pPr>
            <w:hyperlink r:id="rId284">
              <w:r>
                <w:rPr>
                  <w:rFonts w:ascii="Arial" w:cs="Arial" w:eastAsia="Arial" w:hAnsi="Arial"/>
                  <w:sz w:val="14"/>
                  <w:szCs w:val="14"/>
                  <w:color w:val="auto"/>
                </w:rPr>
                <w:t>Amendment to Honeywell International Inc. Supplemental Executive Retirement Plan for Executives in Career Band 6 and Above, as amended and</w:t>
              </w:r>
            </w:hyperlink>
          </w:p>
        </w:tc>
      </w:tr>
      <w:tr>
        <w:trPr>
          <w:trHeight w:val="185"/>
        </w:trPr>
        <w:tc>
          <w:tcPr>
            <w:tcW w:w="1160" w:type="dxa"/>
            <w:vAlign w:val="bottom"/>
            <w:tcBorders>
              <w:bottom w:val="single" w:sz="8" w:color="61656A"/>
            </w:tcBorders>
          </w:tcPr>
          <w:p>
            <w:pPr>
              <w:spacing w:after="0"/>
              <w:rPr>
                <w:sz w:val="16"/>
                <w:szCs w:val="16"/>
                <w:color w:val="auto"/>
              </w:rPr>
            </w:pPr>
          </w:p>
        </w:tc>
        <w:tc>
          <w:tcPr>
            <w:tcW w:w="10080" w:type="dxa"/>
            <w:vAlign w:val="bottom"/>
            <w:tcBorders>
              <w:bottom w:val="single" w:sz="8" w:color="61656A"/>
            </w:tcBorders>
          </w:tcPr>
          <w:p>
            <w:pPr>
              <w:ind w:left="360"/>
              <w:spacing w:after="0"/>
              <w:rPr>
                <w:rFonts w:ascii="Arial" w:cs="Arial" w:eastAsia="Arial" w:hAnsi="Arial"/>
                <w:sz w:val="14"/>
                <w:szCs w:val="14"/>
                <w:color w:val="auto"/>
              </w:rPr>
            </w:pPr>
            <w:hyperlink r:id="rId284">
              <w:r>
                <w:rPr>
                  <w:rFonts w:ascii="Arial" w:cs="Arial" w:eastAsia="Arial" w:hAnsi="Arial"/>
                  <w:sz w:val="14"/>
                  <w:szCs w:val="14"/>
                  <w:color w:val="auto"/>
                </w:rPr>
                <w:t>restated (incorporated by reference to Exhibit 10.9 to Honeywell’s Form 10-K for the year ended December 31, 2013)</w:t>
              </w:r>
            </w:hyperlink>
          </w:p>
        </w:tc>
      </w:tr>
      <w:tr>
        <w:trPr>
          <w:trHeight w:val="146"/>
        </w:trPr>
        <w:tc>
          <w:tcPr>
            <w:tcW w:w="1160" w:type="dxa"/>
            <w:vAlign w:val="bottom"/>
          </w:tcPr>
          <w:p>
            <w:pPr>
              <w:ind w:left="20"/>
              <w:spacing w:after="0" w:line="147" w:lineRule="exact"/>
              <w:rPr>
                <w:sz w:val="20"/>
                <w:szCs w:val="20"/>
                <w:color w:val="auto"/>
              </w:rPr>
            </w:pPr>
            <w:r>
              <w:rPr>
                <w:rFonts w:ascii="Arial" w:cs="Arial" w:eastAsia="Arial" w:hAnsi="Arial"/>
                <w:sz w:val="14"/>
                <w:szCs w:val="14"/>
                <w:color w:val="auto"/>
              </w:rPr>
              <w:t>10.19*</w:t>
            </w:r>
          </w:p>
        </w:tc>
        <w:tc>
          <w:tcPr>
            <w:tcW w:w="10080" w:type="dxa"/>
            <w:vAlign w:val="bottom"/>
          </w:tcPr>
          <w:p>
            <w:pPr>
              <w:ind w:left="360"/>
              <w:spacing w:after="0" w:line="147" w:lineRule="exact"/>
              <w:rPr>
                <w:rFonts w:ascii="Arial" w:cs="Arial" w:eastAsia="Arial" w:hAnsi="Arial"/>
                <w:sz w:val="14"/>
                <w:szCs w:val="14"/>
                <w:color w:val="auto"/>
              </w:rPr>
            </w:pPr>
            <w:hyperlink r:id="rId285">
              <w:r>
                <w:rPr>
                  <w:rFonts w:ascii="Arial" w:cs="Arial" w:eastAsia="Arial" w:hAnsi="Arial"/>
                  <w:sz w:val="14"/>
                  <w:szCs w:val="14"/>
                  <w:color w:val="auto"/>
                </w:rPr>
                <w:t>Amendment to Honeywell International Inc. Supplemental Executive Retirement Plan for Executives in Career Band 6 and Above, as amended and</w:t>
              </w:r>
            </w:hyperlink>
          </w:p>
        </w:tc>
      </w:tr>
      <w:tr>
        <w:trPr>
          <w:trHeight w:val="185"/>
        </w:trPr>
        <w:tc>
          <w:tcPr>
            <w:tcW w:w="1160" w:type="dxa"/>
            <w:vAlign w:val="bottom"/>
            <w:tcBorders>
              <w:bottom w:val="single" w:sz="8" w:color="61656A"/>
            </w:tcBorders>
          </w:tcPr>
          <w:p>
            <w:pPr>
              <w:spacing w:after="0"/>
              <w:rPr>
                <w:sz w:val="16"/>
                <w:szCs w:val="16"/>
                <w:color w:val="auto"/>
              </w:rPr>
            </w:pPr>
          </w:p>
        </w:tc>
        <w:tc>
          <w:tcPr>
            <w:tcW w:w="10080" w:type="dxa"/>
            <w:vAlign w:val="bottom"/>
            <w:tcBorders>
              <w:bottom w:val="single" w:sz="8" w:color="61656A"/>
            </w:tcBorders>
          </w:tcPr>
          <w:p>
            <w:pPr>
              <w:ind w:left="360"/>
              <w:spacing w:after="0"/>
              <w:rPr>
                <w:rFonts w:ascii="Arial" w:cs="Arial" w:eastAsia="Arial" w:hAnsi="Arial"/>
                <w:sz w:val="14"/>
                <w:szCs w:val="14"/>
                <w:color w:val="auto"/>
              </w:rPr>
            </w:pPr>
            <w:hyperlink r:id="rId285">
              <w:r>
                <w:rPr>
                  <w:rFonts w:ascii="Arial" w:cs="Arial" w:eastAsia="Arial" w:hAnsi="Arial"/>
                  <w:sz w:val="14"/>
                  <w:szCs w:val="14"/>
                  <w:color w:val="auto"/>
                </w:rPr>
                <w:t>restated (incorporated by reference to Exhibit 10.8 to Honeywell’s Form 10-K for the year ended December 31, 2015)</w:t>
              </w:r>
            </w:hyperlink>
          </w:p>
        </w:tc>
      </w:tr>
      <w:tr>
        <w:trPr>
          <w:trHeight w:val="146"/>
        </w:trPr>
        <w:tc>
          <w:tcPr>
            <w:tcW w:w="1160" w:type="dxa"/>
            <w:vAlign w:val="bottom"/>
          </w:tcPr>
          <w:p>
            <w:pPr>
              <w:ind w:left="20"/>
              <w:spacing w:after="0" w:line="147" w:lineRule="exact"/>
              <w:rPr>
                <w:sz w:val="20"/>
                <w:szCs w:val="20"/>
                <w:color w:val="auto"/>
              </w:rPr>
            </w:pPr>
            <w:r>
              <w:rPr>
                <w:rFonts w:ascii="Arial" w:cs="Arial" w:eastAsia="Arial" w:hAnsi="Arial"/>
                <w:sz w:val="14"/>
                <w:szCs w:val="14"/>
                <w:color w:val="auto"/>
              </w:rPr>
              <w:t>10.20*</w:t>
            </w:r>
          </w:p>
        </w:tc>
        <w:tc>
          <w:tcPr>
            <w:tcW w:w="10080" w:type="dxa"/>
            <w:vAlign w:val="bottom"/>
          </w:tcPr>
          <w:p>
            <w:pPr>
              <w:ind w:left="360"/>
              <w:spacing w:after="0" w:line="147" w:lineRule="exact"/>
              <w:rPr>
                <w:rFonts w:ascii="Arial" w:cs="Arial" w:eastAsia="Arial" w:hAnsi="Arial"/>
                <w:sz w:val="14"/>
                <w:szCs w:val="14"/>
                <w:color w:val="auto"/>
              </w:rPr>
            </w:pPr>
            <w:hyperlink r:id="rId286">
              <w:r>
                <w:rPr>
                  <w:rFonts w:ascii="Arial" w:cs="Arial" w:eastAsia="Arial" w:hAnsi="Arial"/>
                  <w:sz w:val="14"/>
                  <w:szCs w:val="14"/>
                  <w:color w:val="auto"/>
                </w:rPr>
                <w:t>Honeywell Supplemental Defined Benefit Retirement Plan, as amended and restated (incorporated by reference to Exhibit 10.13 to Honeywell’s Form</w:t>
              </w:r>
            </w:hyperlink>
          </w:p>
        </w:tc>
      </w:tr>
      <w:tr>
        <w:trPr>
          <w:trHeight w:val="185"/>
        </w:trPr>
        <w:tc>
          <w:tcPr>
            <w:tcW w:w="1160" w:type="dxa"/>
            <w:vAlign w:val="bottom"/>
            <w:tcBorders>
              <w:bottom w:val="single" w:sz="8" w:color="61656A"/>
            </w:tcBorders>
          </w:tcPr>
          <w:p>
            <w:pPr>
              <w:spacing w:after="0"/>
              <w:rPr>
                <w:sz w:val="16"/>
                <w:szCs w:val="16"/>
                <w:color w:val="auto"/>
              </w:rPr>
            </w:pPr>
          </w:p>
        </w:tc>
        <w:tc>
          <w:tcPr>
            <w:tcW w:w="10080" w:type="dxa"/>
            <w:vAlign w:val="bottom"/>
            <w:tcBorders>
              <w:bottom w:val="single" w:sz="8" w:color="61656A"/>
            </w:tcBorders>
          </w:tcPr>
          <w:p>
            <w:pPr>
              <w:ind w:left="360"/>
              <w:spacing w:after="0"/>
              <w:rPr>
                <w:rFonts w:ascii="Arial" w:cs="Arial" w:eastAsia="Arial" w:hAnsi="Arial"/>
                <w:sz w:val="14"/>
                <w:szCs w:val="14"/>
                <w:color w:val="auto"/>
              </w:rPr>
            </w:pPr>
            <w:hyperlink r:id="rId286">
              <w:r>
                <w:rPr>
                  <w:rFonts w:ascii="Arial" w:cs="Arial" w:eastAsia="Arial" w:hAnsi="Arial"/>
                  <w:sz w:val="14"/>
                  <w:szCs w:val="14"/>
                  <w:color w:val="auto"/>
                </w:rPr>
                <w:t>10-K for the year ended December 31, 2008)</w:t>
              </w:r>
            </w:hyperlink>
          </w:p>
        </w:tc>
      </w:tr>
      <w:tr>
        <w:trPr>
          <w:trHeight w:val="146"/>
        </w:trPr>
        <w:tc>
          <w:tcPr>
            <w:tcW w:w="1160" w:type="dxa"/>
            <w:vAlign w:val="bottom"/>
          </w:tcPr>
          <w:p>
            <w:pPr>
              <w:ind w:left="20"/>
              <w:spacing w:after="0" w:line="147" w:lineRule="exact"/>
              <w:rPr>
                <w:sz w:val="20"/>
                <w:szCs w:val="20"/>
                <w:color w:val="auto"/>
              </w:rPr>
            </w:pPr>
            <w:r>
              <w:rPr>
                <w:rFonts w:ascii="Arial" w:cs="Arial" w:eastAsia="Arial" w:hAnsi="Arial"/>
                <w:sz w:val="14"/>
                <w:szCs w:val="14"/>
                <w:color w:val="auto"/>
              </w:rPr>
              <w:t>10.21*</w:t>
            </w:r>
          </w:p>
        </w:tc>
        <w:tc>
          <w:tcPr>
            <w:tcW w:w="10080" w:type="dxa"/>
            <w:vAlign w:val="bottom"/>
          </w:tcPr>
          <w:p>
            <w:pPr>
              <w:ind w:left="360"/>
              <w:spacing w:after="0" w:line="147" w:lineRule="exact"/>
              <w:rPr>
                <w:rFonts w:ascii="Arial" w:cs="Arial" w:eastAsia="Arial" w:hAnsi="Arial"/>
                <w:sz w:val="14"/>
                <w:szCs w:val="14"/>
                <w:color w:val="auto"/>
              </w:rPr>
            </w:pPr>
            <w:hyperlink r:id="rId287">
              <w:r>
                <w:rPr>
                  <w:rFonts w:ascii="Arial" w:cs="Arial" w:eastAsia="Arial" w:hAnsi="Arial"/>
                  <w:sz w:val="14"/>
                  <w:szCs w:val="14"/>
                  <w:color w:val="auto"/>
                </w:rPr>
                <w:t>Amendment to Honeywell Supplemental Defined Benefit Retirement Plan, as amended and restated (incorporated by reference to Exhibit 10.13 to</w:t>
              </w:r>
            </w:hyperlink>
          </w:p>
        </w:tc>
      </w:tr>
      <w:tr>
        <w:trPr>
          <w:trHeight w:val="190"/>
        </w:trPr>
        <w:tc>
          <w:tcPr>
            <w:tcW w:w="1160" w:type="dxa"/>
            <w:vAlign w:val="bottom"/>
          </w:tcPr>
          <w:p>
            <w:pPr>
              <w:spacing w:after="0"/>
              <w:rPr>
                <w:sz w:val="16"/>
                <w:szCs w:val="16"/>
                <w:color w:val="auto"/>
              </w:rPr>
            </w:pPr>
          </w:p>
        </w:tc>
        <w:tc>
          <w:tcPr>
            <w:tcW w:w="10080" w:type="dxa"/>
            <w:vAlign w:val="bottom"/>
          </w:tcPr>
          <w:p>
            <w:pPr>
              <w:ind w:left="360"/>
              <w:spacing w:after="0"/>
              <w:rPr>
                <w:rFonts w:ascii="Arial" w:cs="Arial" w:eastAsia="Arial" w:hAnsi="Arial"/>
                <w:sz w:val="14"/>
                <w:szCs w:val="14"/>
                <w:color w:val="auto"/>
              </w:rPr>
            </w:pPr>
            <w:hyperlink r:id="rId287">
              <w:r>
                <w:rPr>
                  <w:rFonts w:ascii="Arial" w:cs="Arial" w:eastAsia="Arial" w:hAnsi="Arial"/>
                  <w:sz w:val="14"/>
                  <w:szCs w:val="14"/>
                  <w:color w:val="auto"/>
                </w:rPr>
                <w:t>Honeywell’s Form 10-K for the year ended December 31, 2009)</w:t>
              </w:r>
            </w:hyperlink>
          </w:p>
        </w:tc>
      </w:tr>
    </w:tbl>
    <w:p>
      <w:pPr>
        <w:spacing w:after="0" w:line="200" w:lineRule="exact"/>
        <w:rPr>
          <w:sz w:val="20"/>
          <w:szCs w:val="20"/>
          <w:color w:val="auto"/>
        </w:rPr>
      </w:pPr>
    </w:p>
    <w:p>
      <w:pPr>
        <w:spacing w:after="0" w:line="322" w:lineRule="exact"/>
        <w:rPr>
          <w:sz w:val="20"/>
          <w:szCs w:val="20"/>
          <w:color w:val="auto"/>
        </w:rPr>
      </w:pPr>
    </w:p>
    <w:p>
      <w:pPr>
        <w:ind w:left="500" w:hanging="492"/>
        <w:spacing w:after="0"/>
        <w:tabs>
          <w:tab w:leader="none" w:pos="500" w:val="left"/>
        </w:tabs>
        <w:numPr>
          <w:ilvl w:val="0"/>
          <w:numId w:val="199"/>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122" w:name="page123"/>
    <w:bookmarkEnd w:id="122"/>
    <w:p>
      <w:pPr>
        <w:ind w:left="20"/>
        <w:spacing w:after="0"/>
        <w:tabs>
          <w:tab w:leader="none" w:pos="1028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EXHIBIT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16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Exhibit No.</w:t>
            </w:r>
          </w:p>
        </w:tc>
        <w:tc>
          <w:tcPr>
            <w:tcW w:w="10080" w:type="dxa"/>
            <w:vAlign w:val="bottom"/>
            <w:tcBorders>
              <w:bottom w:val="single" w:sz="8" w:color="D7282F"/>
            </w:tcBorders>
          </w:tcPr>
          <w:p>
            <w:pPr>
              <w:ind w:left="4820"/>
              <w:spacing w:after="0"/>
              <w:rPr>
                <w:sz w:val="20"/>
                <w:szCs w:val="20"/>
                <w:color w:val="auto"/>
              </w:rPr>
            </w:pPr>
            <w:r>
              <w:rPr>
                <w:rFonts w:ascii="Arial" w:cs="Arial" w:eastAsia="Arial" w:hAnsi="Arial"/>
                <w:sz w:val="14"/>
                <w:szCs w:val="14"/>
                <w:b w:val="1"/>
                <w:bCs w:val="1"/>
                <w:color w:val="auto"/>
              </w:rPr>
              <w:t>Description</w:t>
            </w:r>
          </w:p>
        </w:tc>
      </w:tr>
      <w:tr>
        <w:trPr>
          <w:trHeight w:val="153"/>
        </w:trPr>
        <w:tc>
          <w:tcPr>
            <w:tcW w:w="1160" w:type="dxa"/>
            <w:vAlign w:val="bottom"/>
          </w:tcPr>
          <w:p>
            <w:pPr>
              <w:ind w:left="20"/>
              <w:spacing w:after="0" w:line="153" w:lineRule="exact"/>
              <w:rPr>
                <w:sz w:val="20"/>
                <w:szCs w:val="20"/>
                <w:color w:val="auto"/>
              </w:rPr>
            </w:pPr>
            <w:r>
              <w:rPr>
                <w:rFonts w:ascii="Arial" w:cs="Arial" w:eastAsia="Arial" w:hAnsi="Arial"/>
                <w:sz w:val="14"/>
                <w:szCs w:val="14"/>
                <w:color w:val="auto"/>
              </w:rPr>
              <w:t>10.22*</w:t>
            </w:r>
          </w:p>
        </w:tc>
        <w:tc>
          <w:tcPr>
            <w:tcW w:w="10080" w:type="dxa"/>
            <w:vAlign w:val="bottom"/>
          </w:tcPr>
          <w:p>
            <w:pPr>
              <w:ind w:left="360"/>
              <w:spacing w:after="0" w:line="153" w:lineRule="exact"/>
              <w:rPr>
                <w:rFonts w:ascii="Arial" w:cs="Arial" w:eastAsia="Arial" w:hAnsi="Arial"/>
                <w:sz w:val="14"/>
                <w:szCs w:val="14"/>
                <w:color w:val="auto"/>
              </w:rPr>
            </w:pPr>
            <w:hyperlink r:id="rId289">
              <w:r>
                <w:rPr>
                  <w:rFonts w:ascii="Arial" w:cs="Arial" w:eastAsia="Arial" w:hAnsi="Arial"/>
                  <w:sz w:val="14"/>
                  <w:szCs w:val="14"/>
                  <w:color w:val="auto"/>
                </w:rPr>
                <w:t>Amendment to Honeywell Supplemental Defined Benefit Retirement Plan, as amended and restated (incorporated by reference to Exhibit 10.9 to</w:t>
              </w:r>
            </w:hyperlink>
          </w:p>
        </w:tc>
      </w:tr>
      <w:tr>
        <w:trPr>
          <w:trHeight w:val="185"/>
        </w:trPr>
        <w:tc>
          <w:tcPr>
            <w:tcW w:w="1160" w:type="dxa"/>
            <w:vAlign w:val="bottom"/>
            <w:tcBorders>
              <w:bottom w:val="single" w:sz="8" w:color="61656A"/>
            </w:tcBorders>
          </w:tcPr>
          <w:p>
            <w:pPr>
              <w:spacing w:after="0"/>
              <w:rPr>
                <w:sz w:val="16"/>
                <w:szCs w:val="16"/>
                <w:color w:val="auto"/>
              </w:rPr>
            </w:pPr>
          </w:p>
        </w:tc>
        <w:tc>
          <w:tcPr>
            <w:tcW w:w="10080" w:type="dxa"/>
            <w:vAlign w:val="bottom"/>
            <w:tcBorders>
              <w:bottom w:val="single" w:sz="8" w:color="61656A"/>
            </w:tcBorders>
          </w:tcPr>
          <w:p>
            <w:pPr>
              <w:ind w:left="360"/>
              <w:spacing w:after="0"/>
              <w:rPr>
                <w:rFonts w:ascii="Arial" w:cs="Arial" w:eastAsia="Arial" w:hAnsi="Arial"/>
                <w:sz w:val="14"/>
                <w:szCs w:val="14"/>
                <w:color w:val="auto"/>
              </w:rPr>
            </w:pPr>
            <w:hyperlink r:id="rId289">
              <w:r>
                <w:rPr>
                  <w:rFonts w:ascii="Arial" w:cs="Arial" w:eastAsia="Arial" w:hAnsi="Arial"/>
                  <w:sz w:val="14"/>
                  <w:szCs w:val="14"/>
                  <w:color w:val="auto"/>
                </w:rPr>
                <w:t>Honeywell’s Form 10-K for the year ended December 31, 2015)</w:t>
              </w:r>
            </w:hyperlink>
          </w:p>
        </w:tc>
      </w:tr>
      <w:tr>
        <w:trPr>
          <w:trHeight w:val="146"/>
        </w:trPr>
        <w:tc>
          <w:tcPr>
            <w:tcW w:w="1160" w:type="dxa"/>
            <w:vAlign w:val="bottom"/>
          </w:tcPr>
          <w:p>
            <w:pPr>
              <w:ind w:left="20"/>
              <w:spacing w:after="0" w:line="147" w:lineRule="exact"/>
              <w:rPr>
                <w:sz w:val="20"/>
                <w:szCs w:val="20"/>
                <w:color w:val="auto"/>
              </w:rPr>
            </w:pPr>
            <w:r>
              <w:rPr>
                <w:rFonts w:ascii="Arial" w:cs="Arial" w:eastAsia="Arial" w:hAnsi="Arial"/>
                <w:sz w:val="14"/>
                <w:szCs w:val="14"/>
                <w:color w:val="auto"/>
              </w:rPr>
              <w:t>10.23*</w:t>
            </w:r>
          </w:p>
        </w:tc>
        <w:tc>
          <w:tcPr>
            <w:tcW w:w="10080" w:type="dxa"/>
            <w:vAlign w:val="bottom"/>
          </w:tcPr>
          <w:p>
            <w:pPr>
              <w:ind w:left="360"/>
              <w:spacing w:after="0" w:line="147" w:lineRule="exact"/>
              <w:rPr>
                <w:rFonts w:ascii="Arial" w:cs="Arial" w:eastAsia="Arial" w:hAnsi="Arial"/>
                <w:sz w:val="14"/>
                <w:szCs w:val="14"/>
                <w:color w:val="auto"/>
              </w:rPr>
            </w:pPr>
            <w:hyperlink r:id="rId290">
              <w:r>
                <w:rPr>
                  <w:rFonts w:ascii="Arial" w:cs="Arial" w:eastAsia="Arial" w:hAnsi="Arial"/>
                  <w:sz w:val="14"/>
                  <w:szCs w:val="14"/>
                  <w:color w:val="auto"/>
                </w:rPr>
                <w:t>Honeywell International Inc. Severance Plan for Corporate Staff Employees (Involuntary Termination Following a Change in Control), as amended and</w:t>
              </w:r>
            </w:hyperlink>
          </w:p>
        </w:tc>
      </w:tr>
      <w:tr>
        <w:trPr>
          <w:trHeight w:val="185"/>
        </w:trPr>
        <w:tc>
          <w:tcPr>
            <w:tcW w:w="1160" w:type="dxa"/>
            <w:vAlign w:val="bottom"/>
            <w:tcBorders>
              <w:bottom w:val="single" w:sz="8" w:color="61656A"/>
            </w:tcBorders>
          </w:tcPr>
          <w:p>
            <w:pPr>
              <w:spacing w:after="0"/>
              <w:rPr>
                <w:sz w:val="16"/>
                <w:szCs w:val="16"/>
                <w:color w:val="auto"/>
              </w:rPr>
            </w:pPr>
          </w:p>
        </w:tc>
        <w:tc>
          <w:tcPr>
            <w:tcW w:w="10080" w:type="dxa"/>
            <w:vAlign w:val="bottom"/>
            <w:tcBorders>
              <w:bottom w:val="single" w:sz="8" w:color="61656A"/>
            </w:tcBorders>
          </w:tcPr>
          <w:p>
            <w:pPr>
              <w:ind w:left="360"/>
              <w:spacing w:after="0"/>
              <w:rPr>
                <w:rFonts w:ascii="Arial" w:cs="Arial" w:eastAsia="Arial" w:hAnsi="Arial"/>
                <w:sz w:val="14"/>
                <w:szCs w:val="14"/>
                <w:color w:val="auto"/>
              </w:rPr>
            </w:pPr>
            <w:hyperlink r:id="rId290">
              <w:r>
                <w:rPr>
                  <w:rFonts w:ascii="Arial" w:cs="Arial" w:eastAsia="Arial" w:hAnsi="Arial"/>
                  <w:sz w:val="14"/>
                  <w:szCs w:val="14"/>
                  <w:color w:val="auto"/>
                </w:rPr>
                <w:t>restated (incorporated by reference to Exhibit 10.12 to Honeywell’s Form 10-K for the year ended December 31, 2013)</w:t>
              </w:r>
            </w:hyperlink>
          </w:p>
        </w:tc>
      </w:tr>
      <w:tr>
        <w:trPr>
          <w:trHeight w:val="192"/>
        </w:trPr>
        <w:tc>
          <w:tcPr>
            <w:tcW w:w="116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10.24*</w:t>
            </w:r>
          </w:p>
        </w:tc>
        <w:tc>
          <w:tcPr>
            <w:tcW w:w="10080" w:type="dxa"/>
            <w:vAlign w:val="bottom"/>
            <w:tcBorders>
              <w:bottom w:val="single" w:sz="8" w:color="61656A"/>
            </w:tcBorders>
          </w:tcPr>
          <w:p>
            <w:pPr>
              <w:ind w:left="360"/>
              <w:spacing w:after="0"/>
              <w:rPr>
                <w:rFonts w:ascii="Arial" w:cs="Arial" w:eastAsia="Arial" w:hAnsi="Arial"/>
                <w:sz w:val="14"/>
                <w:szCs w:val="14"/>
                <w:color w:val="auto"/>
              </w:rPr>
            </w:pPr>
            <w:hyperlink r:id="rId291">
              <w:r>
                <w:rPr>
                  <w:rFonts w:ascii="Arial" w:cs="Arial" w:eastAsia="Arial" w:hAnsi="Arial"/>
                  <w:sz w:val="14"/>
                  <w:szCs w:val="14"/>
                  <w:color w:val="auto"/>
                </w:rPr>
                <w:t>Honeywell Supplemental Retirement Plan (incorporated by reference to Exhibit 10.24 to Honeywell’s Form 10-K for the year ended December 31, 2006)</w:t>
              </w:r>
            </w:hyperlink>
          </w:p>
        </w:tc>
      </w:tr>
      <w:tr>
        <w:trPr>
          <w:trHeight w:val="150"/>
        </w:trPr>
        <w:tc>
          <w:tcPr>
            <w:tcW w:w="1160" w:type="dxa"/>
            <w:vAlign w:val="bottom"/>
          </w:tcPr>
          <w:p>
            <w:pPr>
              <w:ind w:left="20"/>
              <w:spacing w:after="0" w:line="151" w:lineRule="exact"/>
              <w:rPr>
                <w:sz w:val="20"/>
                <w:szCs w:val="20"/>
                <w:color w:val="auto"/>
              </w:rPr>
            </w:pPr>
            <w:r>
              <w:rPr>
                <w:rFonts w:ascii="Arial" w:cs="Arial" w:eastAsia="Arial" w:hAnsi="Arial"/>
                <w:sz w:val="14"/>
                <w:szCs w:val="14"/>
                <w:color w:val="auto"/>
              </w:rPr>
              <w:t>10.25*</w:t>
            </w:r>
          </w:p>
        </w:tc>
        <w:tc>
          <w:tcPr>
            <w:tcW w:w="10080" w:type="dxa"/>
            <w:vAlign w:val="bottom"/>
          </w:tcPr>
          <w:p>
            <w:pPr>
              <w:ind w:left="360"/>
              <w:spacing w:after="0" w:line="151" w:lineRule="exact"/>
              <w:rPr>
                <w:rFonts w:ascii="Arial" w:cs="Arial" w:eastAsia="Arial" w:hAnsi="Arial"/>
                <w:sz w:val="14"/>
                <w:szCs w:val="14"/>
                <w:color w:val="auto"/>
              </w:rPr>
            </w:pPr>
            <w:hyperlink r:id="rId292">
              <w:r>
                <w:rPr>
                  <w:rFonts w:ascii="Arial" w:cs="Arial" w:eastAsia="Arial" w:hAnsi="Arial"/>
                  <w:sz w:val="14"/>
                  <w:szCs w:val="14"/>
                  <w:color w:val="auto"/>
                </w:rPr>
                <w:t>2006 Stock Plan for Non-Employee Directors of Honeywell International Inc., as amended and restated (incorporated by reference to Exhibit 10.31 to</w:t>
              </w:r>
            </w:hyperlink>
          </w:p>
        </w:tc>
      </w:tr>
      <w:tr>
        <w:trPr>
          <w:trHeight w:val="185"/>
        </w:trPr>
        <w:tc>
          <w:tcPr>
            <w:tcW w:w="1160" w:type="dxa"/>
            <w:vAlign w:val="bottom"/>
            <w:tcBorders>
              <w:bottom w:val="single" w:sz="8" w:color="61656A"/>
            </w:tcBorders>
          </w:tcPr>
          <w:p>
            <w:pPr>
              <w:spacing w:after="0"/>
              <w:rPr>
                <w:sz w:val="16"/>
                <w:szCs w:val="16"/>
                <w:color w:val="auto"/>
              </w:rPr>
            </w:pPr>
          </w:p>
        </w:tc>
        <w:tc>
          <w:tcPr>
            <w:tcW w:w="10080" w:type="dxa"/>
            <w:vAlign w:val="bottom"/>
            <w:tcBorders>
              <w:bottom w:val="single" w:sz="8" w:color="61656A"/>
            </w:tcBorders>
          </w:tcPr>
          <w:p>
            <w:pPr>
              <w:ind w:left="360"/>
              <w:spacing w:after="0"/>
              <w:rPr>
                <w:rFonts w:ascii="Arial" w:cs="Arial" w:eastAsia="Arial" w:hAnsi="Arial"/>
                <w:sz w:val="14"/>
                <w:szCs w:val="14"/>
                <w:color w:val="auto"/>
              </w:rPr>
            </w:pPr>
            <w:hyperlink r:id="rId292">
              <w:r>
                <w:rPr>
                  <w:rFonts w:ascii="Arial" w:cs="Arial" w:eastAsia="Arial" w:hAnsi="Arial"/>
                  <w:sz w:val="14"/>
                  <w:szCs w:val="14"/>
                  <w:color w:val="auto"/>
                </w:rPr>
                <w:t>Honeywell’s Form 10-K for the year ended December 31, 2008)</w:t>
              </w:r>
            </w:hyperlink>
          </w:p>
        </w:tc>
      </w:tr>
      <w:tr>
        <w:trPr>
          <w:trHeight w:val="146"/>
        </w:trPr>
        <w:tc>
          <w:tcPr>
            <w:tcW w:w="1160" w:type="dxa"/>
            <w:vAlign w:val="bottom"/>
          </w:tcPr>
          <w:p>
            <w:pPr>
              <w:ind w:left="20"/>
              <w:spacing w:after="0" w:line="147" w:lineRule="exact"/>
              <w:rPr>
                <w:sz w:val="20"/>
                <w:szCs w:val="20"/>
                <w:color w:val="auto"/>
              </w:rPr>
            </w:pPr>
            <w:r>
              <w:rPr>
                <w:rFonts w:ascii="Arial" w:cs="Arial" w:eastAsia="Arial" w:hAnsi="Arial"/>
                <w:sz w:val="14"/>
                <w:szCs w:val="14"/>
                <w:color w:val="auto"/>
              </w:rPr>
              <w:t>10.26*</w:t>
            </w:r>
          </w:p>
        </w:tc>
        <w:tc>
          <w:tcPr>
            <w:tcW w:w="10080" w:type="dxa"/>
            <w:vAlign w:val="bottom"/>
          </w:tcPr>
          <w:p>
            <w:pPr>
              <w:ind w:left="360"/>
              <w:spacing w:after="0" w:line="147" w:lineRule="exact"/>
              <w:rPr>
                <w:rFonts w:ascii="Arial" w:cs="Arial" w:eastAsia="Arial" w:hAnsi="Arial"/>
                <w:sz w:val="14"/>
                <w:szCs w:val="14"/>
                <w:color w:val="auto"/>
              </w:rPr>
            </w:pPr>
            <w:hyperlink r:id="rId293">
              <w:r>
                <w:rPr>
                  <w:rFonts w:ascii="Arial" w:cs="Arial" w:eastAsia="Arial" w:hAnsi="Arial"/>
                  <w:sz w:val="14"/>
                  <w:szCs w:val="14"/>
                  <w:color w:val="auto"/>
                </w:rPr>
                <w:t>Amendment to 2006 Stock Plan for Non-Employee Directors of Honeywell International Inc., as amended and restated (incorporated by reference to</w:t>
              </w:r>
            </w:hyperlink>
          </w:p>
        </w:tc>
      </w:tr>
      <w:tr>
        <w:trPr>
          <w:trHeight w:val="185"/>
        </w:trPr>
        <w:tc>
          <w:tcPr>
            <w:tcW w:w="1160" w:type="dxa"/>
            <w:vAlign w:val="bottom"/>
            <w:tcBorders>
              <w:bottom w:val="single" w:sz="8" w:color="61656A"/>
            </w:tcBorders>
          </w:tcPr>
          <w:p>
            <w:pPr>
              <w:spacing w:after="0"/>
              <w:rPr>
                <w:sz w:val="16"/>
                <w:szCs w:val="16"/>
                <w:color w:val="auto"/>
              </w:rPr>
            </w:pPr>
          </w:p>
        </w:tc>
        <w:tc>
          <w:tcPr>
            <w:tcW w:w="10080" w:type="dxa"/>
            <w:vAlign w:val="bottom"/>
            <w:tcBorders>
              <w:bottom w:val="single" w:sz="8" w:color="61656A"/>
            </w:tcBorders>
          </w:tcPr>
          <w:p>
            <w:pPr>
              <w:ind w:left="360"/>
              <w:spacing w:after="0"/>
              <w:rPr>
                <w:rFonts w:ascii="Arial" w:cs="Arial" w:eastAsia="Arial" w:hAnsi="Arial"/>
                <w:sz w:val="14"/>
                <w:szCs w:val="14"/>
                <w:color w:val="auto"/>
              </w:rPr>
            </w:pPr>
            <w:hyperlink r:id="rId293">
              <w:r>
                <w:rPr>
                  <w:rFonts w:ascii="Arial" w:cs="Arial" w:eastAsia="Arial" w:hAnsi="Arial"/>
                  <w:sz w:val="14"/>
                  <w:szCs w:val="14"/>
                  <w:color w:val="auto"/>
                </w:rPr>
                <w:t>Exhibit 10.27 to Honeywell’s Form 10-K for the year ended December 31, 2011)</w:t>
              </w:r>
            </w:hyperlink>
          </w:p>
        </w:tc>
      </w:tr>
      <w:tr>
        <w:trPr>
          <w:trHeight w:val="146"/>
        </w:trPr>
        <w:tc>
          <w:tcPr>
            <w:tcW w:w="1160" w:type="dxa"/>
            <w:vAlign w:val="bottom"/>
          </w:tcPr>
          <w:p>
            <w:pPr>
              <w:ind w:left="20"/>
              <w:spacing w:after="0" w:line="147" w:lineRule="exact"/>
              <w:rPr>
                <w:sz w:val="20"/>
                <w:szCs w:val="20"/>
                <w:color w:val="auto"/>
              </w:rPr>
            </w:pPr>
            <w:r>
              <w:rPr>
                <w:rFonts w:ascii="Arial" w:cs="Arial" w:eastAsia="Arial" w:hAnsi="Arial"/>
                <w:sz w:val="14"/>
                <w:szCs w:val="14"/>
                <w:color w:val="auto"/>
              </w:rPr>
              <w:t>10.27*</w:t>
            </w:r>
          </w:p>
        </w:tc>
        <w:tc>
          <w:tcPr>
            <w:tcW w:w="10080" w:type="dxa"/>
            <w:vAlign w:val="bottom"/>
          </w:tcPr>
          <w:p>
            <w:pPr>
              <w:ind w:left="360"/>
              <w:spacing w:after="0" w:line="147" w:lineRule="exact"/>
              <w:rPr>
                <w:rFonts w:ascii="Arial" w:cs="Arial" w:eastAsia="Arial" w:hAnsi="Arial"/>
                <w:sz w:val="14"/>
                <w:szCs w:val="14"/>
                <w:color w:val="auto"/>
              </w:rPr>
            </w:pPr>
            <w:hyperlink r:id="rId294">
              <w:r>
                <w:rPr>
                  <w:rFonts w:ascii="Arial" w:cs="Arial" w:eastAsia="Arial" w:hAnsi="Arial"/>
                  <w:sz w:val="14"/>
                  <w:szCs w:val="14"/>
                  <w:color w:val="auto"/>
                </w:rPr>
                <w:t>Amendment to 2006 Stock Plan for Non-Employee Directors of Honeywell International Inc., as amended and restated (incorporated by reference to</w:t>
              </w:r>
            </w:hyperlink>
          </w:p>
        </w:tc>
      </w:tr>
      <w:tr>
        <w:trPr>
          <w:trHeight w:val="185"/>
        </w:trPr>
        <w:tc>
          <w:tcPr>
            <w:tcW w:w="1160" w:type="dxa"/>
            <w:vAlign w:val="bottom"/>
            <w:tcBorders>
              <w:bottom w:val="single" w:sz="8" w:color="61656A"/>
            </w:tcBorders>
          </w:tcPr>
          <w:p>
            <w:pPr>
              <w:spacing w:after="0"/>
              <w:rPr>
                <w:sz w:val="16"/>
                <w:szCs w:val="16"/>
                <w:color w:val="auto"/>
              </w:rPr>
            </w:pPr>
          </w:p>
        </w:tc>
        <w:tc>
          <w:tcPr>
            <w:tcW w:w="10080" w:type="dxa"/>
            <w:vAlign w:val="bottom"/>
            <w:tcBorders>
              <w:bottom w:val="single" w:sz="8" w:color="61656A"/>
            </w:tcBorders>
          </w:tcPr>
          <w:p>
            <w:pPr>
              <w:ind w:left="360"/>
              <w:spacing w:after="0"/>
              <w:rPr>
                <w:rFonts w:ascii="Arial" w:cs="Arial" w:eastAsia="Arial" w:hAnsi="Arial"/>
                <w:sz w:val="14"/>
                <w:szCs w:val="14"/>
                <w:color w:val="auto"/>
              </w:rPr>
            </w:pPr>
            <w:hyperlink r:id="rId294">
              <w:r>
                <w:rPr>
                  <w:rFonts w:ascii="Arial" w:cs="Arial" w:eastAsia="Arial" w:hAnsi="Arial"/>
                  <w:sz w:val="14"/>
                  <w:szCs w:val="14"/>
                  <w:color w:val="auto"/>
                </w:rPr>
                <w:t>Exhibit 10.24 to Honeywell’s Form 10-K for the year ended December 31, 2014)</w:t>
              </w:r>
            </w:hyperlink>
          </w:p>
        </w:tc>
      </w:tr>
      <w:tr>
        <w:trPr>
          <w:trHeight w:val="146"/>
        </w:trPr>
        <w:tc>
          <w:tcPr>
            <w:tcW w:w="1160" w:type="dxa"/>
            <w:vAlign w:val="bottom"/>
          </w:tcPr>
          <w:p>
            <w:pPr>
              <w:ind w:left="20"/>
              <w:spacing w:after="0" w:line="147" w:lineRule="exact"/>
              <w:rPr>
                <w:sz w:val="20"/>
                <w:szCs w:val="20"/>
                <w:color w:val="auto"/>
              </w:rPr>
            </w:pPr>
            <w:r>
              <w:rPr>
                <w:rFonts w:ascii="Arial" w:cs="Arial" w:eastAsia="Arial" w:hAnsi="Arial"/>
                <w:sz w:val="14"/>
                <w:szCs w:val="14"/>
                <w:color w:val="auto"/>
              </w:rPr>
              <w:t>10.28*</w:t>
            </w:r>
          </w:p>
        </w:tc>
        <w:tc>
          <w:tcPr>
            <w:tcW w:w="10080" w:type="dxa"/>
            <w:vAlign w:val="bottom"/>
          </w:tcPr>
          <w:p>
            <w:pPr>
              <w:ind w:left="360"/>
              <w:spacing w:after="0" w:line="147" w:lineRule="exact"/>
              <w:rPr>
                <w:rFonts w:ascii="Arial" w:cs="Arial" w:eastAsia="Arial" w:hAnsi="Arial"/>
                <w:sz w:val="14"/>
                <w:szCs w:val="14"/>
                <w:color w:val="auto"/>
              </w:rPr>
            </w:pPr>
            <w:hyperlink r:id="rId275">
              <w:r>
                <w:rPr>
                  <w:rFonts w:ascii="Arial" w:cs="Arial" w:eastAsia="Arial" w:hAnsi="Arial"/>
                  <w:sz w:val="14"/>
                  <w:szCs w:val="14"/>
                  <w:color w:val="auto"/>
                </w:rPr>
                <w:t>Omnibus Amendment to 2006 Stock Plan for Non-Employee Directors of Honeywell International Inc., as amended and restated (incorporated by</w:t>
              </w:r>
            </w:hyperlink>
          </w:p>
        </w:tc>
      </w:tr>
      <w:tr>
        <w:trPr>
          <w:trHeight w:val="185"/>
        </w:trPr>
        <w:tc>
          <w:tcPr>
            <w:tcW w:w="1160" w:type="dxa"/>
            <w:vAlign w:val="bottom"/>
            <w:tcBorders>
              <w:bottom w:val="single" w:sz="8" w:color="61656A"/>
            </w:tcBorders>
          </w:tcPr>
          <w:p>
            <w:pPr>
              <w:spacing w:after="0"/>
              <w:rPr>
                <w:sz w:val="16"/>
                <w:szCs w:val="16"/>
                <w:color w:val="auto"/>
              </w:rPr>
            </w:pPr>
          </w:p>
        </w:tc>
        <w:tc>
          <w:tcPr>
            <w:tcW w:w="10080" w:type="dxa"/>
            <w:vAlign w:val="bottom"/>
            <w:tcBorders>
              <w:bottom w:val="single" w:sz="8" w:color="61656A"/>
            </w:tcBorders>
          </w:tcPr>
          <w:p>
            <w:pPr>
              <w:ind w:left="360"/>
              <w:spacing w:after="0"/>
              <w:rPr>
                <w:rFonts w:ascii="Arial" w:cs="Arial" w:eastAsia="Arial" w:hAnsi="Arial"/>
                <w:sz w:val="14"/>
                <w:szCs w:val="14"/>
                <w:color w:val="auto"/>
              </w:rPr>
            </w:pPr>
            <w:hyperlink r:id="rId275">
              <w:r>
                <w:rPr>
                  <w:rFonts w:ascii="Arial" w:cs="Arial" w:eastAsia="Arial" w:hAnsi="Arial"/>
                  <w:sz w:val="14"/>
                  <w:szCs w:val="14"/>
                  <w:color w:val="auto"/>
                </w:rPr>
                <w:t>reference to Exhibit 10.1 to Honeywell’s Form 10-Q for the quarter ended June 30, 2021)</w:t>
              </w:r>
            </w:hyperlink>
          </w:p>
        </w:tc>
      </w:tr>
      <w:tr>
        <w:trPr>
          <w:trHeight w:val="146"/>
        </w:trPr>
        <w:tc>
          <w:tcPr>
            <w:tcW w:w="1160" w:type="dxa"/>
            <w:vAlign w:val="bottom"/>
          </w:tcPr>
          <w:p>
            <w:pPr>
              <w:ind w:left="20"/>
              <w:spacing w:after="0" w:line="147" w:lineRule="exact"/>
              <w:rPr>
                <w:sz w:val="20"/>
                <w:szCs w:val="20"/>
                <w:color w:val="auto"/>
              </w:rPr>
            </w:pPr>
            <w:r>
              <w:rPr>
                <w:rFonts w:ascii="Arial" w:cs="Arial" w:eastAsia="Arial" w:hAnsi="Arial"/>
                <w:sz w:val="14"/>
                <w:szCs w:val="14"/>
                <w:color w:val="auto"/>
              </w:rPr>
              <w:t>10.29*</w:t>
            </w:r>
          </w:p>
        </w:tc>
        <w:tc>
          <w:tcPr>
            <w:tcW w:w="10080" w:type="dxa"/>
            <w:vAlign w:val="bottom"/>
          </w:tcPr>
          <w:p>
            <w:pPr>
              <w:ind w:left="360"/>
              <w:spacing w:after="0" w:line="147" w:lineRule="exact"/>
              <w:rPr>
                <w:rFonts w:ascii="Arial" w:cs="Arial" w:eastAsia="Arial" w:hAnsi="Arial"/>
                <w:sz w:val="14"/>
                <w:szCs w:val="14"/>
                <w:color w:val="auto"/>
              </w:rPr>
            </w:pPr>
            <w:hyperlink r:id="rId295">
              <w:r>
                <w:rPr>
                  <w:rFonts w:ascii="Arial" w:cs="Arial" w:eastAsia="Arial" w:hAnsi="Arial"/>
                  <w:sz w:val="14"/>
                  <w:szCs w:val="14"/>
                  <w:color w:val="auto"/>
                </w:rPr>
                <w:t>2006 Stock Plan for Non-Employee Directors of Honeywell International Inc.—Form of Option Agreement (incorporated by reference to Exhibit 10.3 to</w:t>
              </w:r>
            </w:hyperlink>
          </w:p>
        </w:tc>
      </w:tr>
      <w:tr>
        <w:trPr>
          <w:trHeight w:val="185"/>
        </w:trPr>
        <w:tc>
          <w:tcPr>
            <w:tcW w:w="1160" w:type="dxa"/>
            <w:vAlign w:val="bottom"/>
            <w:tcBorders>
              <w:bottom w:val="single" w:sz="8" w:color="61656A"/>
            </w:tcBorders>
          </w:tcPr>
          <w:p>
            <w:pPr>
              <w:spacing w:after="0"/>
              <w:rPr>
                <w:sz w:val="16"/>
                <w:szCs w:val="16"/>
                <w:color w:val="auto"/>
              </w:rPr>
            </w:pPr>
          </w:p>
        </w:tc>
        <w:tc>
          <w:tcPr>
            <w:tcW w:w="10080" w:type="dxa"/>
            <w:vAlign w:val="bottom"/>
            <w:tcBorders>
              <w:bottom w:val="single" w:sz="8" w:color="61656A"/>
            </w:tcBorders>
          </w:tcPr>
          <w:p>
            <w:pPr>
              <w:ind w:left="360"/>
              <w:spacing w:after="0"/>
              <w:rPr>
                <w:rFonts w:ascii="Arial" w:cs="Arial" w:eastAsia="Arial" w:hAnsi="Arial"/>
                <w:sz w:val="14"/>
                <w:szCs w:val="14"/>
                <w:color w:val="auto"/>
              </w:rPr>
            </w:pPr>
            <w:hyperlink r:id="rId295">
              <w:r>
                <w:rPr>
                  <w:rFonts w:ascii="Arial" w:cs="Arial" w:eastAsia="Arial" w:hAnsi="Arial"/>
                  <w:sz w:val="14"/>
                  <w:szCs w:val="14"/>
                  <w:color w:val="auto"/>
                </w:rPr>
                <w:t>Honeywell’s Form 10-Q for the quarter ended March 31, 2012)</w:t>
              </w:r>
            </w:hyperlink>
          </w:p>
        </w:tc>
      </w:tr>
      <w:tr>
        <w:trPr>
          <w:trHeight w:val="146"/>
        </w:trPr>
        <w:tc>
          <w:tcPr>
            <w:tcW w:w="1160" w:type="dxa"/>
            <w:vAlign w:val="bottom"/>
          </w:tcPr>
          <w:p>
            <w:pPr>
              <w:ind w:left="20"/>
              <w:spacing w:after="0" w:line="147" w:lineRule="exact"/>
              <w:rPr>
                <w:sz w:val="20"/>
                <w:szCs w:val="20"/>
                <w:color w:val="auto"/>
              </w:rPr>
            </w:pPr>
            <w:r>
              <w:rPr>
                <w:rFonts w:ascii="Arial" w:cs="Arial" w:eastAsia="Arial" w:hAnsi="Arial"/>
                <w:sz w:val="14"/>
                <w:szCs w:val="14"/>
                <w:color w:val="auto"/>
              </w:rPr>
              <w:t>10.30*</w:t>
            </w:r>
          </w:p>
        </w:tc>
        <w:tc>
          <w:tcPr>
            <w:tcW w:w="10080" w:type="dxa"/>
            <w:vAlign w:val="bottom"/>
          </w:tcPr>
          <w:p>
            <w:pPr>
              <w:ind w:left="360"/>
              <w:spacing w:after="0" w:line="147" w:lineRule="exact"/>
              <w:rPr>
                <w:rFonts w:ascii="Arial" w:cs="Arial" w:eastAsia="Arial" w:hAnsi="Arial"/>
                <w:sz w:val="14"/>
                <w:szCs w:val="14"/>
                <w:color w:val="auto"/>
              </w:rPr>
            </w:pPr>
            <w:hyperlink r:id="rId275">
              <w:r>
                <w:rPr>
                  <w:rFonts w:ascii="Arial" w:cs="Arial" w:eastAsia="Arial" w:hAnsi="Arial"/>
                  <w:sz w:val="14"/>
                  <w:szCs w:val="14"/>
                  <w:color w:val="auto"/>
                </w:rPr>
                <w:t>Omnibus Amendment to 2006 Stock Plan for Non-Employee Directors of Honeywell International Inc.—Form of Option Agreement (incorporated by</w:t>
              </w:r>
            </w:hyperlink>
          </w:p>
        </w:tc>
      </w:tr>
      <w:tr>
        <w:trPr>
          <w:trHeight w:val="185"/>
        </w:trPr>
        <w:tc>
          <w:tcPr>
            <w:tcW w:w="1160" w:type="dxa"/>
            <w:vAlign w:val="bottom"/>
            <w:tcBorders>
              <w:bottom w:val="single" w:sz="8" w:color="61656A"/>
            </w:tcBorders>
          </w:tcPr>
          <w:p>
            <w:pPr>
              <w:spacing w:after="0"/>
              <w:rPr>
                <w:sz w:val="16"/>
                <w:szCs w:val="16"/>
                <w:color w:val="auto"/>
              </w:rPr>
            </w:pPr>
          </w:p>
        </w:tc>
        <w:tc>
          <w:tcPr>
            <w:tcW w:w="10080" w:type="dxa"/>
            <w:vAlign w:val="bottom"/>
            <w:tcBorders>
              <w:bottom w:val="single" w:sz="8" w:color="61656A"/>
            </w:tcBorders>
          </w:tcPr>
          <w:p>
            <w:pPr>
              <w:ind w:left="360"/>
              <w:spacing w:after="0"/>
              <w:rPr>
                <w:rFonts w:ascii="Arial" w:cs="Arial" w:eastAsia="Arial" w:hAnsi="Arial"/>
                <w:sz w:val="14"/>
                <w:szCs w:val="14"/>
                <w:color w:val="auto"/>
              </w:rPr>
            </w:pPr>
            <w:hyperlink r:id="rId275">
              <w:r>
                <w:rPr>
                  <w:rFonts w:ascii="Arial" w:cs="Arial" w:eastAsia="Arial" w:hAnsi="Arial"/>
                  <w:sz w:val="14"/>
                  <w:szCs w:val="14"/>
                  <w:color w:val="auto"/>
                </w:rPr>
                <w:t>reference to Exhibit 10.1 to Honeywell’s Form 10-Q for the quarter ended June 30, 2021)</w:t>
              </w:r>
            </w:hyperlink>
          </w:p>
        </w:tc>
      </w:tr>
      <w:tr>
        <w:trPr>
          <w:trHeight w:val="146"/>
        </w:trPr>
        <w:tc>
          <w:tcPr>
            <w:tcW w:w="1160" w:type="dxa"/>
            <w:vAlign w:val="bottom"/>
          </w:tcPr>
          <w:p>
            <w:pPr>
              <w:ind w:left="20"/>
              <w:spacing w:after="0" w:line="147" w:lineRule="exact"/>
              <w:rPr>
                <w:sz w:val="20"/>
                <w:szCs w:val="20"/>
                <w:color w:val="auto"/>
              </w:rPr>
            </w:pPr>
            <w:r>
              <w:rPr>
                <w:rFonts w:ascii="Arial" w:cs="Arial" w:eastAsia="Arial" w:hAnsi="Arial"/>
                <w:sz w:val="14"/>
                <w:szCs w:val="14"/>
                <w:color w:val="auto"/>
              </w:rPr>
              <w:t>10.31*</w:t>
            </w:r>
          </w:p>
        </w:tc>
        <w:tc>
          <w:tcPr>
            <w:tcW w:w="10080" w:type="dxa"/>
            <w:vAlign w:val="bottom"/>
          </w:tcPr>
          <w:p>
            <w:pPr>
              <w:ind w:left="360"/>
              <w:spacing w:after="0" w:line="147" w:lineRule="exact"/>
              <w:rPr>
                <w:rFonts w:ascii="Arial" w:cs="Arial" w:eastAsia="Arial" w:hAnsi="Arial"/>
                <w:sz w:val="14"/>
                <w:szCs w:val="14"/>
                <w:color w:val="auto"/>
              </w:rPr>
            </w:pPr>
            <w:hyperlink r:id="rId296">
              <w:r>
                <w:rPr>
                  <w:rFonts w:ascii="Arial" w:cs="Arial" w:eastAsia="Arial" w:hAnsi="Arial"/>
                  <w:sz w:val="14"/>
                  <w:szCs w:val="14"/>
                  <w:color w:val="auto"/>
                </w:rPr>
                <w:t>2007 Honeywell Global Employee Stock Plan (incorporated by reference to Exhibit A of Honeywell’s Proxy Statement, dated March 12, 2007, filed</w:t>
              </w:r>
            </w:hyperlink>
          </w:p>
        </w:tc>
      </w:tr>
      <w:tr>
        <w:trPr>
          <w:trHeight w:val="185"/>
        </w:trPr>
        <w:tc>
          <w:tcPr>
            <w:tcW w:w="1160" w:type="dxa"/>
            <w:vAlign w:val="bottom"/>
            <w:tcBorders>
              <w:bottom w:val="single" w:sz="8" w:color="61656A"/>
            </w:tcBorders>
          </w:tcPr>
          <w:p>
            <w:pPr>
              <w:spacing w:after="0"/>
              <w:rPr>
                <w:sz w:val="16"/>
                <w:szCs w:val="16"/>
                <w:color w:val="auto"/>
              </w:rPr>
            </w:pPr>
          </w:p>
        </w:tc>
        <w:tc>
          <w:tcPr>
            <w:tcW w:w="10080" w:type="dxa"/>
            <w:vAlign w:val="bottom"/>
            <w:tcBorders>
              <w:bottom w:val="single" w:sz="8" w:color="61656A"/>
            </w:tcBorders>
          </w:tcPr>
          <w:p>
            <w:pPr>
              <w:ind w:left="360"/>
              <w:spacing w:after="0"/>
              <w:rPr>
                <w:rFonts w:ascii="Arial" w:cs="Arial" w:eastAsia="Arial" w:hAnsi="Arial"/>
                <w:sz w:val="14"/>
                <w:szCs w:val="14"/>
                <w:color w:val="auto"/>
              </w:rPr>
            </w:pPr>
            <w:hyperlink r:id="rId296">
              <w:r>
                <w:rPr>
                  <w:rFonts w:ascii="Arial" w:cs="Arial" w:eastAsia="Arial" w:hAnsi="Arial"/>
                  <w:sz w:val="14"/>
                  <w:szCs w:val="14"/>
                  <w:color w:val="auto"/>
                </w:rPr>
                <w:t>pursuant to Rule 14a-6 of the Securities Exchange Act of 1934)</w:t>
              </w:r>
            </w:hyperlink>
          </w:p>
        </w:tc>
      </w:tr>
      <w:tr>
        <w:trPr>
          <w:trHeight w:val="146"/>
        </w:trPr>
        <w:tc>
          <w:tcPr>
            <w:tcW w:w="1160" w:type="dxa"/>
            <w:vAlign w:val="bottom"/>
          </w:tcPr>
          <w:p>
            <w:pPr>
              <w:ind w:left="20"/>
              <w:spacing w:after="0" w:line="147" w:lineRule="exact"/>
              <w:rPr>
                <w:sz w:val="20"/>
                <w:szCs w:val="20"/>
                <w:color w:val="auto"/>
              </w:rPr>
            </w:pPr>
            <w:r>
              <w:rPr>
                <w:rFonts w:ascii="Arial" w:cs="Arial" w:eastAsia="Arial" w:hAnsi="Arial"/>
                <w:sz w:val="14"/>
                <w:szCs w:val="14"/>
                <w:color w:val="auto"/>
              </w:rPr>
              <w:t>10.32*</w:t>
            </w:r>
          </w:p>
        </w:tc>
        <w:tc>
          <w:tcPr>
            <w:tcW w:w="10080" w:type="dxa"/>
            <w:vAlign w:val="bottom"/>
          </w:tcPr>
          <w:p>
            <w:pPr>
              <w:ind w:left="360"/>
              <w:spacing w:after="0" w:line="147" w:lineRule="exact"/>
              <w:rPr>
                <w:rFonts w:ascii="Arial" w:cs="Arial" w:eastAsia="Arial" w:hAnsi="Arial"/>
                <w:sz w:val="14"/>
                <w:szCs w:val="14"/>
                <w:color w:val="auto"/>
              </w:rPr>
            </w:pPr>
            <w:hyperlink r:id="rId275">
              <w:r>
                <w:rPr>
                  <w:rFonts w:ascii="Arial" w:cs="Arial" w:eastAsia="Arial" w:hAnsi="Arial"/>
                  <w:sz w:val="14"/>
                  <w:szCs w:val="14"/>
                  <w:color w:val="auto"/>
                </w:rPr>
                <w:t>Omnibus Amendment to 2007 Honeywell Global Employee Stock Plan (incorporated by reference to Exhibit 10.1 to Honeywell’s Form 10-Q for the</w:t>
              </w:r>
            </w:hyperlink>
          </w:p>
        </w:tc>
      </w:tr>
      <w:tr>
        <w:trPr>
          <w:trHeight w:val="185"/>
        </w:trPr>
        <w:tc>
          <w:tcPr>
            <w:tcW w:w="1160" w:type="dxa"/>
            <w:vAlign w:val="bottom"/>
            <w:tcBorders>
              <w:bottom w:val="single" w:sz="8" w:color="61656A"/>
            </w:tcBorders>
          </w:tcPr>
          <w:p>
            <w:pPr>
              <w:spacing w:after="0"/>
              <w:rPr>
                <w:sz w:val="16"/>
                <w:szCs w:val="16"/>
                <w:color w:val="auto"/>
              </w:rPr>
            </w:pPr>
          </w:p>
        </w:tc>
        <w:tc>
          <w:tcPr>
            <w:tcW w:w="10080" w:type="dxa"/>
            <w:vAlign w:val="bottom"/>
            <w:tcBorders>
              <w:bottom w:val="single" w:sz="8" w:color="61656A"/>
            </w:tcBorders>
          </w:tcPr>
          <w:p>
            <w:pPr>
              <w:ind w:left="360"/>
              <w:spacing w:after="0"/>
              <w:rPr>
                <w:rFonts w:ascii="Arial" w:cs="Arial" w:eastAsia="Arial" w:hAnsi="Arial"/>
                <w:sz w:val="14"/>
                <w:szCs w:val="14"/>
                <w:color w:val="auto"/>
              </w:rPr>
            </w:pPr>
            <w:hyperlink r:id="rId275">
              <w:r>
                <w:rPr>
                  <w:rFonts w:ascii="Arial" w:cs="Arial" w:eastAsia="Arial" w:hAnsi="Arial"/>
                  <w:sz w:val="14"/>
                  <w:szCs w:val="14"/>
                  <w:color w:val="auto"/>
                </w:rPr>
                <w:t>quarter ended June 30, 2021)</w:t>
              </w:r>
            </w:hyperlink>
          </w:p>
        </w:tc>
      </w:tr>
      <w:tr>
        <w:trPr>
          <w:trHeight w:val="146"/>
        </w:trPr>
        <w:tc>
          <w:tcPr>
            <w:tcW w:w="1160" w:type="dxa"/>
            <w:vAlign w:val="bottom"/>
          </w:tcPr>
          <w:p>
            <w:pPr>
              <w:ind w:left="20"/>
              <w:spacing w:after="0" w:line="147" w:lineRule="exact"/>
              <w:rPr>
                <w:sz w:val="20"/>
                <w:szCs w:val="20"/>
                <w:color w:val="auto"/>
              </w:rPr>
            </w:pPr>
            <w:r>
              <w:rPr>
                <w:rFonts w:ascii="Arial" w:cs="Arial" w:eastAsia="Arial" w:hAnsi="Arial"/>
                <w:sz w:val="14"/>
                <w:szCs w:val="14"/>
                <w:color w:val="auto"/>
              </w:rPr>
              <w:t>10.33*</w:t>
            </w:r>
          </w:p>
        </w:tc>
        <w:tc>
          <w:tcPr>
            <w:tcW w:w="10080" w:type="dxa"/>
            <w:vAlign w:val="bottom"/>
          </w:tcPr>
          <w:p>
            <w:pPr>
              <w:ind w:left="360"/>
              <w:spacing w:after="0" w:line="147" w:lineRule="exact"/>
              <w:rPr>
                <w:rFonts w:ascii="Arial" w:cs="Arial" w:eastAsia="Arial" w:hAnsi="Arial"/>
                <w:sz w:val="14"/>
                <w:szCs w:val="14"/>
                <w:color w:val="auto"/>
              </w:rPr>
            </w:pPr>
            <w:hyperlink r:id="rId297">
              <w:r>
                <w:rPr>
                  <w:rFonts w:ascii="Arial" w:cs="Arial" w:eastAsia="Arial" w:hAnsi="Arial"/>
                  <w:sz w:val="14"/>
                  <w:szCs w:val="14"/>
                  <w:color w:val="auto"/>
                </w:rPr>
                <w:t>2011 Stock Incentive Plan of Honeywell International Inc. and its Affiliates (incorporated by reference to Exhibit A of Honeywell’s Proxy Statement, dated</w:t>
              </w:r>
            </w:hyperlink>
          </w:p>
        </w:tc>
      </w:tr>
      <w:tr>
        <w:trPr>
          <w:trHeight w:val="185"/>
        </w:trPr>
        <w:tc>
          <w:tcPr>
            <w:tcW w:w="1160" w:type="dxa"/>
            <w:vAlign w:val="bottom"/>
            <w:tcBorders>
              <w:bottom w:val="single" w:sz="8" w:color="61656A"/>
            </w:tcBorders>
          </w:tcPr>
          <w:p>
            <w:pPr>
              <w:spacing w:after="0"/>
              <w:rPr>
                <w:sz w:val="16"/>
                <w:szCs w:val="16"/>
                <w:color w:val="auto"/>
              </w:rPr>
            </w:pPr>
          </w:p>
        </w:tc>
        <w:tc>
          <w:tcPr>
            <w:tcW w:w="10080" w:type="dxa"/>
            <w:vAlign w:val="bottom"/>
            <w:tcBorders>
              <w:bottom w:val="single" w:sz="8" w:color="61656A"/>
            </w:tcBorders>
          </w:tcPr>
          <w:p>
            <w:pPr>
              <w:ind w:left="360"/>
              <w:spacing w:after="0"/>
              <w:rPr>
                <w:rFonts w:ascii="Arial" w:cs="Arial" w:eastAsia="Arial" w:hAnsi="Arial"/>
                <w:sz w:val="14"/>
                <w:szCs w:val="14"/>
                <w:color w:val="auto"/>
              </w:rPr>
            </w:pPr>
            <w:hyperlink r:id="rId297">
              <w:r>
                <w:rPr>
                  <w:rFonts w:ascii="Arial" w:cs="Arial" w:eastAsia="Arial" w:hAnsi="Arial"/>
                  <w:sz w:val="14"/>
                  <w:szCs w:val="14"/>
                  <w:color w:val="auto"/>
                </w:rPr>
                <w:t>March 10, 2011, filed pursuant to Rule 14a-6 of the Securities Exchange Act of 1934)</w:t>
              </w:r>
            </w:hyperlink>
          </w:p>
        </w:tc>
      </w:tr>
      <w:tr>
        <w:trPr>
          <w:trHeight w:val="146"/>
        </w:trPr>
        <w:tc>
          <w:tcPr>
            <w:tcW w:w="1160" w:type="dxa"/>
            <w:vAlign w:val="bottom"/>
          </w:tcPr>
          <w:p>
            <w:pPr>
              <w:ind w:left="20"/>
              <w:spacing w:after="0" w:line="147" w:lineRule="exact"/>
              <w:rPr>
                <w:sz w:val="20"/>
                <w:szCs w:val="20"/>
                <w:color w:val="auto"/>
              </w:rPr>
            </w:pPr>
            <w:r>
              <w:rPr>
                <w:rFonts w:ascii="Arial" w:cs="Arial" w:eastAsia="Arial" w:hAnsi="Arial"/>
                <w:sz w:val="14"/>
                <w:szCs w:val="14"/>
                <w:color w:val="auto"/>
              </w:rPr>
              <w:t>10.34*</w:t>
            </w:r>
          </w:p>
        </w:tc>
        <w:tc>
          <w:tcPr>
            <w:tcW w:w="10080" w:type="dxa"/>
            <w:vAlign w:val="bottom"/>
          </w:tcPr>
          <w:p>
            <w:pPr>
              <w:ind w:left="360"/>
              <w:spacing w:after="0" w:line="147" w:lineRule="exact"/>
              <w:rPr>
                <w:rFonts w:ascii="Arial" w:cs="Arial" w:eastAsia="Arial" w:hAnsi="Arial"/>
                <w:sz w:val="14"/>
                <w:szCs w:val="14"/>
                <w:color w:val="auto"/>
              </w:rPr>
            </w:pPr>
            <w:hyperlink r:id="rId298">
              <w:r>
                <w:rPr>
                  <w:rFonts w:ascii="Arial" w:cs="Arial" w:eastAsia="Arial" w:hAnsi="Arial"/>
                  <w:sz w:val="14"/>
                  <w:szCs w:val="14"/>
                  <w:color w:val="auto"/>
                </w:rPr>
                <w:t>Amendment to 2011 Stock Incentive Plan of Honeywell International Inc. and its Affiliates (incorporated by reference to Exhibit 10.36 to Honeywell’s</w:t>
              </w:r>
            </w:hyperlink>
          </w:p>
        </w:tc>
      </w:tr>
      <w:tr>
        <w:trPr>
          <w:trHeight w:val="185"/>
        </w:trPr>
        <w:tc>
          <w:tcPr>
            <w:tcW w:w="1160" w:type="dxa"/>
            <w:vAlign w:val="bottom"/>
            <w:tcBorders>
              <w:bottom w:val="single" w:sz="8" w:color="61656A"/>
            </w:tcBorders>
          </w:tcPr>
          <w:p>
            <w:pPr>
              <w:spacing w:after="0"/>
              <w:rPr>
                <w:sz w:val="16"/>
                <w:szCs w:val="16"/>
                <w:color w:val="auto"/>
              </w:rPr>
            </w:pPr>
          </w:p>
        </w:tc>
        <w:tc>
          <w:tcPr>
            <w:tcW w:w="10080" w:type="dxa"/>
            <w:vAlign w:val="bottom"/>
            <w:tcBorders>
              <w:bottom w:val="single" w:sz="8" w:color="61656A"/>
            </w:tcBorders>
          </w:tcPr>
          <w:p>
            <w:pPr>
              <w:ind w:left="360"/>
              <w:spacing w:after="0"/>
              <w:rPr>
                <w:rFonts w:ascii="Arial" w:cs="Arial" w:eastAsia="Arial" w:hAnsi="Arial"/>
                <w:sz w:val="14"/>
                <w:szCs w:val="14"/>
                <w:color w:val="auto"/>
              </w:rPr>
            </w:pPr>
            <w:hyperlink r:id="rId298">
              <w:r>
                <w:rPr>
                  <w:rFonts w:ascii="Arial" w:cs="Arial" w:eastAsia="Arial" w:hAnsi="Arial"/>
                  <w:sz w:val="14"/>
                  <w:szCs w:val="14"/>
                  <w:color w:val="auto"/>
                </w:rPr>
                <w:t>Form 10-K for the year ended December 31, 2012)</w:t>
              </w:r>
            </w:hyperlink>
          </w:p>
        </w:tc>
      </w:tr>
      <w:tr>
        <w:trPr>
          <w:trHeight w:val="146"/>
        </w:trPr>
        <w:tc>
          <w:tcPr>
            <w:tcW w:w="1160" w:type="dxa"/>
            <w:vAlign w:val="bottom"/>
          </w:tcPr>
          <w:p>
            <w:pPr>
              <w:ind w:left="20"/>
              <w:spacing w:after="0" w:line="147" w:lineRule="exact"/>
              <w:rPr>
                <w:sz w:val="20"/>
                <w:szCs w:val="20"/>
                <w:color w:val="auto"/>
              </w:rPr>
            </w:pPr>
            <w:r>
              <w:rPr>
                <w:rFonts w:ascii="Arial" w:cs="Arial" w:eastAsia="Arial" w:hAnsi="Arial"/>
                <w:sz w:val="14"/>
                <w:szCs w:val="14"/>
                <w:color w:val="auto"/>
              </w:rPr>
              <w:t>10.35*</w:t>
            </w:r>
          </w:p>
        </w:tc>
        <w:tc>
          <w:tcPr>
            <w:tcW w:w="10080" w:type="dxa"/>
            <w:vAlign w:val="bottom"/>
          </w:tcPr>
          <w:p>
            <w:pPr>
              <w:ind w:left="360"/>
              <w:spacing w:after="0" w:line="147" w:lineRule="exact"/>
              <w:rPr>
                <w:rFonts w:ascii="Arial" w:cs="Arial" w:eastAsia="Arial" w:hAnsi="Arial"/>
                <w:sz w:val="14"/>
                <w:szCs w:val="14"/>
                <w:color w:val="auto"/>
              </w:rPr>
            </w:pPr>
            <w:hyperlink r:id="rId299">
              <w:r>
                <w:rPr>
                  <w:rFonts w:ascii="Arial" w:cs="Arial" w:eastAsia="Arial" w:hAnsi="Arial"/>
                  <w:sz w:val="14"/>
                  <w:szCs w:val="14"/>
                  <w:color w:val="auto"/>
                </w:rPr>
                <w:t>Amendment to 2011 Stock Incentive Plan of Honeywell International Inc. and its Affiliates (incorporated by reference to Exhibit 10.1 to Honeywell’s Form</w:t>
              </w:r>
            </w:hyperlink>
          </w:p>
        </w:tc>
      </w:tr>
      <w:tr>
        <w:trPr>
          <w:trHeight w:val="185"/>
        </w:trPr>
        <w:tc>
          <w:tcPr>
            <w:tcW w:w="1160" w:type="dxa"/>
            <w:vAlign w:val="bottom"/>
            <w:tcBorders>
              <w:bottom w:val="single" w:sz="8" w:color="61656A"/>
            </w:tcBorders>
          </w:tcPr>
          <w:p>
            <w:pPr>
              <w:spacing w:after="0"/>
              <w:rPr>
                <w:sz w:val="16"/>
                <w:szCs w:val="16"/>
                <w:color w:val="auto"/>
              </w:rPr>
            </w:pPr>
          </w:p>
        </w:tc>
        <w:tc>
          <w:tcPr>
            <w:tcW w:w="10080" w:type="dxa"/>
            <w:vAlign w:val="bottom"/>
            <w:tcBorders>
              <w:bottom w:val="single" w:sz="8" w:color="61656A"/>
            </w:tcBorders>
          </w:tcPr>
          <w:p>
            <w:pPr>
              <w:ind w:left="360"/>
              <w:spacing w:after="0"/>
              <w:rPr>
                <w:rFonts w:ascii="Arial" w:cs="Arial" w:eastAsia="Arial" w:hAnsi="Arial"/>
                <w:sz w:val="14"/>
                <w:szCs w:val="14"/>
                <w:color w:val="auto"/>
              </w:rPr>
            </w:pPr>
            <w:hyperlink r:id="rId299">
              <w:r>
                <w:rPr>
                  <w:rFonts w:ascii="Arial" w:cs="Arial" w:eastAsia="Arial" w:hAnsi="Arial"/>
                  <w:sz w:val="14"/>
                  <w:szCs w:val="14"/>
                  <w:color w:val="auto"/>
                </w:rPr>
                <w:t>10-Q for the quarter ended March 31, 2014)</w:t>
              </w:r>
            </w:hyperlink>
          </w:p>
        </w:tc>
      </w:tr>
      <w:tr>
        <w:trPr>
          <w:trHeight w:val="146"/>
        </w:trPr>
        <w:tc>
          <w:tcPr>
            <w:tcW w:w="1160" w:type="dxa"/>
            <w:vAlign w:val="bottom"/>
          </w:tcPr>
          <w:p>
            <w:pPr>
              <w:ind w:left="20"/>
              <w:spacing w:after="0" w:line="147" w:lineRule="exact"/>
              <w:rPr>
                <w:sz w:val="20"/>
                <w:szCs w:val="20"/>
                <w:color w:val="auto"/>
              </w:rPr>
            </w:pPr>
            <w:r>
              <w:rPr>
                <w:rFonts w:ascii="Arial" w:cs="Arial" w:eastAsia="Arial" w:hAnsi="Arial"/>
                <w:sz w:val="14"/>
                <w:szCs w:val="14"/>
                <w:color w:val="auto"/>
              </w:rPr>
              <w:t>10.36*</w:t>
            </w:r>
          </w:p>
        </w:tc>
        <w:tc>
          <w:tcPr>
            <w:tcW w:w="10080" w:type="dxa"/>
            <w:vAlign w:val="bottom"/>
          </w:tcPr>
          <w:p>
            <w:pPr>
              <w:ind w:left="360"/>
              <w:spacing w:after="0" w:line="147" w:lineRule="exact"/>
              <w:rPr>
                <w:rFonts w:ascii="Arial" w:cs="Arial" w:eastAsia="Arial" w:hAnsi="Arial"/>
                <w:sz w:val="14"/>
                <w:szCs w:val="14"/>
                <w:color w:val="auto"/>
              </w:rPr>
            </w:pPr>
            <w:hyperlink r:id="rId275">
              <w:r>
                <w:rPr>
                  <w:rFonts w:ascii="Arial" w:cs="Arial" w:eastAsia="Arial" w:hAnsi="Arial"/>
                  <w:sz w:val="14"/>
                  <w:szCs w:val="14"/>
                  <w:color w:val="auto"/>
                </w:rPr>
                <w:t>Omnibus Amendment to 2011 Stock Incentive Plan of Honeywell International Inc. and its Affiliates (incorporated by reference to Exhibit 10.1 to</w:t>
              </w:r>
            </w:hyperlink>
          </w:p>
        </w:tc>
      </w:tr>
      <w:tr>
        <w:trPr>
          <w:trHeight w:val="185"/>
        </w:trPr>
        <w:tc>
          <w:tcPr>
            <w:tcW w:w="1160" w:type="dxa"/>
            <w:vAlign w:val="bottom"/>
            <w:tcBorders>
              <w:bottom w:val="single" w:sz="8" w:color="61656A"/>
            </w:tcBorders>
          </w:tcPr>
          <w:p>
            <w:pPr>
              <w:spacing w:after="0"/>
              <w:rPr>
                <w:sz w:val="16"/>
                <w:szCs w:val="16"/>
                <w:color w:val="auto"/>
              </w:rPr>
            </w:pPr>
          </w:p>
        </w:tc>
        <w:tc>
          <w:tcPr>
            <w:tcW w:w="10080" w:type="dxa"/>
            <w:vAlign w:val="bottom"/>
            <w:tcBorders>
              <w:bottom w:val="single" w:sz="8" w:color="61656A"/>
            </w:tcBorders>
          </w:tcPr>
          <w:p>
            <w:pPr>
              <w:ind w:left="360"/>
              <w:spacing w:after="0"/>
              <w:rPr>
                <w:rFonts w:ascii="Arial" w:cs="Arial" w:eastAsia="Arial" w:hAnsi="Arial"/>
                <w:sz w:val="14"/>
                <w:szCs w:val="14"/>
                <w:color w:val="auto"/>
              </w:rPr>
            </w:pPr>
            <w:hyperlink r:id="rId275">
              <w:r>
                <w:rPr>
                  <w:rFonts w:ascii="Arial" w:cs="Arial" w:eastAsia="Arial" w:hAnsi="Arial"/>
                  <w:sz w:val="14"/>
                  <w:szCs w:val="14"/>
                  <w:color w:val="auto"/>
                </w:rPr>
                <w:t>Honeywell’s Form 10-Q for the quarter ended June 30, 2021)</w:t>
              </w:r>
            </w:hyperlink>
          </w:p>
        </w:tc>
      </w:tr>
      <w:tr>
        <w:trPr>
          <w:trHeight w:val="146"/>
        </w:trPr>
        <w:tc>
          <w:tcPr>
            <w:tcW w:w="1160" w:type="dxa"/>
            <w:vAlign w:val="bottom"/>
          </w:tcPr>
          <w:p>
            <w:pPr>
              <w:ind w:left="20"/>
              <w:spacing w:after="0" w:line="147" w:lineRule="exact"/>
              <w:rPr>
                <w:sz w:val="20"/>
                <w:szCs w:val="20"/>
                <w:color w:val="auto"/>
              </w:rPr>
            </w:pPr>
            <w:r>
              <w:rPr>
                <w:rFonts w:ascii="Arial" w:cs="Arial" w:eastAsia="Arial" w:hAnsi="Arial"/>
                <w:sz w:val="14"/>
                <w:szCs w:val="14"/>
                <w:color w:val="auto"/>
              </w:rPr>
              <w:t>10.37*</w:t>
            </w:r>
          </w:p>
        </w:tc>
        <w:tc>
          <w:tcPr>
            <w:tcW w:w="10080" w:type="dxa"/>
            <w:vAlign w:val="bottom"/>
          </w:tcPr>
          <w:p>
            <w:pPr>
              <w:ind w:left="360"/>
              <w:spacing w:after="0" w:line="147" w:lineRule="exact"/>
              <w:rPr>
                <w:rFonts w:ascii="Arial" w:cs="Arial" w:eastAsia="Arial" w:hAnsi="Arial"/>
                <w:sz w:val="14"/>
                <w:szCs w:val="14"/>
                <w:color w:val="auto"/>
              </w:rPr>
            </w:pPr>
            <w:hyperlink r:id="rId300">
              <w:r>
                <w:rPr>
                  <w:rFonts w:ascii="Arial" w:cs="Arial" w:eastAsia="Arial" w:hAnsi="Arial"/>
                  <w:sz w:val="14"/>
                  <w:szCs w:val="14"/>
                  <w:color w:val="auto"/>
                </w:rPr>
                <w:t>2011 Stock Incentive Plan of Honeywell International Inc. and Its Affiliates—Form of Stock Option Award Agreement (incorporated by reference to</w:t>
              </w:r>
            </w:hyperlink>
          </w:p>
        </w:tc>
      </w:tr>
      <w:tr>
        <w:trPr>
          <w:trHeight w:val="185"/>
        </w:trPr>
        <w:tc>
          <w:tcPr>
            <w:tcW w:w="1160" w:type="dxa"/>
            <w:vAlign w:val="bottom"/>
            <w:tcBorders>
              <w:bottom w:val="single" w:sz="8" w:color="61656A"/>
            </w:tcBorders>
          </w:tcPr>
          <w:p>
            <w:pPr>
              <w:spacing w:after="0"/>
              <w:rPr>
                <w:sz w:val="16"/>
                <w:szCs w:val="16"/>
                <w:color w:val="auto"/>
              </w:rPr>
            </w:pPr>
          </w:p>
        </w:tc>
        <w:tc>
          <w:tcPr>
            <w:tcW w:w="10080" w:type="dxa"/>
            <w:vAlign w:val="bottom"/>
            <w:tcBorders>
              <w:bottom w:val="single" w:sz="8" w:color="61656A"/>
            </w:tcBorders>
          </w:tcPr>
          <w:p>
            <w:pPr>
              <w:ind w:left="360"/>
              <w:spacing w:after="0"/>
              <w:rPr>
                <w:rFonts w:ascii="Arial" w:cs="Arial" w:eastAsia="Arial" w:hAnsi="Arial"/>
                <w:sz w:val="14"/>
                <w:szCs w:val="14"/>
                <w:color w:val="auto"/>
              </w:rPr>
            </w:pPr>
            <w:hyperlink r:id="rId300">
              <w:r>
                <w:rPr>
                  <w:rFonts w:ascii="Arial" w:cs="Arial" w:eastAsia="Arial" w:hAnsi="Arial"/>
                  <w:sz w:val="14"/>
                  <w:szCs w:val="14"/>
                  <w:color w:val="auto"/>
                </w:rPr>
                <w:t>Exhibit 10.4 to Honeywell’s Form 10-Q for the quarter ended March 31, 2014)</w:t>
              </w:r>
            </w:hyperlink>
          </w:p>
        </w:tc>
      </w:tr>
      <w:tr>
        <w:trPr>
          <w:trHeight w:val="146"/>
        </w:trPr>
        <w:tc>
          <w:tcPr>
            <w:tcW w:w="1160" w:type="dxa"/>
            <w:vAlign w:val="bottom"/>
          </w:tcPr>
          <w:p>
            <w:pPr>
              <w:ind w:left="20"/>
              <w:spacing w:after="0" w:line="147" w:lineRule="exact"/>
              <w:rPr>
                <w:sz w:val="20"/>
                <w:szCs w:val="20"/>
                <w:color w:val="auto"/>
              </w:rPr>
            </w:pPr>
            <w:r>
              <w:rPr>
                <w:rFonts w:ascii="Arial" w:cs="Arial" w:eastAsia="Arial" w:hAnsi="Arial"/>
                <w:sz w:val="14"/>
                <w:szCs w:val="14"/>
                <w:color w:val="auto"/>
              </w:rPr>
              <w:t>10.38*</w:t>
            </w:r>
          </w:p>
        </w:tc>
        <w:tc>
          <w:tcPr>
            <w:tcW w:w="10080" w:type="dxa"/>
            <w:vAlign w:val="bottom"/>
          </w:tcPr>
          <w:p>
            <w:pPr>
              <w:ind w:left="360"/>
              <w:spacing w:after="0" w:line="147" w:lineRule="exact"/>
              <w:rPr>
                <w:rFonts w:ascii="Arial" w:cs="Arial" w:eastAsia="Arial" w:hAnsi="Arial"/>
                <w:sz w:val="14"/>
                <w:szCs w:val="14"/>
                <w:color w:val="auto"/>
              </w:rPr>
            </w:pPr>
            <w:hyperlink r:id="rId275">
              <w:r>
                <w:rPr>
                  <w:rFonts w:ascii="Arial" w:cs="Arial" w:eastAsia="Arial" w:hAnsi="Arial"/>
                  <w:sz w:val="14"/>
                  <w:szCs w:val="14"/>
                  <w:color w:val="auto"/>
                </w:rPr>
                <w:t>Omnibus Amendment to 2011 Stock Incentive Plan of Honeywell International Inc. and its Affiliates—Form of Stock Option Award Agreement</w:t>
              </w:r>
            </w:hyperlink>
          </w:p>
        </w:tc>
      </w:tr>
      <w:tr>
        <w:trPr>
          <w:trHeight w:val="185"/>
        </w:trPr>
        <w:tc>
          <w:tcPr>
            <w:tcW w:w="1160" w:type="dxa"/>
            <w:vAlign w:val="bottom"/>
            <w:tcBorders>
              <w:bottom w:val="single" w:sz="8" w:color="61656A"/>
            </w:tcBorders>
          </w:tcPr>
          <w:p>
            <w:pPr>
              <w:spacing w:after="0"/>
              <w:rPr>
                <w:sz w:val="16"/>
                <w:szCs w:val="16"/>
                <w:color w:val="auto"/>
              </w:rPr>
            </w:pPr>
          </w:p>
        </w:tc>
        <w:tc>
          <w:tcPr>
            <w:tcW w:w="10080" w:type="dxa"/>
            <w:vAlign w:val="bottom"/>
            <w:tcBorders>
              <w:bottom w:val="single" w:sz="8" w:color="61656A"/>
            </w:tcBorders>
          </w:tcPr>
          <w:p>
            <w:pPr>
              <w:ind w:left="360"/>
              <w:spacing w:after="0"/>
              <w:rPr>
                <w:rFonts w:ascii="Arial" w:cs="Arial" w:eastAsia="Arial" w:hAnsi="Arial"/>
                <w:sz w:val="14"/>
                <w:szCs w:val="14"/>
                <w:color w:val="auto"/>
              </w:rPr>
            </w:pPr>
            <w:hyperlink r:id="rId275">
              <w:r>
                <w:rPr>
                  <w:rFonts w:ascii="Arial" w:cs="Arial" w:eastAsia="Arial" w:hAnsi="Arial"/>
                  <w:sz w:val="14"/>
                  <w:szCs w:val="14"/>
                  <w:color w:val="auto"/>
                </w:rPr>
                <w:t>(incorporated by reference to Exhibit 10.1 to Honeywell’s Form 10-Q for the quarter ended June 30, 2021)</w:t>
              </w:r>
            </w:hyperlink>
          </w:p>
        </w:tc>
      </w:tr>
      <w:tr>
        <w:trPr>
          <w:trHeight w:val="146"/>
        </w:trPr>
        <w:tc>
          <w:tcPr>
            <w:tcW w:w="1160" w:type="dxa"/>
            <w:vAlign w:val="bottom"/>
          </w:tcPr>
          <w:p>
            <w:pPr>
              <w:ind w:left="20"/>
              <w:spacing w:after="0" w:line="147" w:lineRule="exact"/>
              <w:rPr>
                <w:sz w:val="20"/>
                <w:szCs w:val="20"/>
                <w:color w:val="auto"/>
              </w:rPr>
            </w:pPr>
            <w:r>
              <w:rPr>
                <w:rFonts w:ascii="Arial" w:cs="Arial" w:eastAsia="Arial" w:hAnsi="Arial"/>
                <w:sz w:val="14"/>
                <w:szCs w:val="14"/>
                <w:color w:val="auto"/>
              </w:rPr>
              <w:t>10.39*</w:t>
            </w:r>
          </w:p>
        </w:tc>
        <w:tc>
          <w:tcPr>
            <w:tcW w:w="10080" w:type="dxa"/>
            <w:vAlign w:val="bottom"/>
          </w:tcPr>
          <w:p>
            <w:pPr>
              <w:ind w:left="360"/>
              <w:spacing w:after="0" w:line="147" w:lineRule="exact"/>
              <w:rPr>
                <w:rFonts w:ascii="Arial" w:cs="Arial" w:eastAsia="Arial" w:hAnsi="Arial"/>
                <w:sz w:val="14"/>
                <w:szCs w:val="14"/>
                <w:color w:val="auto"/>
              </w:rPr>
            </w:pPr>
            <w:hyperlink r:id="rId301">
              <w:r>
                <w:rPr>
                  <w:rFonts w:ascii="Arial" w:cs="Arial" w:eastAsia="Arial" w:hAnsi="Arial"/>
                  <w:sz w:val="14"/>
                  <w:szCs w:val="14"/>
                  <w:color w:val="auto"/>
                </w:rPr>
                <w:t>2011 Stock Incentive Plan of Honeywell International Inc. and Its Affiliates—Form of Stock Option Award Agreement, Form 2 (incorporated by reference</w:t>
              </w:r>
            </w:hyperlink>
          </w:p>
        </w:tc>
      </w:tr>
      <w:tr>
        <w:trPr>
          <w:trHeight w:val="185"/>
        </w:trPr>
        <w:tc>
          <w:tcPr>
            <w:tcW w:w="1160" w:type="dxa"/>
            <w:vAlign w:val="bottom"/>
            <w:tcBorders>
              <w:bottom w:val="single" w:sz="8" w:color="61656A"/>
            </w:tcBorders>
          </w:tcPr>
          <w:p>
            <w:pPr>
              <w:spacing w:after="0"/>
              <w:rPr>
                <w:sz w:val="16"/>
                <w:szCs w:val="16"/>
                <w:color w:val="auto"/>
              </w:rPr>
            </w:pPr>
          </w:p>
        </w:tc>
        <w:tc>
          <w:tcPr>
            <w:tcW w:w="10080" w:type="dxa"/>
            <w:vAlign w:val="bottom"/>
            <w:tcBorders>
              <w:bottom w:val="single" w:sz="8" w:color="61656A"/>
            </w:tcBorders>
          </w:tcPr>
          <w:p>
            <w:pPr>
              <w:ind w:left="360"/>
              <w:spacing w:after="0"/>
              <w:rPr>
                <w:rFonts w:ascii="Arial" w:cs="Arial" w:eastAsia="Arial" w:hAnsi="Arial"/>
                <w:sz w:val="14"/>
                <w:szCs w:val="14"/>
                <w:color w:val="auto"/>
              </w:rPr>
            </w:pPr>
            <w:hyperlink r:id="rId301">
              <w:r>
                <w:rPr>
                  <w:rFonts w:ascii="Arial" w:cs="Arial" w:eastAsia="Arial" w:hAnsi="Arial"/>
                  <w:sz w:val="14"/>
                  <w:szCs w:val="14"/>
                  <w:color w:val="auto"/>
                </w:rPr>
                <w:t>to Exhibit 10.39 to Honeywell’s Form 10-K for the year ended December 31, 2014)</w:t>
              </w:r>
            </w:hyperlink>
          </w:p>
        </w:tc>
      </w:tr>
      <w:tr>
        <w:trPr>
          <w:trHeight w:val="146"/>
        </w:trPr>
        <w:tc>
          <w:tcPr>
            <w:tcW w:w="1160" w:type="dxa"/>
            <w:vAlign w:val="bottom"/>
          </w:tcPr>
          <w:p>
            <w:pPr>
              <w:ind w:left="20"/>
              <w:spacing w:after="0" w:line="147" w:lineRule="exact"/>
              <w:rPr>
                <w:sz w:val="20"/>
                <w:szCs w:val="20"/>
                <w:color w:val="auto"/>
              </w:rPr>
            </w:pPr>
            <w:r>
              <w:rPr>
                <w:rFonts w:ascii="Arial" w:cs="Arial" w:eastAsia="Arial" w:hAnsi="Arial"/>
                <w:sz w:val="14"/>
                <w:szCs w:val="14"/>
                <w:color w:val="auto"/>
              </w:rPr>
              <w:t>10.40*</w:t>
            </w:r>
          </w:p>
        </w:tc>
        <w:tc>
          <w:tcPr>
            <w:tcW w:w="10080" w:type="dxa"/>
            <w:vAlign w:val="bottom"/>
          </w:tcPr>
          <w:p>
            <w:pPr>
              <w:ind w:left="360"/>
              <w:spacing w:after="0" w:line="147" w:lineRule="exact"/>
              <w:rPr>
                <w:rFonts w:ascii="Arial" w:cs="Arial" w:eastAsia="Arial" w:hAnsi="Arial"/>
                <w:sz w:val="14"/>
                <w:szCs w:val="14"/>
                <w:color w:val="auto"/>
              </w:rPr>
            </w:pPr>
            <w:hyperlink r:id="rId275">
              <w:r>
                <w:rPr>
                  <w:rFonts w:ascii="Arial" w:cs="Arial" w:eastAsia="Arial" w:hAnsi="Arial"/>
                  <w:sz w:val="14"/>
                  <w:szCs w:val="14"/>
                  <w:color w:val="auto"/>
                </w:rPr>
                <w:t>Omnibus Amendment to 2011 Stock Incentive Plan of Honeywell International Inc. and its Affiliates—Form of Stock Option Award Agreement, Form 2</w:t>
              </w:r>
            </w:hyperlink>
          </w:p>
        </w:tc>
      </w:tr>
      <w:tr>
        <w:trPr>
          <w:trHeight w:val="185"/>
        </w:trPr>
        <w:tc>
          <w:tcPr>
            <w:tcW w:w="1160" w:type="dxa"/>
            <w:vAlign w:val="bottom"/>
            <w:tcBorders>
              <w:bottom w:val="single" w:sz="8" w:color="61656A"/>
            </w:tcBorders>
          </w:tcPr>
          <w:p>
            <w:pPr>
              <w:spacing w:after="0"/>
              <w:rPr>
                <w:sz w:val="16"/>
                <w:szCs w:val="16"/>
                <w:color w:val="auto"/>
              </w:rPr>
            </w:pPr>
          </w:p>
        </w:tc>
        <w:tc>
          <w:tcPr>
            <w:tcW w:w="10080" w:type="dxa"/>
            <w:vAlign w:val="bottom"/>
            <w:tcBorders>
              <w:bottom w:val="single" w:sz="8" w:color="61656A"/>
            </w:tcBorders>
          </w:tcPr>
          <w:p>
            <w:pPr>
              <w:ind w:left="360"/>
              <w:spacing w:after="0"/>
              <w:rPr>
                <w:rFonts w:ascii="Arial" w:cs="Arial" w:eastAsia="Arial" w:hAnsi="Arial"/>
                <w:sz w:val="14"/>
                <w:szCs w:val="14"/>
                <w:color w:val="auto"/>
              </w:rPr>
            </w:pPr>
            <w:hyperlink r:id="rId275">
              <w:r>
                <w:rPr>
                  <w:rFonts w:ascii="Arial" w:cs="Arial" w:eastAsia="Arial" w:hAnsi="Arial"/>
                  <w:sz w:val="14"/>
                  <w:szCs w:val="14"/>
                  <w:color w:val="auto"/>
                </w:rPr>
                <w:t>(incorporated by reference to Exhibit 10.1 to Honeywell’s Form 10-Q for the quarter ended June 30, 2021)</w:t>
              </w:r>
            </w:hyperlink>
          </w:p>
        </w:tc>
      </w:tr>
      <w:tr>
        <w:trPr>
          <w:trHeight w:val="146"/>
        </w:trPr>
        <w:tc>
          <w:tcPr>
            <w:tcW w:w="1160" w:type="dxa"/>
            <w:vAlign w:val="bottom"/>
          </w:tcPr>
          <w:p>
            <w:pPr>
              <w:ind w:left="20"/>
              <w:spacing w:after="0" w:line="147" w:lineRule="exact"/>
              <w:rPr>
                <w:sz w:val="20"/>
                <w:szCs w:val="20"/>
                <w:color w:val="auto"/>
              </w:rPr>
            </w:pPr>
            <w:r>
              <w:rPr>
                <w:rFonts w:ascii="Arial" w:cs="Arial" w:eastAsia="Arial" w:hAnsi="Arial"/>
                <w:sz w:val="14"/>
                <w:szCs w:val="14"/>
                <w:color w:val="auto"/>
              </w:rPr>
              <w:t>10.41*</w:t>
            </w:r>
          </w:p>
        </w:tc>
        <w:tc>
          <w:tcPr>
            <w:tcW w:w="10080" w:type="dxa"/>
            <w:vAlign w:val="bottom"/>
          </w:tcPr>
          <w:p>
            <w:pPr>
              <w:ind w:left="360"/>
              <w:spacing w:after="0" w:line="147" w:lineRule="exact"/>
              <w:rPr>
                <w:rFonts w:ascii="Arial" w:cs="Arial" w:eastAsia="Arial" w:hAnsi="Arial"/>
                <w:sz w:val="14"/>
                <w:szCs w:val="14"/>
                <w:color w:val="auto"/>
              </w:rPr>
            </w:pPr>
            <w:hyperlink r:id="rId302">
              <w:r>
                <w:rPr>
                  <w:rFonts w:ascii="Arial" w:cs="Arial" w:eastAsia="Arial" w:hAnsi="Arial"/>
                  <w:sz w:val="14"/>
                  <w:szCs w:val="14"/>
                  <w:color w:val="auto"/>
                </w:rPr>
                <w:t>2016 Stock Incentive Plan of Honeywell International Inc. and its Affiliates (incorporated by reference to Exhibit A of Honeywell’s Proxy Statement, dated</w:t>
              </w:r>
            </w:hyperlink>
          </w:p>
        </w:tc>
      </w:tr>
      <w:tr>
        <w:trPr>
          <w:trHeight w:val="185"/>
        </w:trPr>
        <w:tc>
          <w:tcPr>
            <w:tcW w:w="1160" w:type="dxa"/>
            <w:vAlign w:val="bottom"/>
            <w:tcBorders>
              <w:bottom w:val="single" w:sz="8" w:color="61656A"/>
            </w:tcBorders>
          </w:tcPr>
          <w:p>
            <w:pPr>
              <w:spacing w:after="0"/>
              <w:rPr>
                <w:sz w:val="16"/>
                <w:szCs w:val="16"/>
                <w:color w:val="auto"/>
              </w:rPr>
            </w:pPr>
          </w:p>
        </w:tc>
        <w:tc>
          <w:tcPr>
            <w:tcW w:w="10080" w:type="dxa"/>
            <w:vAlign w:val="bottom"/>
            <w:tcBorders>
              <w:bottom w:val="single" w:sz="8" w:color="61656A"/>
            </w:tcBorders>
          </w:tcPr>
          <w:p>
            <w:pPr>
              <w:ind w:left="360"/>
              <w:spacing w:after="0"/>
              <w:rPr>
                <w:rFonts w:ascii="Arial" w:cs="Arial" w:eastAsia="Arial" w:hAnsi="Arial"/>
                <w:sz w:val="14"/>
                <w:szCs w:val="14"/>
                <w:color w:val="auto"/>
              </w:rPr>
            </w:pPr>
            <w:hyperlink r:id="rId302">
              <w:r>
                <w:rPr>
                  <w:rFonts w:ascii="Arial" w:cs="Arial" w:eastAsia="Arial" w:hAnsi="Arial"/>
                  <w:sz w:val="14"/>
                  <w:szCs w:val="14"/>
                  <w:color w:val="auto"/>
                </w:rPr>
                <w:t>March 10, 2016, filed pursuant to Rule 14a-6 of the Securities Exchange Act of 1934)</w:t>
              </w:r>
            </w:hyperlink>
          </w:p>
        </w:tc>
      </w:tr>
      <w:tr>
        <w:trPr>
          <w:trHeight w:val="146"/>
        </w:trPr>
        <w:tc>
          <w:tcPr>
            <w:tcW w:w="1160" w:type="dxa"/>
            <w:vAlign w:val="bottom"/>
          </w:tcPr>
          <w:p>
            <w:pPr>
              <w:ind w:left="20"/>
              <w:spacing w:after="0" w:line="147" w:lineRule="exact"/>
              <w:rPr>
                <w:sz w:val="20"/>
                <w:szCs w:val="20"/>
                <w:color w:val="auto"/>
              </w:rPr>
            </w:pPr>
            <w:r>
              <w:rPr>
                <w:rFonts w:ascii="Arial" w:cs="Arial" w:eastAsia="Arial" w:hAnsi="Arial"/>
                <w:sz w:val="14"/>
                <w:szCs w:val="14"/>
                <w:color w:val="auto"/>
              </w:rPr>
              <w:t>10.42*</w:t>
            </w:r>
          </w:p>
        </w:tc>
        <w:tc>
          <w:tcPr>
            <w:tcW w:w="10080" w:type="dxa"/>
            <w:vAlign w:val="bottom"/>
          </w:tcPr>
          <w:p>
            <w:pPr>
              <w:ind w:left="360"/>
              <w:spacing w:after="0" w:line="147" w:lineRule="exact"/>
              <w:rPr>
                <w:rFonts w:ascii="Arial" w:cs="Arial" w:eastAsia="Arial" w:hAnsi="Arial"/>
                <w:sz w:val="14"/>
                <w:szCs w:val="14"/>
                <w:color w:val="auto"/>
              </w:rPr>
            </w:pPr>
            <w:hyperlink r:id="rId303">
              <w:r>
                <w:rPr>
                  <w:rFonts w:ascii="Arial" w:cs="Arial" w:eastAsia="Arial" w:hAnsi="Arial"/>
                  <w:sz w:val="14"/>
                  <w:szCs w:val="14"/>
                  <w:color w:val="auto"/>
                </w:rPr>
                <w:t>Amendment to the 2016 Stock Incentive Plan of Honeywell International Inc. and its Affiliates (incorporated by reference to Exhibit 10.2 to Honeywell’s</w:t>
              </w:r>
            </w:hyperlink>
          </w:p>
        </w:tc>
      </w:tr>
      <w:tr>
        <w:trPr>
          <w:trHeight w:val="185"/>
        </w:trPr>
        <w:tc>
          <w:tcPr>
            <w:tcW w:w="1160" w:type="dxa"/>
            <w:vAlign w:val="bottom"/>
            <w:tcBorders>
              <w:bottom w:val="single" w:sz="8" w:color="61656A"/>
            </w:tcBorders>
          </w:tcPr>
          <w:p>
            <w:pPr>
              <w:spacing w:after="0"/>
              <w:rPr>
                <w:sz w:val="16"/>
                <w:szCs w:val="16"/>
                <w:color w:val="auto"/>
              </w:rPr>
            </w:pPr>
          </w:p>
        </w:tc>
        <w:tc>
          <w:tcPr>
            <w:tcW w:w="10080" w:type="dxa"/>
            <w:vAlign w:val="bottom"/>
            <w:tcBorders>
              <w:bottom w:val="single" w:sz="8" w:color="61656A"/>
            </w:tcBorders>
          </w:tcPr>
          <w:p>
            <w:pPr>
              <w:ind w:left="360"/>
              <w:spacing w:after="0"/>
              <w:rPr>
                <w:rFonts w:ascii="Arial" w:cs="Arial" w:eastAsia="Arial" w:hAnsi="Arial"/>
                <w:sz w:val="14"/>
                <w:szCs w:val="14"/>
                <w:color w:val="auto"/>
              </w:rPr>
            </w:pPr>
            <w:hyperlink r:id="rId303">
              <w:r>
                <w:rPr>
                  <w:rFonts w:ascii="Arial" w:cs="Arial" w:eastAsia="Arial" w:hAnsi="Arial"/>
                  <w:sz w:val="14"/>
                  <w:szCs w:val="14"/>
                  <w:color w:val="auto"/>
                </w:rPr>
                <w:t>Form 10-Q for the quarter ended September 30, 2020)</w:t>
              </w:r>
            </w:hyperlink>
          </w:p>
        </w:tc>
      </w:tr>
      <w:tr>
        <w:trPr>
          <w:trHeight w:val="146"/>
        </w:trPr>
        <w:tc>
          <w:tcPr>
            <w:tcW w:w="1160" w:type="dxa"/>
            <w:vAlign w:val="bottom"/>
          </w:tcPr>
          <w:p>
            <w:pPr>
              <w:ind w:left="20"/>
              <w:spacing w:after="0" w:line="147" w:lineRule="exact"/>
              <w:rPr>
                <w:sz w:val="20"/>
                <w:szCs w:val="20"/>
                <w:color w:val="auto"/>
              </w:rPr>
            </w:pPr>
            <w:r>
              <w:rPr>
                <w:rFonts w:ascii="Arial" w:cs="Arial" w:eastAsia="Arial" w:hAnsi="Arial"/>
                <w:sz w:val="14"/>
                <w:szCs w:val="14"/>
                <w:color w:val="auto"/>
              </w:rPr>
              <w:t>10.43*</w:t>
            </w:r>
          </w:p>
        </w:tc>
        <w:tc>
          <w:tcPr>
            <w:tcW w:w="10080" w:type="dxa"/>
            <w:vAlign w:val="bottom"/>
          </w:tcPr>
          <w:p>
            <w:pPr>
              <w:ind w:left="360"/>
              <w:spacing w:after="0" w:line="147" w:lineRule="exact"/>
              <w:rPr>
                <w:rFonts w:ascii="Arial" w:cs="Arial" w:eastAsia="Arial" w:hAnsi="Arial"/>
                <w:sz w:val="14"/>
                <w:szCs w:val="14"/>
                <w:color w:val="auto"/>
              </w:rPr>
            </w:pPr>
            <w:hyperlink r:id="rId275">
              <w:r>
                <w:rPr>
                  <w:rFonts w:ascii="Arial" w:cs="Arial" w:eastAsia="Arial" w:hAnsi="Arial"/>
                  <w:sz w:val="14"/>
                  <w:szCs w:val="14"/>
                  <w:color w:val="auto"/>
                </w:rPr>
                <w:t>Omnibus Amendment to 2016 Stock Incentive Plan of Honeywell International Inc. and its Affiliates (incorporated by reference to Exhibit 10.1 to</w:t>
              </w:r>
            </w:hyperlink>
          </w:p>
        </w:tc>
      </w:tr>
      <w:tr>
        <w:trPr>
          <w:trHeight w:val="185"/>
        </w:trPr>
        <w:tc>
          <w:tcPr>
            <w:tcW w:w="1160" w:type="dxa"/>
            <w:vAlign w:val="bottom"/>
            <w:tcBorders>
              <w:bottom w:val="single" w:sz="8" w:color="61656A"/>
            </w:tcBorders>
          </w:tcPr>
          <w:p>
            <w:pPr>
              <w:spacing w:after="0"/>
              <w:rPr>
                <w:sz w:val="16"/>
                <w:szCs w:val="16"/>
                <w:color w:val="auto"/>
              </w:rPr>
            </w:pPr>
          </w:p>
        </w:tc>
        <w:tc>
          <w:tcPr>
            <w:tcW w:w="10080" w:type="dxa"/>
            <w:vAlign w:val="bottom"/>
            <w:tcBorders>
              <w:bottom w:val="single" w:sz="8" w:color="61656A"/>
            </w:tcBorders>
          </w:tcPr>
          <w:p>
            <w:pPr>
              <w:ind w:left="360"/>
              <w:spacing w:after="0"/>
              <w:rPr>
                <w:rFonts w:ascii="Arial" w:cs="Arial" w:eastAsia="Arial" w:hAnsi="Arial"/>
                <w:sz w:val="14"/>
                <w:szCs w:val="14"/>
                <w:color w:val="auto"/>
              </w:rPr>
            </w:pPr>
            <w:hyperlink r:id="rId275">
              <w:r>
                <w:rPr>
                  <w:rFonts w:ascii="Arial" w:cs="Arial" w:eastAsia="Arial" w:hAnsi="Arial"/>
                  <w:sz w:val="14"/>
                  <w:szCs w:val="14"/>
                  <w:color w:val="auto"/>
                </w:rPr>
                <w:t>Honeywell’s Form 10-Q for the quarter ended June 30, 2021)</w:t>
              </w:r>
            </w:hyperlink>
          </w:p>
        </w:tc>
      </w:tr>
      <w:tr>
        <w:trPr>
          <w:trHeight w:val="192"/>
        </w:trPr>
        <w:tc>
          <w:tcPr>
            <w:tcW w:w="116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10.44*</w:t>
            </w:r>
          </w:p>
        </w:tc>
        <w:tc>
          <w:tcPr>
            <w:tcW w:w="10080" w:type="dxa"/>
            <w:vAlign w:val="bottom"/>
            <w:tcBorders>
              <w:bottom w:val="single" w:sz="8" w:color="61656A"/>
            </w:tcBorders>
          </w:tcPr>
          <w:p>
            <w:pPr>
              <w:ind w:left="360"/>
              <w:spacing w:after="0"/>
              <w:rPr>
                <w:sz w:val="20"/>
                <w:szCs w:val="20"/>
                <w:color w:val="auto"/>
              </w:rPr>
            </w:pPr>
            <w:r>
              <w:rPr>
                <w:rFonts w:ascii="Arial" w:cs="Arial" w:eastAsia="Arial" w:hAnsi="Arial"/>
                <w:sz w:val="14"/>
                <w:szCs w:val="14"/>
                <w:color w:val="auto"/>
              </w:rPr>
              <w:t>2016 Stock Incentive Plan of Honeywell International Inc. and its Affiliates—Form of Restricted Stock Unit Agreement, Form 1 (filed herewith)</w:t>
            </w:r>
          </w:p>
        </w:tc>
      </w:tr>
      <w:tr>
        <w:trPr>
          <w:trHeight w:val="196"/>
        </w:trPr>
        <w:tc>
          <w:tcPr>
            <w:tcW w:w="116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10.45*</w:t>
            </w:r>
          </w:p>
        </w:tc>
        <w:tc>
          <w:tcPr>
            <w:tcW w:w="10080" w:type="dxa"/>
            <w:vAlign w:val="bottom"/>
            <w:tcBorders>
              <w:bottom w:val="single" w:sz="8" w:color="61656A"/>
            </w:tcBorders>
          </w:tcPr>
          <w:p>
            <w:pPr>
              <w:ind w:left="360"/>
              <w:spacing w:after="0"/>
              <w:rPr>
                <w:sz w:val="20"/>
                <w:szCs w:val="20"/>
                <w:color w:val="auto"/>
              </w:rPr>
            </w:pPr>
            <w:r>
              <w:rPr>
                <w:rFonts w:ascii="Arial" w:cs="Arial" w:eastAsia="Arial" w:hAnsi="Arial"/>
                <w:sz w:val="14"/>
                <w:szCs w:val="14"/>
                <w:color w:val="auto"/>
              </w:rPr>
              <w:t>2016 Stock Incentive Plan of Honeywell International Inc. and its Affiliates—Form of Restricted Stock Unit Agreement, Form 2 (filed herewith)</w:t>
            </w:r>
          </w:p>
        </w:tc>
      </w:tr>
      <w:tr>
        <w:trPr>
          <w:trHeight w:val="196"/>
        </w:trPr>
        <w:tc>
          <w:tcPr>
            <w:tcW w:w="116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10.46*</w:t>
            </w:r>
          </w:p>
        </w:tc>
        <w:tc>
          <w:tcPr>
            <w:tcW w:w="10080" w:type="dxa"/>
            <w:vAlign w:val="bottom"/>
            <w:tcBorders>
              <w:bottom w:val="single" w:sz="8" w:color="61656A"/>
            </w:tcBorders>
          </w:tcPr>
          <w:p>
            <w:pPr>
              <w:ind w:left="360"/>
              <w:spacing w:after="0"/>
              <w:rPr>
                <w:sz w:val="20"/>
                <w:szCs w:val="20"/>
                <w:color w:val="auto"/>
              </w:rPr>
            </w:pPr>
            <w:r>
              <w:rPr>
                <w:rFonts w:ascii="Arial" w:cs="Arial" w:eastAsia="Arial" w:hAnsi="Arial"/>
                <w:sz w:val="14"/>
                <w:szCs w:val="14"/>
                <w:color w:val="auto"/>
              </w:rPr>
              <w:t>2016 Stock Incentive Plan of Honeywell International Inc. and its Affiliates—Form of Stock Option Award Agreement (filed herewith)</w:t>
            </w:r>
          </w:p>
        </w:tc>
      </w:tr>
      <w:tr>
        <w:trPr>
          <w:trHeight w:val="196"/>
        </w:trPr>
        <w:tc>
          <w:tcPr>
            <w:tcW w:w="116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10.47*</w:t>
            </w:r>
          </w:p>
        </w:tc>
        <w:tc>
          <w:tcPr>
            <w:tcW w:w="10080" w:type="dxa"/>
            <w:vAlign w:val="bottom"/>
            <w:tcBorders>
              <w:bottom w:val="single" w:sz="8" w:color="61656A"/>
            </w:tcBorders>
          </w:tcPr>
          <w:p>
            <w:pPr>
              <w:ind w:left="360"/>
              <w:spacing w:after="0"/>
              <w:rPr>
                <w:sz w:val="20"/>
                <w:szCs w:val="20"/>
                <w:color w:val="auto"/>
              </w:rPr>
            </w:pPr>
            <w:r>
              <w:rPr>
                <w:rFonts w:ascii="Arial" w:cs="Arial" w:eastAsia="Arial" w:hAnsi="Arial"/>
                <w:sz w:val="14"/>
                <w:szCs w:val="14"/>
                <w:color w:val="auto"/>
              </w:rPr>
              <w:t>2016 Stock Incentive Plan of Honeywell International Inc. and its Affiliates—Form of Performance Plan Grant Agreement (filed herewith)</w:t>
            </w:r>
          </w:p>
        </w:tc>
      </w:tr>
      <w:tr>
        <w:trPr>
          <w:trHeight w:val="150"/>
        </w:trPr>
        <w:tc>
          <w:tcPr>
            <w:tcW w:w="1160" w:type="dxa"/>
            <w:vAlign w:val="bottom"/>
          </w:tcPr>
          <w:p>
            <w:pPr>
              <w:ind w:left="20"/>
              <w:spacing w:after="0" w:line="151" w:lineRule="exact"/>
              <w:rPr>
                <w:sz w:val="20"/>
                <w:szCs w:val="20"/>
                <w:color w:val="auto"/>
              </w:rPr>
            </w:pPr>
            <w:r>
              <w:rPr>
                <w:rFonts w:ascii="Arial" w:cs="Arial" w:eastAsia="Arial" w:hAnsi="Arial"/>
                <w:sz w:val="14"/>
                <w:szCs w:val="14"/>
                <w:color w:val="auto"/>
              </w:rPr>
              <w:t>10.48*</w:t>
            </w:r>
          </w:p>
        </w:tc>
        <w:tc>
          <w:tcPr>
            <w:tcW w:w="10080" w:type="dxa"/>
            <w:vAlign w:val="bottom"/>
          </w:tcPr>
          <w:p>
            <w:pPr>
              <w:ind w:left="360"/>
              <w:spacing w:after="0" w:line="151" w:lineRule="exact"/>
              <w:rPr>
                <w:rFonts w:ascii="Arial" w:cs="Arial" w:eastAsia="Arial" w:hAnsi="Arial"/>
                <w:sz w:val="14"/>
                <w:szCs w:val="14"/>
                <w:color w:val="auto"/>
              </w:rPr>
            </w:pPr>
            <w:hyperlink r:id="rId302">
              <w:r>
                <w:rPr>
                  <w:rFonts w:ascii="Arial" w:cs="Arial" w:eastAsia="Arial" w:hAnsi="Arial"/>
                  <w:sz w:val="14"/>
                  <w:szCs w:val="14"/>
                  <w:color w:val="auto"/>
                </w:rPr>
                <w:t>2016 Stock Plan for Non-Employee Directors (incorporated by reference to Exhibit B of Honeywell’s Proxy Statement, dated March 10, 2016, filed</w:t>
              </w:r>
            </w:hyperlink>
          </w:p>
        </w:tc>
      </w:tr>
      <w:tr>
        <w:trPr>
          <w:trHeight w:val="185"/>
        </w:trPr>
        <w:tc>
          <w:tcPr>
            <w:tcW w:w="1160" w:type="dxa"/>
            <w:vAlign w:val="bottom"/>
            <w:tcBorders>
              <w:bottom w:val="single" w:sz="8" w:color="61656A"/>
            </w:tcBorders>
          </w:tcPr>
          <w:p>
            <w:pPr>
              <w:spacing w:after="0"/>
              <w:rPr>
                <w:sz w:val="16"/>
                <w:szCs w:val="16"/>
                <w:color w:val="auto"/>
              </w:rPr>
            </w:pPr>
          </w:p>
        </w:tc>
        <w:tc>
          <w:tcPr>
            <w:tcW w:w="10080" w:type="dxa"/>
            <w:vAlign w:val="bottom"/>
            <w:tcBorders>
              <w:bottom w:val="single" w:sz="8" w:color="61656A"/>
            </w:tcBorders>
          </w:tcPr>
          <w:p>
            <w:pPr>
              <w:ind w:left="360"/>
              <w:spacing w:after="0"/>
              <w:rPr>
                <w:rFonts w:ascii="Arial" w:cs="Arial" w:eastAsia="Arial" w:hAnsi="Arial"/>
                <w:sz w:val="14"/>
                <w:szCs w:val="14"/>
                <w:color w:val="auto"/>
              </w:rPr>
            </w:pPr>
            <w:hyperlink r:id="rId302">
              <w:r>
                <w:rPr>
                  <w:rFonts w:ascii="Arial" w:cs="Arial" w:eastAsia="Arial" w:hAnsi="Arial"/>
                  <w:sz w:val="14"/>
                  <w:szCs w:val="14"/>
                  <w:color w:val="auto"/>
                </w:rPr>
                <w:t>pursuant to Rule 14a-6 of the Securities Exchange Act of 1934)</w:t>
              </w:r>
            </w:hyperlink>
          </w:p>
        </w:tc>
      </w:tr>
      <w:tr>
        <w:trPr>
          <w:trHeight w:val="146"/>
        </w:trPr>
        <w:tc>
          <w:tcPr>
            <w:tcW w:w="1160" w:type="dxa"/>
            <w:vAlign w:val="bottom"/>
          </w:tcPr>
          <w:p>
            <w:pPr>
              <w:ind w:left="20"/>
              <w:spacing w:after="0" w:line="147" w:lineRule="exact"/>
              <w:rPr>
                <w:sz w:val="20"/>
                <w:szCs w:val="20"/>
                <w:color w:val="auto"/>
              </w:rPr>
            </w:pPr>
            <w:r>
              <w:rPr>
                <w:rFonts w:ascii="Arial" w:cs="Arial" w:eastAsia="Arial" w:hAnsi="Arial"/>
                <w:sz w:val="14"/>
                <w:szCs w:val="14"/>
                <w:color w:val="auto"/>
              </w:rPr>
              <w:t>10.49*</w:t>
            </w:r>
          </w:p>
        </w:tc>
        <w:tc>
          <w:tcPr>
            <w:tcW w:w="10080" w:type="dxa"/>
            <w:vAlign w:val="bottom"/>
          </w:tcPr>
          <w:p>
            <w:pPr>
              <w:ind w:left="360"/>
              <w:spacing w:after="0" w:line="147" w:lineRule="exact"/>
              <w:rPr>
                <w:rFonts w:ascii="Arial" w:cs="Arial" w:eastAsia="Arial" w:hAnsi="Arial"/>
                <w:sz w:val="14"/>
                <w:szCs w:val="14"/>
                <w:color w:val="auto"/>
              </w:rPr>
            </w:pPr>
            <w:hyperlink r:id="rId304">
              <w:r>
                <w:rPr>
                  <w:rFonts w:ascii="Arial" w:cs="Arial" w:eastAsia="Arial" w:hAnsi="Arial"/>
                  <w:sz w:val="14"/>
                  <w:szCs w:val="14"/>
                  <w:color w:val="auto"/>
                </w:rPr>
                <w:t>Amendment to the 2016 Stock Plan for Non-Employee Directors of Honeywell International Inc. (incorporated by reference to Exhibit 99.2 to Honeywell's</w:t>
              </w:r>
            </w:hyperlink>
          </w:p>
        </w:tc>
      </w:tr>
      <w:tr>
        <w:trPr>
          <w:trHeight w:val="185"/>
        </w:trPr>
        <w:tc>
          <w:tcPr>
            <w:tcW w:w="1160" w:type="dxa"/>
            <w:vAlign w:val="bottom"/>
            <w:tcBorders>
              <w:bottom w:val="single" w:sz="8" w:color="61656A"/>
            </w:tcBorders>
          </w:tcPr>
          <w:p>
            <w:pPr>
              <w:spacing w:after="0"/>
              <w:rPr>
                <w:sz w:val="16"/>
                <w:szCs w:val="16"/>
                <w:color w:val="auto"/>
              </w:rPr>
            </w:pPr>
          </w:p>
        </w:tc>
        <w:tc>
          <w:tcPr>
            <w:tcW w:w="10080" w:type="dxa"/>
            <w:vAlign w:val="bottom"/>
            <w:tcBorders>
              <w:bottom w:val="single" w:sz="8" w:color="61656A"/>
            </w:tcBorders>
          </w:tcPr>
          <w:p>
            <w:pPr>
              <w:ind w:left="360"/>
              <w:spacing w:after="0"/>
              <w:rPr>
                <w:rFonts w:ascii="Arial" w:cs="Arial" w:eastAsia="Arial" w:hAnsi="Arial"/>
                <w:sz w:val="14"/>
                <w:szCs w:val="14"/>
                <w:color w:val="auto"/>
              </w:rPr>
            </w:pPr>
            <w:hyperlink r:id="rId304">
              <w:r>
                <w:rPr>
                  <w:rFonts w:ascii="Arial" w:cs="Arial" w:eastAsia="Arial" w:hAnsi="Arial"/>
                  <w:sz w:val="14"/>
                  <w:szCs w:val="14"/>
                  <w:color w:val="auto"/>
                </w:rPr>
                <w:t>Form 8-K filed October 8, 2019)</w:t>
              </w:r>
            </w:hyperlink>
          </w:p>
        </w:tc>
      </w:tr>
      <w:tr>
        <w:trPr>
          <w:trHeight w:val="146"/>
        </w:trPr>
        <w:tc>
          <w:tcPr>
            <w:tcW w:w="1160" w:type="dxa"/>
            <w:vAlign w:val="bottom"/>
          </w:tcPr>
          <w:p>
            <w:pPr>
              <w:ind w:left="20"/>
              <w:spacing w:after="0" w:line="147" w:lineRule="exact"/>
              <w:rPr>
                <w:sz w:val="20"/>
                <w:szCs w:val="20"/>
                <w:color w:val="auto"/>
              </w:rPr>
            </w:pPr>
            <w:r>
              <w:rPr>
                <w:rFonts w:ascii="Arial" w:cs="Arial" w:eastAsia="Arial" w:hAnsi="Arial"/>
                <w:sz w:val="14"/>
                <w:szCs w:val="14"/>
                <w:color w:val="auto"/>
              </w:rPr>
              <w:t>10.50*</w:t>
            </w:r>
          </w:p>
        </w:tc>
        <w:tc>
          <w:tcPr>
            <w:tcW w:w="10080" w:type="dxa"/>
            <w:vAlign w:val="bottom"/>
          </w:tcPr>
          <w:p>
            <w:pPr>
              <w:ind w:left="360"/>
              <w:spacing w:after="0" w:line="147" w:lineRule="exact"/>
              <w:rPr>
                <w:rFonts w:ascii="Arial" w:cs="Arial" w:eastAsia="Arial" w:hAnsi="Arial"/>
                <w:sz w:val="14"/>
                <w:szCs w:val="14"/>
                <w:color w:val="auto"/>
              </w:rPr>
            </w:pPr>
            <w:hyperlink r:id="rId305">
              <w:r>
                <w:rPr>
                  <w:rFonts w:ascii="Arial" w:cs="Arial" w:eastAsia="Arial" w:hAnsi="Arial"/>
                  <w:sz w:val="14"/>
                  <w:szCs w:val="14"/>
                  <w:color w:val="auto"/>
                </w:rPr>
                <w:t>Amendment to the 2016 Stock Plan for Non-Employee Directors of Honeywell International Inc. (incorporated by reference to Exhibit 10.1 to Honeywell’s</w:t>
              </w:r>
            </w:hyperlink>
          </w:p>
        </w:tc>
      </w:tr>
      <w:tr>
        <w:trPr>
          <w:trHeight w:val="190"/>
        </w:trPr>
        <w:tc>
          <w:tcPr>
            <w:tcW w:w="1160" w:type="dxa"/>
            <w:vAlign w:val="bottom"/>
          </w:tcPr>
          <w:p>
            <w:pPr>
              <w:spacing w:after="0"/>
              <w:rPr>
                <w:sz w:val="16"/>
                <w:szCs w:val="16"/>
                <w:color w:val="auto"/>
              </w:rPr>
            </w:pPr>
          </w:p>
        </w:tc>
        <w:tc>
          <w:tcPr>
            <w:tcW w:w="10080" w:type="dxa"/>
            <w:vAlign w:val="bottom"/>
          </w:tcPr>
          <w:p>
            <w:pPr>
              <w:ind w:left="360"/>
              <w:spacing w:after="0"/>
              <w:rPr>
                <w:rFonts w:ascii="Arial" w:cs="Arial" w:eastAsia="Arial" w:hAnsi="Arial"/>
                <w:sz w:val="14"/>
                <w:szCs w:val="14"/>
                <w:color w:val="auto"/>
              </w:rPr>
            </w:pPr>
            <w:hyperlink r:id="rId305">
              <w:r>
                <w:rPr>
                  <w:rFonts w:ascii="Arial" w:cs="Arial" w:eastAsia="Arial" w:hAnsi="Arial"/>
                  <w:sz w:val="14"/>
                  <w:szCs w:val="14"/>
                  <w:color w:val="auto"/>
                </w:rPr>
                <w:t>Form 10-Q for the quarter ended June 30, 2020)</w:t>
              </w:r>
            </w:hyperlink>
          </w:p>
        </w:tc>
      </w:tr>
    </w:tbl>
    <w:p>
      <w:pPr>
        <w:spacing w:after="0" w:line="200" w:lineRule="exact"/>
        <w:rPr>
          <w:sz w:val="20"/>
          <w:szCs w:val="20"/>
          <w:color w:val="auto"/>
        </w:rPr>
      </w:pPr>
    </w:p>
    <w:p>
      <w:pPr>
        <w:spacing w:after="0" w:line="322" w:lineRule="exact"/>
        <w:rPr>
          <w:sz w:val="20"/>
          <w:szCs w:val="20"/>
          <w:color w:val="auto"/>
        </w:rPr>
      </w:pPr>
    </w:p>
    <w:p>
      <w:pPr>
        <w:ind w:left="500" w:hanging="492"/>
        <w:spacing w:after="0"/>
        <w:tabs>
          <w:tab w:leader="none" w:pos="500" w:val="left"/>
        </w:tabs>
        <w:numPr>
          <w:ilvl w:val="0"/>
          <w:numId w:val="200"/>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123" w:name="page124"/>
    <w:bookmarkEnd w:id="123"/>
    <w:p>
      <w:pPr>
        <w:ind w:left="20"/>
        <w:spacing w:after="0"/>
        <w:tabs>
          <w:tab w:leader="none" w:pos="1028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EXHIBIT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16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Exhibit No.</w:t>
            </w:r>
          </w:p>
        </w:tc>
        <w:tc>
          <w:tcPr>
            <w:tcW w:w="10080" w:type="dxa"/>
            <w:vAlign w:val="bottom"/>
            <w:tcBorders>
              <w:bottom w:val="single" w:sz="8" w:color="D7282F"/>
            </w:tcBorders>
          </w:tcPr>
          <w:p>
            <w:pPr>
              <w:ind w:left="4820"/>
              <w:spacing w:after="0"/>
              <w:rPr>
                <w:sz w:val="20"/>
                <w:szCs w:val="20"/>
                <w:color w:val="auto"/>
              </w:rPr>
            </w:pPr>
            <w:r>
              <w:rPr>
                <w:rFonts w:ascii="Arial" w:cs="Arial" w:eastAsia="Arial" w:hAnsi="Arial"/>
                <w:sz w:val="14"/>
                <w:szCs w:val="14"/>
                <w:b w:val="1"/>
                <w:bCs w:val="1"/>
                <w:color w:val="auto"/>
              </w:rPr>
              <w:t>Description</w:t>
            </w:r>
          </w:p>
        </w:tc>
      </w:tr>
      <w:tr>
        <w:trPr>
          <w:trHeight w:val="153"/>
        </w:trPr>
        <w:tc>
          <w:tcPr>
            <w:tcW w:w="1160" w:type="dxa"/>
            <w:vAlign w:val="bottom"/>
          </w:tcPr>
          <w:p>
            <w:pPr>
              <w:ind w:left="20"/>
              <w:spacing w:after="0" w:line="153" w:lineRule="exact"/>
              <w:rPr>
                <w:sz w:val="20"/>
                <w:szCs w:val="20"/>
                <w:color w:val="auto"/>
              </w:rPr>
            </w:pPr>
            <w:r>
              <w:rPr>
                <w:rFonts w:ascii="Arial" w:cs="Arial" w:eastAsia="Arial" w:hAnsi="Arial"/>
                <w:sz w:val="14"/>
                <w:szCs w:val="14"/>
                <w:color w:val="auto"/>
              </w:rPr>
              <w:t>10.51*</w:t>
            </w:r>
          </w:p>
        </w:tc>
        <w:tc>
          <w:tcPr>
            <w:tcW w:w="10080" w:type="dxa"/>
            <w:vAlign w:val="bottom"/>
          </w:tcPr>
          <w:p>
            <w:pPr>
              <w:ind w:left="360"/>
              <w:spacing w:after="0" w:line="153" w:lineRule="exact"/>
              <w:rPr>
                <w:rFonts w:ascii="Arial" w:cs="Arial" w:eastAsia="Arial" w:hAnsi="Arial"/>
                <w:sz w:val="14"/>
                <w:szCs w:val="14"/>
                <w:color w:val="auto"/>
              </w:rPr>
            </w:pPr>
            <w:hyperlink r:id="rId275">
              <w:r>
                <w:rPr>
                  <w:rFonts w:ascii="Arial" w:cs="Arial" w:eastAsia="Arial" w:hAnsi="Arial"/>
                  <w:sz w:val="14"/>
                  <w:szCs w:val="14"/>
                  <w:color w:val="auto"/>
                </w:rPr>
                <w:t>Omnibus Amendment to 2016 Stock Plan for Non-Employee Directors of Honeywell International Inc. (incorporated by reference to Exhibit 10.1 to</w:t>
              </w:r>
            </w:hyperlink>
          </w:p>
        </w:tc>
      </w:tr>
      <w:tr>
        <w:trPr>
          <w:trHeight w:val="185"/>
        </w:trPr>
        <w:tc>
          <w:tcPr>
            <w:tcW w:w="1160" w:type="dxa"/>
            <w:vAlign w:val="bottom"/>
            <w:tcBorders>
              <w:bottom w:val="single" w:sz="8" w:color="61656A"/>
            </w:tcBorders>
          </w:tcPr>
          <w:p>
            <w:pPr>
              <w:spacing w:after="0"/>
              <w:rPr>
                <w:sz w:val="16"/>
                <w:szCs w:val="16"/>
                <w:color w:val="auto"/>
              </w:rPr>
            </w:pPr>
          </w:p>
        </w:tc>
        <w:tc>
          <w:tcPr>
            <w:tcW w:w="10080" w:type="dxa"/>
            <w:vAlign w:val="bottom"/>
            <w:tcBorders>
              <w:bottom w:val="single" w:sz="8" w:color="61656A"/>
            </w:tcBorders>
          </w:tcPr>
          <w:p>
            <w:pPr>
              <w:ind w:left="360"/>
              <w:spacing w:after="0"/>
              <w:rPr>
                <w:rFonts w:ascii="Arial" w:cs="Arial" w:eastAsia="Arial" w:hAnsi="Arial"/>
                <w:sz w:val="14"/>
                <w:szCs w:val="14"/>
                <w:color w:val="auto"/>
              </w:rPr>
            </w:pPr>
            <w:hyperlink r:id="rId275">
              <w:r>
                <w:rPr>
                  <w:rFonts w:ascii="Arial" w:cs="Arial" w:eastAsia="Arial" w:hAnsi="Arial"/>
                  <w:sz w:val="14"/>
                  <w:szCs w:val="14"/>
                  <w:color w:val="auto"/>
                </w:rPr>
                <w:t>Honeywell’s Form 10-Q for the quarter ended June 30, 2021)</w:t>
              </w:r>
            </w:hyperlink>
          </w:p>
        </w:tc>
      </w:tr>
      <w:tr>
        <w:trPr>
          <w:trHeight w:val="146"/>
        </w:trPr>
        <w:tc>
          <w:tcPr>
            <w:tcW w:w="1160" w:type="dxa"/>
            <w:vAlign w:val="bottom"/>
          </w:tcPr>
          <w:p>
            <w:pPr>
              <w:ind w:left="20"/>
              <w:spacing w:after="0" w:line="147" w:lineRule="exact"/>
              <w:rPr>
                <w:sz w:val="20"/>
                <w:szCs w:val="20"/>
                <w:color w:val="auto"/>
              </w:rPr>
            </w:pPr>
            <w:r>
              <w:rPr>
                <w:rFonts w:ascii="Arial" w:cs="Arial" w:eastAsia="Arial" w:hAnsi="Arial"/>
                <w:sz w:val="14"/>
                <w:szCs w:val="14"/>
                <w:color w:val="auto"/>
              </w:rPr>
              <w:t>10.52*</w:t>
            </w:r>
          </w:p>
        </w:tc>
        <w:tc>
          <w:tcPr>
            <w:tcW w:w="10080" w:type="dxa"/>
            <w:vAlign w:val="bottom"/>
          </w:tcPr>
          <w:p>
            <w:pPr>
              <w:ind w:left="360"/>
              <w:spacing w:after="0" w:line="147" w:lineRule="exact"/>
              <w:rPr>
                <w:rFonts w:ascii="Arial" w:cs="Arial" w:eastAsia="Arial" w:hAnsi="Arial"/>
                <w:sz w:val="14"/>
                <w:szCs w:val="14"/>
                <w:color w:val="auto"/>
              </w:rPr>
            </w:pPr>
            <w:hyperlink r:id="rId307">
              <w:r>
                <w:rPr>
                  <w:rFonts w:ascii="Arial" w:cs="Arial" w:eastAsia="Arial" w:hAnsi="Arial"/>
                  <w:sz w:val="14"/>
                  <w:szCs w:val="14"/>
                  <w:color w:val="auto"/>
                </w:rPr>
                <w:t>2016 Stock Plan for Non-Employee Directors of Honeywell International Inc.—Form of Stock Option Award Agreement (incorporated by reference to</w:t>
              </w:r>
            </w:hyperlink>
          </w:p>
        </w:tc>
      </w:tr>
      <w:tr>
        <w:trPr>
          <w:trHeight w:val="185"/>
        </w:trPr>
        <w:tc>
          <w:tcPr>
            <w:tcW w:w="1160" w:type="dxa"/>
            <w:vAlign w:val="bottom"/>
            <w:tcBorders>
              <w:bottom w:val="single" w:sz="8" w:color="61656A"/>
            </w:tcBorders>
          </w:tcPr>
          <w:p>
            <w:pPr>
              <w:spacing w:after="0"/>
              <w:rPr>
                <w:sz w:val="16"/>
                <w:szCs w:val="16"/>
                <w:color w:val="auto"/>
              </w:rPr>
            </w:pPr>
          </w:p>
        </w:tc>
        <w:tc>
          <w:tcPr>
            <w:tcW w:w="10080" w:type="dxa"/>
            <w:vAlign w:val="bottom"/>
            <w:tcBorders>
              <w:bottom w:val="single" w:sz="8" w:color="61656A"/>
            </w:tcBorders>
          </w:tcPr>
          <w:p>
            <w:pPr>
              <w:ind w:left="360"/>
              <w:spacing w:after="0"/>
              <w:rPr>
                <w:rFonts w:ascii="Arial" w:cs="Arial" w:eastAsia="Arial" w:hAnsi="Arial"/>
                <w:sz w:val="14"/>
                <w:szCs w:val="14"/>
                <w:color w:val="auto"/>
              </w:rPr>
            </w:pPr>
            <w:hyperlink r:id="rId307">
              <w:r>
                <w:rPr>
                  <w:rFonts w:ascii="Arial" w:cs="Arial" w:eastAsia="Arial" w:hAnsi="Arial"/>
                  <w:sz w:val="14"/>
                  <w:szCs w:val="14"/>
                  <w:color w:val="auto"/>
                </w:rPr>
                <w:t>Exhibit 10.6 to Honeywell’s Form 10-Q for the quarter ended June 30, 2021)</w:t>
              </w:r>
            </w:hyperlink>
          </w:p>
        </w:tc>
      </w:tr>
      <w:tr>
        <w:trPr>
          <w:trHeight w:val="146"/>
        </w:trPr>
        <w:tc>
          <w:tcPr>
            <w:tcW w:w="1160" w:type="dxa"/>
            <w:vAlign w:val="bottom"/>
          </w:tcPr>
          <w:p>
            <w:pPr>
              <w:ind w:left="20"/>
              <w:spacing w:after="0" w:line="147" w:lineRule="exact"/>
              <w:rPr>
                <w:sz w:val="20"/>
                <w:szCs w:val="20"/>
                <w:color w:val="auto"/>
              </w:rPr>
            </w:pPr>
            <w:r>
              <w:rPr>
                <w:rFonts w:ascii="Arial" w:cs="Arial" w:eastAsia="Arial" w:hAnsi="Arial"/>
                <w:sz w:val="14"/>
                <w:szCs w:val="14"/>
                <w:color w:val="auto"/>
              </w:rPr>
              <w:t>10.53*</w:t>
            </w:r>
          </w:p>
        </w:tc>
        <w:tc>
          <w:tcPr>
            <w:tcW w:w="10080" w:type="dxa"/>
            <w:vAlign w:val="bottom"/>
          </w:tcPr>
          <w:p>
            <w:pPr>
              <w:ind w:left="360"/>
              <w:spacing w:after="0" w:line="147" w:lineRule="exact"/>
              <w:rPr>
                <w:rFonts w:ascii="Arial" w:cs="Arial" w:eastAsia="Arial" w:hAnsi="Arial"/>
                <w:sz w:val="14"/>
                <w:szCs w:val="14"/>
                <w:color w:val="auto"/>
              </w:rPr>
            </w:pPr>
            <w:hyperlink r:id="rId308">
              <w:r>
                <w:rPr>
                  <w:rFonts w:ascii="Arial" w:cs="Arial" w:eastAsia="Arial" w:hAnsi="Arial"/>
                  <w:sz w:val="14"/>
                  <w:szCs w:val="14"/>
                  <w:color w:val="auto"/>
                </w:rPr>
                <w:t>2016 Stock Plan for Non-Employee Directors of Honeywell International Inc.—Form of Restricted Stock Unit Agreement (incorporated by reference to</w:t>
              </w:r>
            </w:hyperlink>
          </w:p>
        </w:tc>
      </w:tr>
      <w:tr>
        <w:trPr>
          <w:trHeight w:val="185"/>
        </w:trPr>
        <w:tc>
          <w:tcPr>
            <w:tcW w:w="1160" w:type="dxa"/>
            <w:vAlign w:val="bottom"/>
            <w:tcBorders>
              <w:bottom w:val="single" w:sz="8" w:color="61656A"/>
            </w:tcBorders>
          </w:tcPr>
          <w:p>
            <w:pPr>
              <w:spacing w:after="0"/>
              <w:rPr>
                <w:sz w:val="16"/>
                <w:szCs w:val="16"/>
                <w:color w:val="auto"/>
              </w:rPr>
            </w:pPr>
          </w:p>
        </w:tc>
        <w:tc>
          <w:tcPr>
            <w:tcW w:w="10080" w:type="dxa"/>
            <w:vAlign w:val="bottom"/>
            <w:tcBorders>
              <w:bottom w:val="single" w:sz="8" w:color="61656A"/>
            </w:tcBorders>
          </w:tcPr>
          <w:p>
            <w:pPr>
              <w:ind w:left="360"/>
              <w:spacing w:after="0"/>
              <w:rPr>
                <w:rFonts w:ascii="Arial" w:cs="Arial" w:eastAsia="Arial" w:hAnsi="Arial"/>
                <w:sz w:val="14"/>
                <w:szCs w:val="14"/>
                <w:color w:val="auto"/>
              </w:rPr>
            </w:pPr>
            <w:hyperlink r:id="rId308">
              <w:r>
                <w:rPr>
                  <w:rFonts w:ascii="Arial" w:cs="Arial" w:eastAsia="Arial" w:hAnsi="Arial"/>
                  <w:sz w:val="14"/>
                  <w:szCs w:val="14"/>
                  <w:color w:val="auto"/>
                </w:rPr>
                <w:t>Exhibit 10.7 to Honeywell’s Form 10-Q for the quarter ended June 30, 2021)</w:t>
              </w:r>
            </w:hyperlink>
          </w:p>
        </w:tc>
      </w:tr>
      <w:tr>
        <w:trPr>
          <w:trHeight w:val="146"/>
        </w:trPr>
        <w:tc>
          <w:tcPr>
            <w:tcW w:w="1160" w:type="dxa"/>
            <w:vAlign w:val="bottom"/>
          </w:tcPr>
          <w:p>
            <w:pPr>
              <w:ind w:left="20"/>
              <w:spacing w:after="0" w:line="147" w:lineRule="exact"/>
              <w:rPr>
                <w:sz w:val="20"/>
                <w:szCs w:val="20"/>
                <w:color w:val="auto"/>
              </w:rPr>
            </w:pPr>
            <w:r>
              <w:rPr>
                <w:rFonts w:ascii="Arial" w:cs="Arial" w:eastAsia="Arial" w:hAnsi="Arial"/>
                <w:sz w:val="14"/>
                <w:szCs w:val="14"/>
                <w:color w:val="auto"/>
              </w:rPr>
              <w:t>10.54*</w:t>
            </w:r>
          </w:p>
        </w:tc>
        <w:tc>
          <w:tcPr>
            <w:tcW w:w="10080" w:type="dxa"/>
            <w:vAlign w:val="bottom"/>
          </w:tcPr>
          <w:p>
            <w:pPr>
              <w:ind w:left="360"/>
              <w:spacing w:after="0" w:line="147" w:lineRule="exact"/>
              <w:rPr>
                <w:rFonts w:ascii="Arial" w:cs="Arial" w:eastAsia="Arial" w:hAnsi="Arial"/>
                <w:sz w:val="14"/>
                <w:szCs w:val="14"/>
                <w:color w:val="auto"/>
              </w:rPr>
            </w:pPr>
            <w:hyperlink r:id="rId309">
              <w:r>
                <w:rPr>
                  <w:rFonts w:ascii="Arial" w:cs="Arial" w:eastAsia="Arial" w:hAnsi="Arial"/>
                  <w:sz w:val="14"/>
                  <w:szCs w:val="14"/>
                  <w:color w:val="auto"/>
                </w:rPr>
                <w:t>Amendment to the 2016 Stock Plan for Non-Employee Directors of Honeywell International Inc. (incorporated by reference to Exhibit 10.5 to Honeywell's</w:t>
              </w:r>
            </w:hyperlink>
          </w:p>
        </w:tc>
      </w:tr>
      <w:tr>
        <w:trPr>
          <w:trHeight w:val="185"/>
        </w:trPr>
        <w:tc>
          <w:tcPr>
            <w:tcW w:w="1160" w:type="dxa"/>
            <w:vAlign w:val="bottom"/>
            <w:tcBorders>
              <w:bottom w:val="single" w:sz="8" w:color="61656A"/>
            </w:tcBorders>
          </w:tcPr>
          <w:p>
            <w:pPr>
              <w:spacing w:after="0"/>
              <w:rPr>
                <w:sz w:val="16"/>
                <w:szCs w:val="16"/>
                <w:color w:val="auto"/>
              </w:rPr>
            </w:pPr>
          </w:p>
        </w:tc>
        <w:tc>
          <w:tcPr>
            <w:tcW w:w="10080" w:type="dxa"/>
            <w:vAlign w:val="bottom"/>
            <w:tcBorders>
              <w:bottom w:val="single" w:sz="8" w:color="61656A"/>
            </w:tcBorders>
          </w:tcPr>
          <w:p>
            <w:pPr>
              <w:ind w:left="360"/>
              <w:spacing w:after="0"/>
              <w:rPr>
                <w:rFonts w:ascii="Arial" w:cs="Arial" w:eastAsia="Arial" w:hAnsi="Arial"/>
                <w:sz w:val="14"/>
                <w:szCs w:val="14"/>
                <w:color w:val="auto"/>
              </w:rPr>
            </w:pPr>
            <w:hyperlink r:id="rId309">
              <w:r>
                <w:rPr>
                  <w:rFonts w:ascii="Arial" w:cs="Arial" w:eastAsia="Arial" w:hAnsi="Arial"/>
                  <w:sz w:val="14"/>
                  <w:szCs w:val="14"/>
                  <w:color w:val="auto"/>
                </w:rPr>
                <w:t>Form 10-K for the year ended December 31, 2023)</w:t>
              </w:r>
            </w:hyperlink>
          </w:p>
        </w:tc>
      </w:tr>
      <w:tr>
        <w:trPr>
          <w:trHeight w:val="146"/>
        </w:trPr>
        <w:tc>
          <w:tcPr>
            <w:tcW w:w="1160" w:type="dxa"/>
            <w:vAlign w:val="bottom"/>
          </w:tcPr>
          <w:p>
            <w:pPr>
              <w:ind w:left="20"/>
              <w:spacing w:after="0" w:line="147" w:lineRule="exact"/>
              <w:rPr>
                <w:sz w:val="20"/>
                <w:szCs w:val="20"/>
                <w:color w:val="auto"/>
              </w:rPr>
            </w:pPr>
            <w:r>
              <w:rPr>
                <w:rFonts w:ascii="Arial" w:cs="Arial" w:eastAsia="Arial" w:hAnsi="Arial"/>
                <w:sz w:val="14"/>
                <w:szCs w:val="14"/>
                <w:color w:val="auto"/>
              </w:rPr>
              <w:t>10.55*</w:t>
            </w:r>
          </w:p>
        </w:tc>
        <w:tc>
          <w:tcPr>
            <w:tcW w:w="10080" w:type="dxa"/>
            <w:vAlign w:val="bottom"/>
          </w:tcPr>
          <w:p>
            <w:pPr>
              <w:ind w:left="360"/>
              <w:spacing w:after="0" w:line="147" w:lineRule="exact"/>
              <w:rPr>
                <w:rFonts w:ascii="Arial" w:cs="Arial" w:eastAsia="Arial" w:hAnsi="Arial"/>
                <w:sz w:val="14"/>
                <w:szCs w:val="14"/>
                <w:color w:val="auto"/>
              </w:rPr>
            </w:pPr>
            <w:hyperlink r:id="rId310">
              <w:r>
                <w:rPr>
                  <w:rFonts w:ascii="Arial" w:cs="Arial" w:eastAsia="Arial" w:hAnsi="Arial"/>
                  <w:sz w:val="14"/>
                  <w:szCs w:val="14"/>
                  <w:color w:val="auto"/>
                </w:rPr>
                <w:t xml:space="preserve">Form of Honeywell International Inc. Noncompete Agreement for Senior Executives </w:t>
              </w:r>
            </w:hyperlink>
            <w:r>
              <w:rPr>
                <w:rFonts w:ascii="Arial" w:cs="Arial" w:eastAsia="Arial" w:hAnsi="Arial"/>
                <w:sz w:val="14"/>
                <w:szCs w:val="14"/>
                <w:color w:val="auto"/>
              </w:rPr>
              <w:t>(incorporated by reference to Exhibit 10.61 to Honeywell’s Form 10-</w:t>
            </w:r>
          </w:p>
        </w:tc>
      </w:tr>
      <w:tr>
        <w:trPr>
          <w:trHeight w:val="185"/>
        </w:trPr>
        <w:tc>
          <w:tcPr>
            <w:tcW w:w="1160" w:type="dxa"/>
            <w:vAlign w:val="bottom"/>
            <w:tcBorders>
              <w:bottom w:val="single" w:sz="8" w:color="61656A"/>
            </w:tcBorders>
          </w:tcPr>
          <w:p>
            <w:pPr>
              <w:spacing w:after="0"/>
              <w:rPr>
                <w:sz w:val="16"/>
                <w:szCs w:val="16"/>
                <w:color w:val="auto"/>
              </w:rPr>
            </w:pPr>
          </w:p>
        </w:tc>
        <w:tc>
          <w:tcPr>
            <w:tcW w:w="10080" w:type="dxa"/>
            <w:vAlign w:val="bottom"/>
            <w:tcBorders>
              <w:bottom w:val="single" w:sz="8" w:color="61656A"/>
            </w:tcBorders>
          </w:tcPr>
          <w:p>
            <w:pPr>
              <w:ind w:left="360"/>
              <w:spacing w:after="0"/>
              <w:rPr>
                <w:rFonts w:ascii="Arial" w:cs="Arial" w:eastAsia="Arial" w:hAnsi="Arial"/>
                <w:sz w:val="14"/>
                <w:szCs w:val="14"/>
                <w:color w:val="auto"/>
              </w:rPr>
            </w:pPr>
            <w:r>
              <w:rPr>
                <w:rFonts w:ascii="Arial" w:cs="Arial" w:eastAsia="Arial" w:hAnsi="Arial"/>
                <w:sz w:val="14"/>
                <w:szCs w:val="14"/>
                <w:color w:val="auto"/>
              </w:rPr>
              <w:t xml:space="preserve">K for the year ended December 31, </w:t>
            </w:r>
            <w:hyperlink r:id="rId310">
              <w:r>
                <w:rPr>
                  <w:rFonts w:ascii="Arial" w:cs="Arial" w:eastAsia="Arial" w:hAnsi="Arial"/>
                  <w:sz w:val="14"/>
                  <w:szCs w:val="14"/>
                  <w:color w:val="auto"/>
                </w:rPr>
                <w:t>2021)</w:t>
              </w:r>
            </w:hyperlink>
          </w:p>
        </w:tc>
      </w:tr>
      <w:tr>
        <w:trPr>
          <w:trHeight w:val="146"/>
        </w:trPr>
        <w:tc>
          <w:tcPr>
            <w:tcW w:w="1160" w:type="dxa"/>
            <w:vAlign w:val="bottom"/>
          </w:tcPr>
          <w:p>
            <w:pPr>
              <w:ind w:left="20"/>
              <w:spacing w:after="0" w:line="147" w:lineRule="exact"/>
              <w:rPr>
                <w:sz w:val="20"/>
                <w:szCs w:val="20"/>
                <w:color w:val="auto"/>
              </w:rPr>
            </w:pPr>
            <w:r>
              <w:rPr>
                <w:rFonts w:ascii="Arial" w:cs="Arial" w:eastAsia="Arial" w:hAnsi="Arial"/>
                <w:sz w:val="14"/>
                <w:szCs w:val="14"/>
                <w:color w:val="auto"/>
              </w:rPr>
              <w:t>10.56*</w:t>
            </w:r>
          </w:p>
        </w:tc>
        <w:tc>
          <w:tcPr>
            <w:tcW w:w="10080" w:type="dxa"/>
            <w:vAlign w:val="bottom"/>
          </w:tcPr>
          <w:p>
            <w:pPr>
              <w:ind w:left="360"/>
              <w:spacing w:after="0" w:line="147" w:lineRule="exact"/>
              <w:rPr>
                <w:rFonts w:ascii="Arial" w:cs="Arial" w:eastAsia="Arial" w:hAnsi="Arial"/>
                <w:sz w:val="14"/>
                <w:szCs w:val="14"/>
                <w:color w:val="auto"/>
              </w:rPr>
            </w:pPr>
            <w:hyperlink r:id="rId311">
              <w:r>
                <w:rPr>
                  <w:rFonts w:ascii="Arial" w:cs="Arial" w:eastAsia="Arial" w:hAnsi="Arial"/>
                  <w:sz w:val="14"/>
                  <w:szCs w:val="14"/>
                  <w:color w:val="auto"/>
                </w:rPr>
                <w:t>Letter Agreement dated February 24, 2012 between Honeywell and Darius Adamczyk (incorporated by reference to Exhibit 10.1 to Honeywell’s Form</w:t>
              </w:r>
            </w:hyperlink>
          </w:p>
        </w:tc>
      </w:tr>
      <w:tr>
        <w:trPr>
          <w:trHeight w:val="185"/>
        </w:trPr>
        <w:tc>
          <w:tcPr>
            <w:tcW w:w="1160" w:type="dxa"/>
            <w:vAlign w:val="bottom"/>
            <w:tcBorders>
              <w:bottom w:val="single" w:sz="8" w:color="61656A"/>
            </w:tcBorders>
          </w:tcPr>
          <w:p>
            <w:pPr>
              <w:spacing w:after="0"/>
              <w:rPr>
                <w:sz w:val="16"/>
                <w:szCs w:val="16"/>
                <w:color w:val="auto"/>
              </w:rPr>
            </w:pPr>
          </w:p>
        </w:tc>
        <w:tc>
          <w:tcPr>
            <w:tcW w:w="10080" w:type="dxa"/>
            <w:vAlign w:val="bottom"/>
            <w:tcBorders>
              <w:bottom w:val="single" w:sz="8" w:color="61656A"/>
            </w:tcBorders>
          </w:tcPr>
          <w:p>
            <w:pPr>
              <w:ind w:left="360"/>
              <w:spacing w:after="0"/>
              <w:rPr>
                <w:rFonts w:ascii="Arial" w:cs="Arial" w:eastAsia="Arial" w:hAnsi="Arial"/>
                <w:sz w:val="14"/>
                <w:szCs w:val="14"/>
                <w:color w:val="auto"/>
              </w:rPr>
            </w:pPr>
            <w:hyperlink r:id="rId311">
              <w:r>
                <w:rPr>
                  <w:rFonts w:ascii="Arial" w:cs="Arial" w:eastAsia="Arial" w:hAnsi="Arial"/>
                  <w:sz w:val="14"/>
                  <w:szCs w:val="14"/>
                  <w:color w:val="auto"/>
                </w:rPr>
                <w:t>10-Q for the quarter ended March 31, 2016)</w:t>
              </w:r>
            </w:hyperlink>
          </w:p>
        </w:tc>
      </w:tr>
      <w:tr>
        <w:trPr>
          <w:trHeight w:val="146"/>
        </w:trPr>
        <w:tc>
          <w:tcPr>
            <w:tcW w:w="1160" w:type="dxa"/>
            <w:vAlign w:val="bottom"/>
          </w:tcPr>
          <w:p>
            <w:pPr>
              <w:ind w:left="20"/>
              <w:spacing w:after="0" w:line="147" w:lineRule="exact"/>
              <w:rPr>
                <w:sz w:val="20"/>
                <w:szCs w:val="20"/>
                <w:color w:val="auto"/>
              </w:rPr>
            </w:pPr>
            <w:r>
              <w:rPr>
                <w:rFonts w:ascii="Arial" w:cs="Arial" w:eastAsia="Arial" w:hAnsi="Arial"/>
                <w:sz w:val="14"/>
                <w:szCs w:val="14"/>
                <w:color w:val="auto"/>
              </w:rPr>
              <w:t>10.57*</w:t>
            </w:r>
          </w:p>
        </w:tc>
        <w:tc>
          <w:tcPr>
            <w:tcW w:w="10080" w:type="dxa"/>
            <w:vAlign w:val="bottom"/>
          </w:tcPr>
          <w:p>
            <w:pPr>
              <w:ind w:left="360"/>
              <w:spacing w:after="0" w:line="147" w:lineRule="exact"/>
              <w:rPr>
                <w:rFonts w:ascii="Arial" w:cs="Arial" w:eastAsia="Arial" w:hAnsi="Arial"/>
                <w:sz w:val="14"/>
                <w:szCs w:val="14"/>
                <w:color w:val="auto"/>
              </w:rPr>
            </w:pPr>
            <w:hyperlink r:id="rId312">
              <w:r>
                <w:rPr>
                  <w:rFonts w:ascii="Arial" w:cs="Arial" w:eastAsia="Arial" w:hAnsi="Arial"/>
                  <w:sz w:val="14"/>
                  <w:szCs w:val="14"/>
                  <w:color w:val="auto"/>
                </w:rPr>
                <w:t>Offer Letter dated March 31, 2016 from Honeywell to Darius Adamczyk (incorporated by reference to Exhibit 99.1 to Honeywell’s Form 8-K filed April 6,</w:t>
              </w:r>
            </w:hyperlink>
          </w:p>
        </w:tc>
      </w:tr>
      <w:tr>
        <w:trPr>
          <w:trHeight w:val="185"/>
        </w:trPr>
        <w:tc>
          <w:tcPr>
            <w:tcW w:w="1160" w:type="dxa"/>
            <w:vAlign w:val="bottom"/>
            <w:tcBorders>
              <w:bottom w:val="single" w:sz="8" w:color="61656A"/>
            </w:tcBorders>
          </w:tcPr>
          <w:p>
            <w:pPr>
              <w:spacing w:after="0"/>
              <w:rPr>
                <w:sz w:val="16"/>
                <w:szCs w:val="16"/>
                <w:color w:val="auto"/>
              </w:rPr>
            </w:pPr>
          </w:p>
        </w:tc>
        <w:tc>
          <w:tcPr>
            <w:tcW w:w="10080" w:type="dxa"/>
            <w:vAlign w:val="bottom"/>
            <w:tcBorders>
              <w:bottom w:val="single" w:sz="8" w:color="61656A"/>
            </w:tcBorders>
          </w:tcPr>
          <w:p>
            <w:pPr>
              <w:ind w:left="360"/>
              <w:spacing w:after="0"/>
              <w:rPr>
                <w:rFonts w:ascii="Arial" w:cs="Arial" w:eastAsia="Arial" w:hAnsi="Arial"/>
                <w:sz w:val="14"/>
                <w:szCs w:val="14"/>
                <w:color w:val="auto"/>
              </w:rPr>
            </w:pPr>
            <w:hyperlink r:id="rId312">
              <w:r>
                <w:rPr>
                  <w:rFonts w:ascii="Arial" w:cs="Arial" w:eastAsia="Arial" w:hAnsi="Arial"/>
                  <w:sz w:val="14"/>
                  <w:szCs w:val="14"/>
                  <w:color w:val="auto"/>
                </w:rPr>
                <w:t>2016)</w:t>
              </w:r>
            </w:hyperlink>
          </w:p>
        </w:tc>
      </w:tr>
      <w:tr>
        <w:trPr>
          <w:trHeight w:val="146"/>
        </w:trPr>
        <w:tc>
          <w:tcPr>
            <w:tcW w:w="1160" w:type="dxa"/>
            <w:vAlign w:val="bottom"/>
          </w:tcPr>
          <w:p>
            <w:pPr>
              <w:ind w:left="20"/>
              <w:spacing w:after="0" w:line="147" w:lineRule="exact"/>
              <w:rPr>
                <w:sz w:val="20"/>
                <w:szCs w:val="20"/>
                <w:color w:val="auto"/>
              </w:rPr>
            </w:pPr>
            <w:r>
              <w:rPr>
                <w:rFonts w:ascii="Arial" w:cs="Arial" w:eastAsia="Arial" w:hAnsi="Arial"/>
                <w:sz w:val="14"/>
                <w:szCs w:val="14"/>
                <w:color w:val="auto"/>
              </w:rPr>
              <w:t>10.58*</w:t>
            </w:r>
          </w:p>
        </w:tc>
        <w:tc>
          <w:tcPr>
            <w:tcW w:w="10080" w:type="dxa"/>
            <w:vAlign w:val="bottom"/>
          </w:tcPr>
          <w:p>
            <w:pPr>
              <w:ind w:left="360"/>
              <w:spacing w:after="0" w:line="147" w:lineRule="exact"/>
              <w:rPr>
                <w:rFonts w:ascii="Arial" w:cs="Arial" w:eastAsia="Arial" w:hAnsi="Arial"/>
                <w:sz w:val="14"/>
                <w:szCs w:val="14"/>
                <w:color w:val="auto"/>
              </w:rPr>
            </w:pPr>
            <w:hyperlink r:id="rId313">
              <w:r>
                <w:rPr>
                  <w:rFonts w:ascii="Arial" w:cs="Arial" w:eastAsia="Arial" w:hAnsi="Arial"/>
                  <w:sz w:val="14"/>
                  <w:szCs w:val="14"/>
                  <w:color w:val="auto"/>
                </w:rPr>
                <w:t>Employment Offer Letter dated March 1, 2017 between Honeywell International Inc. and Darius Adamczyk (incorporated by reference to Exhibit 99.1 to</w:t>
              </w:r>
            </w:hyperlink>
          </w:p>
        </w:tc>
      </w:tr>
      <w:tr>
        <w:trPr>
          <w:trHeight w:val="185"/>
        </w:trPr>
        <w:tc>
          <w:tcPr>
            <w:tcW w:w="1160" w:type="dxa"/>
            <w:vAlign w:val="bottom"/>
            <w:tcBorders>
              <w:bottom w:val="single" w:sz="8" w:color="61656A"/>
            </w:tcBorders>
          </w:tcPr>
          <w:p>
            <w:pPr>
              <w:spacing w:after="0"/>
              <w:rPr>
                <w:sz w:val="16"/>
                <w:szCs w:val="16"/>
                <w:color w:val="auto"/>
              </w:rPr>
            </w:pPr>
          </w:p>
        </w:tc>
        <w:tc>
          <w:tcPr>
            <w:tcW w:w="10080" w:type="dxa"/>
            <w:vAlign w:val="bottom"/>
            <w:tcBorders>
              <w:bottom w:val="single" w:sz="8" w:color="61656A"/>
            </w:tcBorders>
          </w:tcPr>
          <w:p>
            <w:pPr>
              <w:ind w:left="360"/>
              <w:spacing w:after="0"/>
              <w:rPr>
                <w:rFonts w:ascii="Arial" w:cs="Arial" w:eastAsia="Arial" w:hAnsi="Arial"/>
                <w:sz w:val="14"/>
                <w:szCs w:val="14"/>
                <w:color w:val="auto"/>
              </w:rPr>
            </w:pPr>
            <w:hyperlink r:id="rId313">
              <w:r>
                <w:rPr>
                  <w:rFonts w:ascii="Arial" w:cs="Arial" w:eastAsia="Arial" w:hAnsi="Arial"/>
                  <w:sz w:val="14"/>
                  <w:szCs w:val="14"/>
                  <w:color w:val="auto"/>
                </w:rPr>
                <w:t>Honeywell’s Form 8-K filed March 6, 2017)</w:t>
              </w:r>
            </w:hyperlink>
          </w:p>
        </w:tc>
      </w:tr>
      <w:tr>
        <w:trPr>
          <w:trHeight w:val="146"/>
        </w:trPr>
        <w:tc>
          <w:tcPr>
            <w:tcW w:w="1160" w:type="dxa"/>
            <w:vAlign w:val="bottom"/>
          </w:tcPr>
          <w:p>
            <w:pPr>
              <w:ind w:left="20"/>
              <w:spacing w:after="0" w:line="147" w:lineRule="exact"/>
              <w:rPr>
                <w:sz w:val="20"/>
                <w:szCs w:val="20"/>
                <w:color w:val="auto"/>
              </w:rPr>
            </w:pPr>
            <w:r>
              <w:rPr>
                <w:rFonts w:ascii="Arial" w:cs="Arial" w:eastAsia="Arial" w:hAnsi="Arial"/>
                <w:sz w:val="14"/>
                <w:szCs w:val="14"/>
                <w:color w:val="auto"/>
              </w:rPr>
              <w:t>10.59*</w:t>
            </w:r>
          </w:p>
        </w:tc>
        <w:tc>
          <w:tcPr>
            <w:tcW w:w="10080" w:type="dxa"/>
            <w:vAlign w:val="bottom"/>
          </w:tcPr>
          <w:p>
            <w:pPr>
              <w:ind w:left="360"/>
              <w:spacing w:after="0" w:line="147" w:lineRule="exact"/>
              <w:rPr>
                <w:rFonts w:ascii="Arial" w:cs="Arial" w:eastAsia="Arial" w:hAnsi="Arial"/>
                <w:sz w:val="14"/>
                <w:szCs w:val="14"/>
                <w:color w:val="auto"/>
              </w:rPr>
            </w:pPr>
            <w:hyperlink r:id="rId314">
              <w:r>
                <w:rPr>
                  <w:rFonts w:ascii="Arial" w:cs="Arial" w:eastAsia="Arial" w:hAnsi="Arial"/>
                  <w:sz w:val="14"/>
                  <w:szCs w:val="14"/>
                  <w:color w:val="auto"/>
                </w:rPr>
                <w:t>Letter Agreement dated March 13, 2023 from Honeywell International Inc. to Darius Adamczyk (incorporated by reference to Exhibit 10.1 to Honeywell's</w:t>
              </w:r>
            </w:hyperlink>
          </w:p>
        </w:tc>
      </w:tr>
      <w:tr>
        <w:trPr>
          <w:trHeight w:val="185"/>
        </w:trPr>
        <w:tc>
          <w:tcPr>
            <w:tcW w:w="1160" w:type="dxa"/>
            <w:vAlign w:val="bottom"/>
            <w:tcBorders>
              <w:bottom w:val="single" w:sz="8" w:color="61656A"/>
            </w:tcBorders>
          </w:tcPr>
          <w:p>
            <w:pPr>
              <w:spacing w:after="0"/>
              <w:rPr>
                <w:sz w:val="16"/>
                <w:szCs w:val="16"/>
                <w:color w:val="auto"/>
              </w:rPr>
            </w:pPr>
          </w:p>
        </w:tc>
        <w:tc>
          <w:tcPr>
            <w:tcW w:w="10080" w:type="dxa"/>
            <w:vAlign w:val="bottom"/>
            <w:tcBorders>
              <w:bottom w:val="single" w:sz="8" w:color="61656A"/>
            </w:tcBorders>
          </w:tcPr>
          <w:p>
            <w:pPr>
              <w:ind w:left="360"/>
              <w:spacing w:after="0"/>
              <w:rPr>
                <w:rFonts w:ascii="Arial" w:cs="Arial" w:eastAsia="Arial" w:hAnsi="Arial"/>
                <w:sz w:val="14"/>
                <w:szCs w:val="14"/>
                <w:color w:val="auto"/>
              </w:rPr>
            </w:pPr>
            <w:hyperlink r:id="rId314">
              <w:r>
                <w:rPr>
                  <w:rFonts w:ascii="Arial" w:cs="Arial" w:eastAsia="Arial" w:hAnsi="Arial"/>
                  <w:sz w:val="14"/>
                  <w:szCs w:val="14"/>
                  <w:color w:val="auto"/>
                </w:rPr>
                <w:t>Form 8-K filed March 14, 2023)</w:t>
              </w:r>
            </w:hyperlink>
          </w:p>
        </w:tc>
      </w:tr>
      <w:tr>
        <w:trPr>
          <w:trHeight w:val="146"/>
        </w:trPr>
        <w:tc>
          <w:tcPr>
            <w:tcW w:w="1160" w:type="dxa"/>
            <w:vAlign w:val="bottom"/>
          </w:tcPr>
          <w:p>
            <w:pPr>
              <w:ind w:left="20"/>
              <w:spacing w:after="0" w:line="147" w:lineRule="exact"/>
              <w:rPr>
                <w:sz w:val="20"/>
                <w:szCs w:val="20"/>
                <w:color w:val="auto"/>
              </w:rPr>
            </w:pPr>
            <w:r>
              <w:rPr>
                <w:rFonts w:ascii="Arial" w:cs="Arial" w:eastAsia="Arial" w:hAnsi="Arial"/>
                <w:sz w:val="14"/>
                <w:szCs w:val="14"/>
                <w:color w:val="auto"/>
              </w:rPr>
              <w:t>10.60*</w:t>
            </w:r>
          </w:p>
        </w:tc>
        <w:tc>
          <w:tcPr>
            <w:tcW w:w="10080" w:type="dxa"/>
            <w:vAlign w:val="bottom"/>
          </w:tcPr>
          <w:p>
            <w:pPr>
              <w:ind w:left="360"/>
              <w:spacing w:after="0" w:line="147" w:lineRule="exact"/>
              <w:rPr>
                <w:rFonts w:ascii="Arial" w:cs="Arial" w:eastAsia="Arial" w:hAnsi="Arial"/>
                <w:sz w:val="14"/>
                <w:szCs w:val="14"/>
                <w:color w:val="auto"/>
              </w:rPr>
            </w:pPr>
            <w:hyperlink r:id="rId315">
              <w:r>
                <w:rPr>
                  <w:rFonts w:ascii="Arial" w:cs="Arial" w:eastAsia="Arial" w:hAnsi="Arial"/>
                  <w:sz w:val="14"/>
                  <w:szCs w:val="14"/>
                  <w:color w:val="auto"/>
                </w:rPr>
                <w:t>Letter Agreement dated July 27, 2018 between Honeywell International Inc. and Greg Lewis (incorporated by reference to Exhibit 99.1 to Honeywell’s</w:t>
              </w:r>
            </w:hyperlink>
          </w:p>
        </w:tc>
      </w:tr>
      <w:tr>
        <w:trPr>
          <w:trHeight w:val="185"/>
        </w:trPr>
        <w:tc>
          <w:tcPr>
            <w:tcW w:w="1160" w:type="dxa"/>
            <w:vAlign w:val="bottom"/>
            <w:tcBorders>
              <w:bottom w:val="single" w:sz="8" w:color="61656A"/>
            </w:tcBorders>
          </w:tcPr>
          <w:p>
            <w:pPr>
              <w:spacing w:after="0"/>
              <w:rPr>
                <w:sz w:val="16"/>
                <w:szCs w:val="16"/>
                <w:color w:val="auto"/>
              </w:rPr>
            </w:pPr>
          </w:p>
        </w:tc>
        <w:tc>
          <w:tcPr>
            <w:tcW w:w="10080" w:type="dxa"/>
            <w:vAlign w:val="bottom"/>
            <w:tcBorders>
              <w:bottom w:val="single" w:sz="8" w:color="61656A"/>
            </w:tcBorders>
          </w:tcPr>
          <w:p>
            <w:pPr>
              <w:ind w:left="360"/>
              <w:spacing w:after="0"/>
              <w:rPr>
                <w:rFonts w:ascii="Arial" w:cs="Arial" w:eastAsia="Arial" w:hAnsi="Arial"/>
                <w:sz w:val="14"/>
                <w:szCs w:val="14"/>
                <w:color w:val="auto"/>
              </w:rPr>
            </w:pPr>
            <w:hyperlink r:id="rId315">
              <w:r>
                <w:rPr>
                  <w:rFonts w:ascii="Arial" w:cs="Arial" w:eastAsia="Arial" w:hAnsi="Arial"/>
                  <w:sz w:val="14"/>
                  <w:szCs w:val="14"/>
                  <w:color w:val="auto"/>
                </w:rPr>
                <w:t>Form 8-K filed August 2, 2018)</w:t>
              </w:r>
            </w:hyperlink>
          </w:p>
        </w:tc>
      </w:tr>
      <w:tr>
        <w:trPr>
          <w:trHeight w:val="146"/>
        </w:trPr>
        <w:tc>
          <w:tcPr>
            <w:tcW w:w="1160" w:type="dxa"/>
            <w:vAlign w:val="bottom"/>
          </w:tcPr>
          <w:p>
            <w:pPr>
              <w:ind w:left="20"/>
              <w:spacing w:after="0" w:line="147" w:lineRule="exact"/>
              <w:rPr>
                <w:sz w:val="20"/>
                <w:szCs w:val="20"/>
                <w:color w:val="auto"/>
              </w:rPr>
            </w:pPr>
            <w:r>
              <w:rPr>
                <w:rFonts w:ascii="Arial" w:cs="Arial" w:eastAsia="Arial" w:hAnsi="Arial"/>
                <w:sz w:val="14"/>
                <w:szCs w:val="14"/>
                <w:color w:val="auto"/>
              </w:rPr>
              <w:t>10.61*</w:t>
            </w:r>
          </w:p>
        </w:tc>
        <w:tc>
          <w:tcPr>
            <w:tcW w:w="10080" w:type="dxa"/>
            <w:vAlign w:val="bottom"/>
          </w:tcPr>
          <w:p>
            <w:pPr>
              <w:ind w:left="360"/>
              <w:spacing w:after="0" w:line="147" w:lineRule="exact"/>
              <w:rPr>
                <w:rFonts w:ascii="Arial" w:cs="Arial" w:eastAsia="Arial" w:hAnsi="Arial"/>
                <w:sz w:val="14"/>
                <w:szCs w:val="14"/>
                <w:color w:val="auto"/>
              </w:rPr>
            </w:pPr>
            <w:hyperlink r:id="rId316">
              <w:r>
                <w:rPr>
                  <w:rFonts w:ascii="Arial" w:cs="Arial" w:eastAsia="Arial" w:hAnsi="Arial"/>
                  <w:sz w:val="14"/>
                  <w:szCs w:val="14"/>
                  <w:color w:val="auto"/>
                </w:rPr>
                <w:t>Letter Agreement dated October 2, 2017 between Honeywell and Anne Madden (incorporated by reference to Exhibit 10.70 to Honeywell’s Form 10-K</w:t>
              </w:r>
            </w:hyperlink>
          </w:p>
        </w:tc>
      </w:tr>
      <w:tr>
        <w:trPr>
          <w:trHeight w:val="185"/>
        </w:trPr>
        <w:tc>
          <w:tcPr>
            <w:tcW w:w="1160" w:type="dxa"/>
            <w:vAlign w:val="bottom"/>
            <w:tcBorders>
              <w:bottom w:val="single" w:sz="8" w:color="61656A"/>
            </w:tcBorders>
          </w:tcPr>
          <w:p>
            <w:pPr>
              <w:spacing w:after="0"/>
              <w:rPr>
                <w:sz w:val="16"/>
                <w:szCs w:val="16"/>
                <w:color w:val="auto"/>
              </w:rPr>
            </w:pPr>
          </w:p>
        </w:tc>
        <w:tc>
          <w:tcPr>
            <w:tcW w:w="10080" w:type="dxa"/>
            <w:vAlign w:val="bottom"/>
            <w:tcBorders>
              <w:bottom w:val="single" w:sz="8" w:color="61656A"/>
            </w:tcBorders>
          </w:tcPr>
          <w:p>
            <w:pPr>
              <w:ind w:left="360"/>
              <w:spacing w:after="0"/>
              <w:rPr>
                <w:rFonts w:ascii="Arial" w:cs="Arial" w:eastAsia="Arial" w:hAnsi="Arial"/>
                <w:sz w:val="14"/>
                <w:szCs w:val="14"/>
                <w:color w:val="auto"/>
              </w:rPr>
            </w:pPr>
            <w:hyperlink r:id="rId316">
              <w:r>
                <w:rPr>
                  <w:rFonts w:ascii="Arial" w:cs="Arial" w:eastAsia="Arial" w:hAnsi="Arial"/>
                  <w:sz w:val="14"/>
                  <w:szCs w:val="14"/>
                  <w:color w:val="auto"/>
                </w:rPr>
                <w:t>for the year ended December 31, 2020)</w:t>
              </w:r>
            </w:hyperlink>
          </w:p>
        </w:tc>
      </w:tr>
      <w:tr>
        <w:trPr>
          <w:trHeight w:val="146"/>
        </w:trPr>
        <w:tc>
          <w:tcPr>
            <w:tcW w:w="1160" w:type="dxa"/>
            <w:vAlign w:val="bottom"/>
          </w:tcPr>
          <w:p>
            <w:pPr>
              <w:ind w:left="20"/>
              <w:spacing w:after="0" w:line="147" w:lineRule="exact"/>
              <w:rPr>
                <w:sz w:val="20"/>
                <w:szCs w:val="20"/>
                <w:color w:val="auto"/>
              </w:rPr>
            </w:pPr>
            <w:r>
              <w:rPr>
                <w:rFonts w:ascii="Arial" w:cs="Arial" w:eastAsia="Arial" w:hAnsi="Arial"/>
                <w:sz w:val="14"/>
                <w:szCs w:val="14"/>
                <w:color w:val="auto"/>
              </w:rPr>
              <w:t>10.62*</w:t>
            </w:r>
          </w:p>
        </w:tc>
        <w:tc>
          <w:tcPr>
            <w:tcW w:w="10080" w:type="dxa"/>
            <w:vAlign w:val="bottom"/>
          </w:tcPr>
          <w:p>
            <w:pPr>
              <w:ind w:left="360"/>
              <w:spacing w:after="0" w:line="147" w:lineRule="exact"/>
              <w:rPr>
                <w:rFonts w:ascii="Arial" w:cs="Arial" w:eastAsia="Arial" w:hAnsi="Arial"/>
                <w:sz w:val="14"/>
                <w:szCs w:val="14"/>
                <w:color w:val="auto"/>
              </w:rPr>
            </w:pPr>
            <w:hyperlink r:id="rId317">
              <w:r>
                <w:rPr>
                  <w:rFonts w:ascii="Arial" w:cs="Arial" w:eastAsia="Arial" w:hAnsi="Arial"/>
                  <w:sz w:val="14"/>
                  <w:szCs w:val="14"/>
                  <w:color w:val="auto"/>
                </w:rPr>
                <w:t>Offer Letter dated March 13, 2023 from Honeywell International Inc. to Vimal Kapur (incorporated by reference to Exhibit 10.2 to Honeywell's Form 8-K</w:t>
              </w:r>
            </w:hyperlink>
          </w:p>
        </w:tc>
      </w:tr>
      <w:tr>
        <w:trPr>
          <w:trHeight w:val="185"/>
        </w:trPr>
        <w:tc>
          <w:tcPr>
            <w:tcW w:w="1160" w:type="dxa"/>
            <w:vAlign w:val="bottom"/>
            <w:tcBorders>
              <w:bottom w:val="single" w:sz="8" w:color="61656A"/>
            </w:tcBorders>
          </w:tcPr>
          <w:p>
            <w:pPr>
              <w:spacing w:after="0"/>
              <w:rPr>
                <w:sz w:val="16"/>
                <w:szCs w:val="16"/>
                <w:color w:val="auto"/>
              </w:rPr>
            </w:pPr>
          </w:p>
        </w:tc>
        <w:tc>
          <w:tcPr>
            <w:tcW w:w="10080" w:type="dxa"/>
            <w:vAlign w:val="bottom"/>
            <w:tcBorders>
              <w:bottom w:val="single" w:sz="8" w:color="61656A"/>
            </w:tcBorders>
          </w:tcPr>
          <w:p>
            <w:pPr>
              <w:ind w:left="360"/>
              <w:spacing w:after="0"/>
              <w:rPr>
                <w:rFonts w:ascii="Arial" w:cs="Arial" w:eastAsia="Arial" w:hAnsi="Arial"/>
                <w:sz w:val="14"/>
                <w:szCs w:val="14"/>
                <w:color w:val="auto"/>
              </w:rPr>
            </w:pPr>
            <w:hyperlink r:id="rId317">
              <w:r>
                <w:rPr>
                  <w:rFonts w:ascii="Arial" w:cs="Arial" w:eastAsia="Arial" w:hAnsi="Arial"/>
                  <w:sz w:val="14"/>
                  <w:szCs w:val="14"/>
                  <w:color w:val="auto"/>
                </w:rPr>
                <w:t>filed March 14, 2023)</w:t>
              </w:r>
            </w:hyperlink>
          </w:p>
        </w:tc>
      </w:tr>
      <w:tr>
        <w:trPr>
          <w:trHeight w:val="146"/>
        </w:trPr>
        <w:tc>
          <w:tcPr>
            <w:tcW w:w="1160" w:type="dxa"/>
            <w:vAlign w:val="bottom"/>
          </w:tcPr>
          <w:p>
            <w:pPr>
              <w:ind w:left="20"/>
              <w:spacing w:after="0" w:line="147" w:lineRule="exact"/>
              <w:rPr>
                <w:sz w:val="20"/>
                <w:szCs w:val="20"/>
                <w:color w:val="auto"/>
              </w:rPr>
            </w:pPr>
            <w:r>
              <w:rPr>
                <w:rFonts w:ascii="Arial" w:cs="Arial" w:eastAsia="Arial" w:hAnsi="Arial"/>
                <w:sz w:val="14"/>
                <w:szCs w:val="14"/>
                <w:color w:val="auto"/>
              </w:rPr>
              <w:t>10.63*</w:t>
            </w:r>
          </w:p>
        </w:tc>
        <w:tc>
          <w:tcPr>
            <w:tcW w:w="10080" w:type="dxa"/>
            <w:vAlign w:val="bottom"/>
          </w:tcPr>
          <w:p>
            <w:pPr>
              <w:ind w:left="360"/>
              <w:spacing w:after="0" w:line="147" w:lineRule="exact"/>
              <w:rPr>
                <w:rFonts w:ascii="Arial" w:cs="Arial" w:eastAsia="Arial" w:hAnsi="Arial"/>
                <w:sz w:val="14"/>
                <w:szCs w:val="14"/>
                <w:color w:val="auto"/>
              </w:rPr>
            </w:pPr>
            <w:hyperlink r:id="rId318">
              <w:r>
                <w:rPr>
                  <w:rFonts w:ascii="Arial" w:cs="Arial" w:eastAsia="Arial" w:hAnsi="Arial"/>
                  <w:sz w:val="14"/>
                  <w:szCs w:val="14"/>
                  <w:color w:val="auto"/>
                </w:rPr>
                <w:t>Offer Letter dated July 26, 2022 from Honeywell International Inc. to Vimal Kapur (incorporated by reference to Exhibit 10.1 to Honeywell's Form 10-Q</w:t>
              </w:r>
            </w:hyperlink>
          </w:p>
        </w:tc>
      </w:tr>
      <w:tr>
        <w:trPr>
          <w:trHeight w:val="185"/>
        </w:trPr>
        <w:tc>
          <w:tcPr>
            <w:tcW w:w="1160" w:type="dxa"/>
            <w:vAlign w:val="bottom"/>
            <w:tcBorders>
              <w:bottom w:val="single" w:sz="8" w:color="61656A"/>
            </w:tcBorders>
          </w:tcPr>
          <w:p>
            <w:pPr>
              <w:spacing w:after="0"/>
              <w:rPr>
                <w:sz w:val="16"/>
                <w:szCs w:val="16"/>
                <w:color w:val="auto"/>
              </w:rPr>
            </w:pPr>
          </w:p>
        </w:tc>
        <w:tc>
          <w:tcPr>
            <w:tcW w:w="10080" w:type="dxa"/>
            <w:vAlign w:val="bottom"/>
            <w:tcBorders>
              <w:bottom w:val="single" w:sz="8" w:color="61656A"/>
            </w:tcBorders>
          </w:tcPr>
          <w:p>
            <w:pPr>
              <w:ind w:left="360"/>
              <w:spacing w:after="0"/>
              <w:rPr>
                <w:rFonts w:ascii="Arial" w:cs="Arial" w:eastAsia="Arial" w:hAnsi="Arial"/>
                <w:sz w:val="14"/>
                <w:szCs w:val="14"/>
                <w:color w:val="auto"/>
              </w:rPr>
            </w:pPr>
            <w:hyperlink r:id="rId318">
              <w:r>
                <w:rPr>
                  <w:rFonts w:ascii="Arial" w:cs="Arial" w:eastAsia="Arial" w:hAnsi="Arial"/>
                  <w:sz w:val="14"/>
                  <w:szCs w:val="14"/>
                  <w:color w:val="auto"/>
                </w:rPr>
                <w:t>for the quarter ended September 30, 2022, and Honeywell's Form 8-K filed July 28, 2022)</w:t>
              </w:r>
            </w:hyperlink>
          </w:p>
        </w:tc>
      </w:tr>
      <w:tr>
        <w:trPr>
          <w:trHeight w:val="146"/>
        </w:trPr>
        <w:tc>
          <w:tcPr>
            <w:tcW w:w="1160" w:type="dxa"/>
            <w:vAlign w:val="bottom"/>
          </w:tcPr>
          <w:p>
            <w:pPr>
              <w:ind w:left="20"/>
              <w:spacing w:after="0" w:line="147" w:lineRule="exact"/>
              <w:rPr>
                <w:sz w:val="20"/>
                <w:szCs w:val="20"/>
                <w:color w:val="auto"/>
              </w:rPr>
            </w:pPr>
            <w:r>
              <w:rPr>
                <w:rFonts w:ascii="Arial" w:cs="Arial" w:eastAsia="Arial" w:hAnsi="Arial"/>
                <w:sz w:val="14"/>
                <w:szCs w:val="14"/>
                <w:color w:val="auto"/>
              </w:rPr>
              <w:t>10.64*</w:t>
            </w:r>
          </w:p>
        </w:tc>
        <w:tc>
          <w:tcPr>
            <w:tcW w:w="10080" w:type="dxa"/>
            <w:vAlign w:val="bottom"/>
          </w:tcPr>
          <w:p>
            <w:pPr>
              <w:ind w:left="360"/>
              <w:spacing w:after="0" w:line="147" w:lineRule="exact"/>
              <w:rPr>
                <w:rFonts w:ascii="Arial" w:cs="Arial" w:eastAsia="Arial" w:hAnsi="Arial"/>
                <w:sz w:val="14"/>
                <w:szCs w:val="14"/>
                <w:color w:val="auto"/>
              </w:rPr>
            </w:pPr>
            <w:hyperlink r:id="rId319">
              <w:r>
                <w:rPr>
                  <w:rFonts w:ascii="Arial" w:cs="Arial" w:eastAsia="Arial" w:hAnsi="Arial"/>
                  <w:sz w:val="14"/>
                  <w:szCs w:val="14"/>
                  <w:color w:val="auto"/>
                </w:rPr>
                <w:t>Letter Agreement dated August 21, 2022 between Honeywell and Lucian Boldea (incorporated by reference to Exhibit 10.70 to Honeywell's Form 10-K</w:t>
              </w:r>
            </w:hyperlink>
          </w:p>
        </w:tc>
      </w:tr>
      <w:tr>
        <w:trPr>
          <w:trHeight w:val="185"/>
        </w:trPr>
        <w:tc>
          <w:tcPr>
            <w:tcW w:w="1160" w:type="dxa"/>
            <w:vAlign w:val="bottom"/>
            <w:tcBorders>
              <w:bottom w:val="single" w:sz="8" w:color="61656A"/>
            </w:tcBorders>
          </w:tcPr>
          <w:p>
            <w:pPr>
              <w:spacing w:after="0"/>
              <w:rPr>
                <w:sz w:val="16"/>
                <w:szCs w:val="16"/>
                <w:color w:val="auto"/>
              </w:rPr>
            </w:pPr>
          </w:p>
        </w:tc>
        <w:tc>
          <w:tcPr>
            <w:tcW w:w="10080" w:type="dxa"/>
            <w:vAlign w:val="bottom"/>
            <w:tcBorders>
              <w:bottom w:val="single" w:sz="8" w:color="61656A"/>
            </w:tcBorders>
          </w:tcPr>
          <w:p>
            <w:pPr>
              <w:ind w:left="360"/>
              <w:spacing w:after="0"/>
              <w:rPr>
                <w:rFonts w:ascii="Arial" w:cs="Arial" w:eastAsia="Arial" w:hAnsi="Arial"/>
                <w:sz w:val="14"/>
                <w:szCs w:val="14"/>
                <w:color w:val="auto"/>
              </w:rPr>
            </w:pPr>
            <w:hyperlink r:id="rId319">
              <w:r>
                <w:rPr>
                  <w:rFonts w:ascii="Arial" w:cs="Arial" w:eastAsia="Arial" w:hAnsi="Arial"/>
                  <w:sz w:val="14"/>
                  <w:szCs w:val="14"/>
                  <w:color w:val="auto"/>
                </w:rPr>
                <w:t>for the year ended December 31, 2022)</w:t>
              </w:r>
            </w:hyperlink>
          </w:p>
        </w:tc>
      </w:tr>
      <w:tr>
        <w:trPr>
          <w:trHeight w:val="146"/>
        </w:trPr>
        <w:tc>
          <w:tcPr>
            <w:tcW w:w="1160" w:type="dxa"/>
            <w:vAlign w:val="bottom"/>
          </w:tcPr>
          <w:p>
            <w:pPr>
              <w:ind w:left="20"/>
              <w:spacing w:after="0" w:line="147" w:lineRule="exact"/>
              <w:rPr>
                <w:sz w:val="20"/>
                <w:szCs w:val="20"/>
                <w:color w:val="auto"/>
              </w:rPr>
            </w:pPr>
            <w:r>
              <w:rPr>
                <w:rFonts w:ascii="Arial" w:cs="Arial" w:eastAsia="Arial" w:hAnsi="Arial"/>
                <w:sz w:val="14"/>
                <w:szCs w:val="14"/>
                <w:color w:val="auto"/>
              </w:rPr>
              <w:t>10.65*</w:t>
            </w:r>
          </w:p>
        </w:tc>
        <w:tc>
          <w:tcPr>
            <w:tcW w:w="10080" w:type="dxa"/>
            <w:vAlign w:val="bottom"/>
          </w:tcPr>
          <w:p>
            <w:pPr>
              <w:ind w:left="360"/>
              <w:spacing w:after="0" w:line="147" w:lineRule="exact"/>
              <w:rPr>
                <w:rFonts w:ascii="Arial" w:cs="Arial" w:eastAsia="Arial" w:hAnsi="Arial"/>
                <w:sz w:val="14"/>
                <w:szCs w:val="14"/>
                <w:color w:val="auto"/>
              </w:rPr>
            </w:pPr>
            <w:hyperlink r:id="rId320">
              <w:r>
                <w:rPr>
                  <w:rFonts w:ascii="Arial" w:cs="Arial" w:eastAsia="Arial" w:hAnsi="Arial"/>
                  <w:sz w:val="14"/>
                  <w:szCs w:val="14"/>
                  <w:color w:val="auto"/>
                </w:rPr>
                <w:t>Offer Letter dated October 6, 2023 between Honeywell and Lucian Boldea (incorporated by reference to Exhibit 10.65 to Honeywell's Form 10-K for the</w:t>
              </w:r>
            </w:hyperlink>
          </w:p>
        </w:tc>
      </w:tr>
      <w:tr>
        <w:trPr>
          <w:trHeight w:val="185"/>
        </w:trPr>
        <w:tc>
          <w:tcPr>
            <w:tcW w:w="1160" w:type="dxa"/>
            <w:vAlign w:val="bottom"/>
            <w:tcBorders>
              <w:bottom w:val="single" w:sz="8" w:color="61656A"/>
            </w:tcBorders>
          </w:tcPr>
          <w:p>
            <w:pPr>
              <w:spacing w:after="0"/>
              <w:rPr>
                <w:sz w:val="16"/>
                <w:szCs w:val="16"/>
                <w:color w:val="auto"/>
              </w:rPr>
            </w:pPr>
          </w:p>
        </w:tc>
        <w:tc>
          <w:tcPr>
            <w:tcW w:w="10080" w:type="dxa"/>
            <w:vAlign w:val="bottom"/>
            <w:tcBorders>
              <w:bottom w:val="single" w:sz="8" w:color="61656A"/>
            </w:tcBorders>
          </w:tcPr>
          <w:p>
            <w:pPr>
              <w:ind w:left="360"/>
              <w:spacing w:after="0"/>
              <w:rPr>
                <w:rFonts w:ascii="Arial" w:cs="Arial" w:eastAsia="Arial" w:hAnsi="Arial"/>
                <w:sz w:val="14"/>
                <w:szCs w:val="14"/>
                <w:color w:val="auto"/>
              </w:rPr>
            </w:pPr>
            <w:hyperlink r:id="rId320">
              <w:r>
                <w:rPr>
                  <w:rFonts w:ascii="Arial" w:cs="Arial" w:eastAsia="Arial" w:hAnsi="Arial"/>
                  <w:sz w:val="14"/>
                  <w:szCs w:val="14"/>
                  <w:color w:val="auto"/>
                </w:rPr>
                <w:t>year ended December 31, 2023)</w:t>
              </w:r>
            </w:hyperlink>
          </w:p>
        </w:tc>
      </w:tr>
      <w:tr>
        <w:trPr>
          <w:trHeight w:val="146"/>
        </w:trPr>
        <w:tc>
          <w:tcPr>
            <w:tcW w:w="1160" w:type="dxa"/>
            <w:vAlign w:val="bottom"/>
          </w:tcPr>
          <w:p>
            <w:pPr>
              <w:ind w:left="20"/>
              <w:spacing w:after="0" w:line="147" w:lineRule="exact"/>
              <w:rPr>
                <w:sz w:val="20"/>
                <w:szCs w:val="20"/>
                <w:color w:val="auto"/>
              </w:rPr>
            </w:pPr>
            <w:r>
              <w:rPr>
                <w:rFonts w:ascii="Arial" w:cs="Arial" w:eastAsia="Arial" w:hAnsi="Arial"/>
                <w:sz w:val="14"/>
                <w:szCs w:val="14"/>
                <w:color w:val="auto"/>
              </w:rPr>
              <w:t>10.66*</w:t>
            </w:r>
          </w:p>
        </w:tc>
        <w:tc>
          <w:tcPr>
            <w:tcW w:w="10080" w:type="dxa"/>
            <w:vAlign w:val="bottom"/>
          </w:tcPr>
          <w:p>
            <w:pPr>
              <w:ind w:left="360"/>
              <w:spacing w:after="0" w:line="147" w:lineRule="exact"/>
              <w:rPr>
                <w:rFonts w:ascii="Arial" w:cs="Arial" w:eastAsia="Arial" w:hAnsi="Arial"/>
                <w:sz w:val="14"/>
                <w:szCs w:val="14"/>
                <w:color w:val="auto"/>
              </w:rPr>
            </w:pPr>
            <w:hyperlink r:id="rId321">
              <w:r>
                <w:rPr>
                  <w:rFonts w:ascii="Arial" w:cs="Arial" w:eastAsia="Arial" w:hAnsi="Arial"/>
                  <w:sz w:val="14"/>
                  <w:szCs w:val="14"/>
                  <w:color w:val="auto"/>
                </w:rPr>
                <w:t>Offer Letter dated June 12, 2023 between Honeywell and James Currier (incorporated by reference to Exhibit 10.66 to Honeywell's Form 10-K for the</w:t>
              </w:r>
            </w:hyperlink>
          </w:p>
        </w:tc>
      </w:tr>
      <w:tr>
        <w:trPr>
          <w:trHeight w:val="185"/>
        </w:trPr>
        <w:tc>
          <w:tcPr>
            <w:tcW w:w="1160" w:type="dxa"/>
            <w:vAlign w:val="bottom"/>
            <w:tcBorders>
              <w:bottom w:val="single" w:sz="8" w:color="61656A"/>
            </w:tcBorders>
          </w:tcPr>
          <w:p>
            <w:pPr>
              <w:spacing w:after="0"/>
              <w:rPr>
                <w:sz w:val="16"/>
                <w:szCs w:val="16"/>
                <w:color w:val="auto"/>
              </w:rPr>
            </w:pPr>
          </w:p>
        </w:tc>
        <w:tc>
          <w:tcPr>
            <w:tcW w:w="10080" w:type="dxa"/>
            <w:vAlign w:val="bottom"/>
            <w:tcBorders>
              <w:bottom w:val="single" w:sz="8" w:color="61656A"/>
            </w:tcBorders>
          </w:tcPr>
          <w:p>
            <w:pPr>
              <w:ind w:left="360"/>
              <w:spacing w:after="0"/>
              <w:rPr>
                <w:rFonts w:ascii="Arial" w:cs="Arial" w:eastAsia="Arial" w:hAnsi="Arial"/>
                <w:sz w:val="14"/>
                <w:szCs w:val="14"/>
                <w:color w:val="auto"/>
              </w:rPr>
            </w:pPr>
            <w:hyperlink r:id="rId321">
              <w:r>
                <w:rPr>
                  <w:rFonts w:ascii="Arial" w:cs="Arial" w:eastAsia="Arial" w:hAnsi="Arial"/>
                  <w:sz w:val="14"/>
                  <w:szCs w:val="14"/>
                  <w:color w:val="auto"/>
                </w:rPr>
                <w:t>year ended December 31, 2023)</w:t>
              </w:r>
            </w:hyperlink>
          </w:p>
        </w:tc>
      </w:tr>
      <w:tr>
        <w:trPr>
          <w:trHeight w:val="146"/>
        </w:trPr>
        <w:tc>
          <w:tcPr>
            <w:tcW w:w="1160" w:type="dxa"/>
            <w:vAlign w:val="bottom"/>
          </w:tcPr>
          <w:p>
            <w:pPr>
              <w:ind w:left="20"/>
              <w:spacing w:after="0" w:line="147" w:lineRule="exact"/>
              <w:rPr>
                <w:sz w:val="20"/>
                <w:szCs w:val="20"/>
                <w:color w:val="auto"/>
              </w:rPr>
            </w:pPr>
            <w:r>
              <w:rPr>
                <w:rFonts w:ascii="Arial" w:cs="Arial" w:eastAsia="Arial" w:hAnsi="Arial"/>
                <w:sz w:val="14"/>
                <w:szCs w:val="14"/>
                <w:color w:val="auto"/>
              </w:rPr>
              <w:t>10.67</w:t>
            </w:r>
          </w:p>
        </w:tc>
        <w:tc>
          <w:tcPr>
            <w:tcW w:w="10080" w:type="dxa"/>
            <w:vAlign w:val="bottom"/>
          </w:tcPr>
          <w:p>
            <w:pPr>
              <w:ind w:left="360"/>
              <w:spacing w:after="0" w:line="147" w:lineRule="exact"/>
              <w:rPr>
                <w:rFonts w:ascii="Arial" w:cs="Arial" w:eastAsia="Arial" w:hAnsi="Arial"/>
                <w:sz w:val="14"/>
                <w:szCs w:val="14"/>
                <w:color w:val="auto"/>
              </w:rPr>
            </w:pPr>
            <w:hyperlink r:id="rId322">
              <w:r>
                <w:rPr>
                  <w:rFonts w:ascii="Arial" w:cs="Arial" w:eastAsia="Arial" w:hAnsi="Arial"/>
                  <w:sz w:val="14"/>
                  <w:szCs w:val="14"/>
                  <w:color w:val="auto"/>
                </w:rPr>
                <w:t>364-Day Credit Agreement, dated as of March 18, 2024, among Honeywell International Inc., the banks, financial institutions, and other institutional</w:t>
              </w:r>
            </w:hyperlink>
          </w:p>
        </w:tc>
      </w:tr>
      <w:tr>
        <w:trPr>
          <w:trHeight w:val="144"/>
        </w:trPr>
        <w:tc>
          <w:tcPr>
            <w:tcW w:w="1160" w:type="dxa"/>
            <w:vAlign w:val="bottom"/>
          </w:tcPr>
          <w:p>
            <w:pPr>
              <w:spacing w:after="0"/>
              <w:rPr>
                <w:sz w:val="12"/>
                <w:szCs w:val="12"/>
                <w:color w:val="auto"/>
              </w:rPr>
            </w:pPr>
          </w:p>
        </w:tc>
        <w:tc>
          <w:tcPr>
            <w:tcW w:w="10080" w:type="dxa"/>
            <w:vAlign w:val="bottom"/>
          </w:tcPr>
          <w:p>
            <w:pPr>
              <w:ind w:left="360"/>
              <w:spacing w:after="0" w:line="145" w:lineRule="exact"/>
              <w:rPr>
                <w:rFonts w:ascii="Arial" w:cs="Arial" w:eastAsia="Arial" w:hAnsi="Arial"/>
                <w:sz w:val="14"/>
                <w:szCs w:val="14"/>
                <w:color w:val="auto"/>
              </w:rPr>
            </w:pPr>
            <w:hyperlink r:id="rId322">
              <w:r>
                <w:rPr>
                  <w:rFonts w:ascii="Arial" w:cs="Arial" w:eastAsia="Arial" w:hAnsi="Arial"/>
                  <w:sz w:val="14"/>
                  <w:szCs w:val="14"/>
                  <w:color w:val="auto"/>
                </w:rPr>
                <w:t>lenders parties thereto, Bank of America, N.A., as administrative agent, and JPMorgan Chase Bank, N.A. and Wells Fargo Bank, National Association,</w:t>
              </w:r>
            </w:hyperlink>
          </w:p>
        </w:tc>
      </w:tr>
      <w:tr>
        <w:trPr>
          <w:trHeight w:val="189"/>
        </w:trPr>
        <w:tc>
          <w:tcPr>
            <w:tcW w:w="1160" w:type="dxa"/>
            <w:vAlign w:val="bottom"/>
            <w:tcBorders>
              <w:bottom w:val="single" w:sz="8" w:color="61656A"/>
            </w:tcBorders>
          </w:tcPr>
          <w:p>
            <w:pPr>
              <w:spacing w:after="0"/>
              <w:rPr>
                <w:sz w:val="16"/>
                <w:szCs w:val="16"/>
                <w:color w:val="auto"/>
              </w:rPr>
            </w:pPr>
          </w:p>
        </w:tc>
        <w:tc>
          <w:tcPr>
            <w:tcW w:w="10080" w:type="dxa"/>
            <w:vAlign w:val="bottom"/>
            <w:tcBorders>
              <w:bottom w:val="single" w:sz="8" w:color="61656A"/>
            </w:tcBorders>
          </w:tcPr>
          <w:p>
            <w:pPr>
              <w:ind w:left="360"/>
              <w:spacing w:after="0"/>
              <w:rPr>
                <w:rFonts w:ascii="Arial" w:cs="Arial" w:eastAsia="Arial" w:hAnsi="Arial"/>
                <w:sz w:val="14"/>
                <w:szCs w:val="14"/>
                <w:color w:val="auto"/>
              </w:rPr>
            </w:pPr>
            <w:hyperlink r:id="rId322">
              <w:r>
                <w:rPr>
                  <w:rFonts w:ascii="Arial" w:cs="Arial" w:eastAsia="Arial" w:hAnsi="Arial"/>
                  <w:sz w:val="14"/>
                  <w:szCs w:val="14"/>
                  <w:color w:val="auto"/>
                </w:rPr>
                <w:t>as syndication agents (incorporated by reference to Exhibit 10.1 to Honeywell's Form 8-K filed March 19, 2024)</w:t>
              </w:r>
            </w:hyperlink>
          </w:p>
        </w:tc>
      </w:tr>
      <w:tr>
        <w:trPr>
          <w:trHeight w:val="146"/>
        </w:trPr>
        <w:tc>
          <w:tcPr>
            <w:tcW w:w="1160" w:type="dxa"/>
            <w:vAlign w:val="bottom"/>
          </w:tcPr>
          <w:p>
            <w:pPr>
              <w:ind w:left="20"/>
              <w:spacing w:after="0" w:line="147" w:lineRule="exact"/>
              <w:rPr>
                <w:sz w:val="20"/>
                <w:szCs w:val="20"/>
                <w:color w:val="auto"/>
              </w:rPr>
            </w:pPr>
            <w:r>
              <w:rPr>
                <w:rFonts w:ascii="Arial" w:cs="Arial" w:eastAsia="Arial" w:hAnsi="Arial"/>
                <w:sz w:val="14"/>
                <w:szCs w:val="14"/>
                <w:color w:val="auto"/>
              </w:rPr>
              <w:t>10.68</w:t>
            </w:r>
          </w:p>
        </w:tc>
        <w:tc>
          <w:tcPr>
            <w:tcW w:w="10080" w:type="dxa"/>
            <w:vAlign w:val="bottom"/>
          </w:tcPr>
          <w:p>
            <w:pPr>
              <w:ind w:left="360"/>
              <w:spacing w:after="0" w:line="147" w:lineRule="exact"/>
              <w:rPr>
                <w:rFonts w:ascii="Arial" w:cs="Arial" w:eastAsia="Arial" w:hAnsi="Arial"/>
                <w:sz w:val="14"/>
                <w:szCs w:val="14"/>
                <w:color w:val="auto"/>
              </w:rPr>
            </w:pPr>
            <w:hyperlink r:id="rId323">
              <w:r>
                <w:rPr>
                  <w:rFonts w:ascii="Arial" w:cs="Arial" w:eastAsia="Arial" w:hAnsi="Arial"/>
                  <w:sz w:val="14"/>
                  <w:szCs w:val="14"/>
                  <w:color w:val="auto"/>
                </w:rPr>
                <w:t>Second 364-Day Credit Agreement, dated as of July 2, 2024, among Honeywell International Inc., the banks, financial institutions, and other institutional</w:t>
              </w:r>
            </w:hyperlink>
          </w:p>
        </w:tc>
      </w:tr>
      <w:tr>
        <w:trPr>
          <w:trHeight w:val="185"/>
        </w:trPr>
        <w:tc>
          <w:tcPr>
            <w:tcW w:w="1160" w:type="dxa"/>
            <w:vAlign w:val="bottom"/>
            <w:tcBorders>
              <w:bottom w:val="single" w:sz="8" w:color="61656A"/>
            </w:tcBorders>
          </w:tcPr>
          <w:p>
            <w:pPr>
              <w:spacing w:after="0"/>
              <w:rPr>
                <w:sz w:val="16"/>
                <w:szCs w:val="16"/>
                <w:color w:val="auto"/>
              </w:rPr>
            </w:pPr>
          </w:p>
        </w:tc>
        <w:tc>
          <w:tcPr>
            <w:tcW w:w="10080" w:type="dxa"/>
            <w:vAlign w:val="bottom"/>
            <w:tcBorders>
              <w:bottom w:val="single" w:sz="8" w:color="61656A"/>
            </w:tcBorders>
          </w:tcPr>
          <w:p>
            <w:pPr>
              <w:ind w:left="360"/>
              <w:spacing w:after="0"/>
              <w:rPr>
                <w:rFonts w:ascii="Arial" w:cs="Arial" w:eastAsia="Arial" w:hAnsi="Arial"/>
                <w:sz w:val="14"/>
                <w:szCs w:val="14"/>
                <w:color w:val="auto"/>
              </w:rPr>
            </w:pPr>
            <w:hyperlink r:id="rId323">
              <w:r>
                <w:rPr>
                  <w:rFonts w:ascii="Arial" w:cs="Arial" w:eastAsia="Arial" w:hAnsi="Arial"/>
                  <w:sz w:val="14"/>
                  <w:szCs w:val="14"/>
                  <w:color w:val="auto"/>
                </w:rPr>
                <w:t>parties thereto and Bank of America, N.A., as administrative agent (incorporated by reference to Exhibit 10.1 to Honeywell's Form 8-K filed July 2, 2024)</w:t>
              </w:r>
            </w:hyperlink>
          </w:p>
        </w:tc>
      </w:tr>
      <w:tr>
        <w:trPr>
          <w:trHeight w:val="146"/>
        </w:trPr>
        <w:tc>
          <w:tcPr>
            <w:tcW w:w="1160" w:type="dxa"/>
            <w:vAlign w:val="bottom"/>
          </w:tcPr>
          <w:p>
            <w:pPr>
              <w:ind w:left="20"/>
              <w:spacing w:after="0" w:line="147" w:lineRule="exact"/>
              <w:rPr>
                <w:sz w:val="20"/>
                <w:szCs w:val="20"/>
                <w:color w:val="auto"/>
              </w:rPr>
            </w:pPr>
            <w:r>
              <w:rPr>
                <w:rFonts w:ascii="Arial" w:cs="Arial" w:eastAsia="Arial" w:hAnsi="Arial"/>
                <w:sz w:val="14"/>
                <w:szCs w:val="14"/>
                <w:color w:val="auto"/>
              </w:rPr>
              <w:t>10.69</w:t>
            </w:r>
          </w:p>
        </w:tc>
        <w:tc>
          <w:tcPr>
            <w:tcW w:w="10080" w:type="dxa"/>
            <w:vAlign w:val="bottom"/>
          </w:tcPr>
          <w:p>
            <w:pPr>
              <w:ind w:left="360"/>
              <w:spacing w:after="0" w:line="147" w:lineRule="exact"/>
              <w:rPr>
                <w:rFonts w:ascii="Arial" w:cs="Arial" w:eastAsia="Arial" w:hAnsi="Arial"/>
                <w:sz w:val="14"/>
                <w:szCs w:val="14"/>
                <w:color w:val="auto"/>
              </w:rPr>
            </w:pPr>
            <w:hyperlink r:id="rId324">
              <w:r>
                <w:rPr>
                  <w:rFonts w:ascii="Arial" w:cs="Arial" w:eastAsia="Arial" w:hAnsi="Arial"/>
                  <w:sz w:val="14"/>
                  <w:szCs w:val="14"/>
                  <w:color w:val="auto"/>
                </w:rPr>
                <w:t>Amended and Restated Five-Year Credit Agreement, dated as of March 18, 2024, among Honeywell International Inc., the banks, financial institutions,</w:t>
              </w:r>
            </w:hyperlink>
          </w:p>
        </w:tc>
      </w:tr>
      <w:tr>
        <w:trPr>
          <w:trHeight w:val="144"/>
        </w:trPr>
        <w:tc>
          <w:tcPr>
            <w:tcW w:w="1160" w:type="dxa"/>
            <w:vAlign w:val="bottom"/>
          </w:tcPr>
          <w:p>
            <w:pPr>
              <w:spacing w:after="0"/>
              <w:rPr>
                <w:sz w:val="12"/>
                <w:szCs w:val="12"/>
                <w:color w:val="auto"/>
              </w:rPr>
            </w:pPr>
          </w:p>
        </w:tc>
        <w:tc>
          <w:tcPr>
            <w:tcW w:w="10080" w:type="dxa"/>
            <w:vAlign w:val="bottom"/>
          </w:tcPr>
          <w:p>
            <w:pPr>
              <w:ind w:left="360"/>
              <w:spacing w:after="0" w:line="145" w:lineRule="exact"/>
              <w:rPr>
                <w:rFonts w:ascii="Arial" w:cs="Arial" w:eastAsia="Arial" w:hAnsi="Arial"/>
                <w:sz w:val="14"/>
                <w:szCs w:val="14"/>
                <w:color w:val="auto"/>
              </w:rPr>
            </w:pPr>
            <w:hyperlink r:id="rId324">
              <w:r>
                <w:rPr>
                  <w:rFonts w:ascii="Arial" w:cs="Arial" w:eastAsia="Arial" w:hAnsi="Arial"/>
                  <w:sz w:val="14"/>
                  <w:szCs w:val="14"/>
                  <w:color w:val="auto"/>
                </w:rPr>
                <w:t>and other institutional lenders parties thereto, Bank of America, N.A., as administrative agent, Bank of America, N.A., as swing line agent, and</w:t>
              </w:r>
            </w:hyperlink>
          </w:p>
        </w:tc>
      </w:tr>
      <w:tr>
        <w:trPr>
          <w:trHeight w:val="139"/>
        </w:trPr>
        <w:tc>
          <w:tcPr>
            <w:tcW w:w="1160" w:type="dxa"/>
            <w:vAlign w:val="bottom"/>
          </w:tcPr>
          <w:p>
            <w:pPr>
              <w:spacing w:after="0"/>
              <w:rPr>
                <w:sz w:val="12"/>
                <w:szCs w:val="12"/>
                <w:color w:val="auto"/>
              </w:rPr>
            </w:pPr>
          </w:p>
        </w:tc>
        <w:tc>
          <w:tcPr>
            <w:tcW w:w="10080" w:type="dxa"/>
            <w:vAlign w:val="bottom"/>
          </w:tcPr>
          <w:p>
            <w:pPr>
              <w:ind w:left="360"/>
              <w:spacing w:after="0" w:line="139" w:lineRule="exact"/>
              <w:rPr>
                <w:rFonts w:ascii="Arial" w:cs="Arial" w:eastAsia="Arial" w:hAnsi="Arial"/>
                <w:sz w:val="14"/>
                <w:szCs w:val="14"/>
                <w:color w:val="auto"/>
              </w:rPr>
            </w:pPr>
            <w:hyperlink r:id="rId324">
              <w:r>
                <w:rPr>
                  <w:rFonts w:ascii="Arial" w:cs="Arial" w:eastAsia="Arial" w:hAnsi="Arial"/>
                  <w:sz w:val="14"/>
                  <w:szCs w:val="14"/>
                  <w:color w:val="auto"/>
                </w:rPr>
                <w:t>JPMorgan Chase Bank, N.A. and Wells Fargo Bank, National Association, as syndication agents (incorporated by reference to Exhibit 10.2 to</w:t>
              </w:r>
            </w:hyperlink>
          </w:p>
        </w:tc>
      </w:tr>
      <w:tr>
        <w:trPr>
          <w:trHeight w:val="194"/>
        </w:trPr>
        <w:tc>
          <w:tcPr>
            <w:tcW w:w="1160" w:type="dxa"/>
            <w:vAlign w:val="bottom"/>
            <w:tcBorders>
              <w:bottom w:val="single" w:sz="8" w:color="61656A"/>
            </w:tcBorders>
          </w:tcPr>
          <w:p>
            <w:pPr>
              <w:spacing w:after="0"/>
              <w:rPr>
                <w:sz w:val="16"/>
                <w:szCs w:val="16"/>
                <w:color w:val="auto"/>
              </w:rPr>
            </w:pPr>
          </w:p>
        </w:tc>
        <w:tc>
          <w:tcPr>
            <w:tcW w:w="10080" w:type="dxa"/>
            <w:vAlign w:val="bottom"/>
            <w:tcBorders>
              <w:bottom w:val="single" w:sz="8" w:color="61656A"/>
            </w:tcBorders>
          </w:tcPr>
          <w:p>
            <w:pPr>
              <w:ind w:left="360"/>
              <w:spacing w:after="0"/>
              <w:rPr>
                <w:rFonts w:ascii="Arial" w:cs="Arial" w:eastAsia="Arial" w:hAnsi="Arial"/>
                <w:sz w:val="14"/>
                <w:szCs w:val="14"/>
                <w:color w:val="auto"/>
              </w:rPr>
            </w:pPr>
            <w:hyperlink r:id="rId324">
              <w:r>
                <w:rPr>
                  <w:rFonts w:ascii="Arial" w:cs="Arial" w:eastAsia="Arial" w:hAnsi="Arial"/>
                  <w:sz w:val="14"/>
                  <w:szCs w:val="14"/>
                  <w:color w:val="auto"/>
                </w:rPr>
                <w:t>Honeywell's Form 8-K filed March 19, 2024)</w:t>
              </w:r>
            </w:hyperlink>
          </w:p>
        </w:tc>
      </w:tr>
      <w:tr>
        <w:trPr>
          <w:trHeight w:val="150"/>
        </w:trPr>
        <w:tc>
          <w:tcPr>
            <w:tcW w:w="1160" w:type="dxa"/>
            <w:vAlign w:val="bottom"/>
          </w:tcPr>
          <w:p>
            <w:pPr>
              <w:ind w:left="20"/>
              <w:spacing w:after="0" w:line="151" w:lineRule="exact"/>
              <w:rPr>
                <w:sz w:val="20"/>
                <w:szCs w:val="20"/>
                <w:color w:val="auto"/>
              </w:rPr>
            </w:pPr>
            <w:r>
              <w:rPr>
                <w:rFonts w:ascii="Arial" w:cs="Arial" w:eastAsia="Arial" w:hAnsi="Arial"/>
                <w:sz w:val="14"/>
                <w:szCs w:val="14"/>
                <w:color w:val="auto"/>
              </w:rPr>
              <w:t>10.70</w:t>
            </w:r>
          </w:p>
        </w:tc>
        <w:tc>
          <w:tcPr>
            <w:tcW w:w="10080" w:type="dxa"/>
            <w:vAlign w:val="bottom"/>
          </w:tcPr>
          <w:p>
            <w:pPr>
              <w:ind w:left="360"/>
              <w:spacing w:after="0" w:line="151" w:lineRule="exact"/>
              <w:rPr>
                <w:rFonts w:ascii="Arial" w:cs="Arial" w:eastAsia="Arial" w:hAnsi="Arial"/>
                <w:sz w:val="14"/>
                <w:szCs w:val="14"/>
                <w:color w:val="auto"/>
              </w:rPr>
            </w:pPr>
            <w:hyperlink r:id="rId325">
              <w:r>
                <w:rPr>
                  <w:rFonts w:ascii="Arial" w:cs="Arial" w:eastAsia="Arial" w:hAnsi="Arial"/>
                  <w:sz w:val="14"/>
                  <w:szCs w:val="14"/>
                  <w:color w:val="auto"/>
                </w:rPr>
                <w:t>Fixed Rate Term Loan Credit Agreement, dated as of August 12, 2024, among Honeywell International Inc., the banks, financial institutions, and other</w:t>
              </w:r>
            </w:hyperlink>
          </w:p>
        </w:tc>
      </w:tr>
      <w:tr>
        <w:trPr>
          <w:trHeight w:val="144"/>
        </w:trPr>
        <w:tc>
          <w:tcPr>
            <w:tcW w:w="1160" w:type="dxa"/>
            <w:vAlign w:val="bottom"/>
          </w:tcPr>
          <w:p>
            <w:pPr>
              <w:spacing w:after="0"/>
              <w:rPr>
                <w:sz w:val="12"/>
                <w:szCs w:val="12"/>
                <w:color w:val="auto"/>
              </w:rPr>
            </w:pPr>
          </w:p>
        </w:tc>
        <w:tc>
          <w:tcPr>
            <w:tcW w:w="10080" w:type="dxa"/>
            <w:vAlign w:val="bottom"/>
          </w:tcPr>
          <w:p>
            <w:pPr>
              <w:ind w:left="360"/>
              <w:spacing w:after="0" w:line="145" w:lineRule="exact"/>
              <w:rPr>
                <w:rFonts w:ascii="Arial" w:cs="Arial" w:eastAsia="Arial" w:hAnsi="Arial"/>
                <w:sz w:val="14"/>
                <w:szCs w:val="14"/>
                <w:color w:val="auto"/>
              </w:rPr>
            </w:pPr>
            <w:hyperlink r:id="rId325">
              <w:r>
                <w:rPr>
                  <w:rFonts w:ascii="Arial" w:cs="Arial" w:eastAsia="Arial" w:hAnsi="Arial"/>
                  <w:sz w:val="14"/>
                  <w:szCs w:val="14"/>
                  <w:color w:val="auto"/>
                </w:rPr>
                <w:t>institutional lenders parties thereto and Bank of America, N.A., as administrative agent (incorporated by reference to Exhibit 10.1 to Honeywell's Form 8-</w:t>
              </w:r>
            </w:hyperlink>
          </w:p>
        </w:tc>
      </w:tr>
      <w:tr>
        <w:trPr>
          <w:trHeight w:val="189"/>
        </w:trPr>
        <w:tc>
          <w:tcPr>
            <w:tcW w:w="1160" w:type="dxa"/>
            <w:vAlign w:val="bottom"/>
            <w:tcBorders>
              <w:bottom w:val="single" w:sz="8" w:color="61656A"/>
            </w:tcBorders>
          </w:tcPr>
          <w:p>
            <w:pPr>
              <w:spacing w:after="0"/>
              <w:rPr>
                <w:sz w:val="16"/>
                <w:szCs w:val="16"/>
                <w:color w:val="auto"/>
              </w:rPr>
            </w:pPr>
          </w:p>
        </w:tc>
        <w:tc>
          <w:tcPr>
            <w:tcW w:w="10080" w:type="dxa"/>
            <w:vAlign w:val="bottom"/>
            <w:tcBorders>
              <w:bottom w:val="single" w:sz="8" w:color="61656A"/>
            </w:tcBorders>
          </w:tcPr>
          <w:p>
            <w:pPr>
              <w:ind w:left="360"/>
              <w:spacing w:after="0"/>
              <w:rPr>
                <w:rFonts w:ascii="Arial" w:cs="Arial" w:eastAsia="Arial" w:hAnsi="Arial"/>
                <w:sz w:val="14"/>
                <w:szCs w:val="14"/>
                <w:color w:val="auto"/>
              </w:rPr>
            </w:pPr>
            <w:hyperlink r:id="rId325">
              <w:r>
                <w:rPr>
                  <w:rFonts w:ascii="Arial" w:cs="Arial" w:eastAsia="Arial" w:hAnsi="Arial"/>
                  <w:sz w:val="14"/>
                  <w:szCs w:val="14"/>
                  <w:color w:val="auto"/>
                </w:rPr>
                <w:t>K filed August 12, 2024)</w:t>
              </w:r>
            </w:hyperlink>
          </w:p>
        </w:tc>
      </w:tr>
      <w:tr>
        <w:trPr>
          <w:trHeight w:val="146"/>
        </w:trPr>
        <w:tc>
          <w:tcPr>
            <w:tcW w:w="1160" w:type="dxa"/>
            <w:vAlign w:val="bottom"/>
          </w:tcPr>
          <w:p>
            <w:pPr>
              <w:ind w:left="20"/>
              <w:spacing w:after="0" w:line="147" w:lineRule="exact"/>
              <w:rPr>
                <w:sz w:val="20"/>
                <w:szCs w:val="20"/>
                <w:color w:val="auto"/>
              </w:rPr>
            </w:pPr>
            <w:r>
              <w:rPr>
                <w:rFonts w:ascii="Arial" w:cs="Arial" w:eastAsia="Arial" w:hAnsi="Arial"/>
                <w:sz w:val="14"/>
                <w:szCs w:val="14"/>
                <w:color w:val="auto"/>
              </w:rPr>
              <w:t>10.71</w:t>
            </w:r>
          </w:p>
        </w:tc>
        <w:tc>
          <w:tcPr>
            <w:tcW w:w="10080" w:type="dxa"/>
            <w:vAlign w:val="bottom"/>
          </w:tcPr>
          <w:p>
            <w:pPr>
              <w:ind w:left="360"/>
              <w:spacing w:after="0" w:line="147" w:lineRule="exact"/>
              <w:rPr>
                <w:rFonts w:ascii="Arial" w:cs="Arial" w:eastAsia="Arial" w:hAnsi="Arial"/>
                <w:sz w:val="14"/>
                <w:szCs w:val="14"/>
                <w:color w:val="auto"/>
              </w:rPr>
            </w:pPr>
            <w:hyperlink r:id="rId326">
              <w:r>
                <w:rPr>
                  <w:rFonts w:ascii="Arial" w:cs="Arial" w:eastAsia="Arial" w:hAnsi="Arial"/>
                  <w:sz w:val="14"/>
                  <w:szCs w:val="14"/>
                  <w:color w:val="auto"/>
                </w:rPr>
                <w:t>Indemnification and Reimbursement Agreement, dated October 14, 2018, by and among New HAPI Inc. and Honeywell International Inc. (incorporated</w:t>
              </w:r>
            </w:hyperlink>
          </w:p>
        </w:tc>
      </w:tr>
      <w:tr>
        <w:trPr>
          <w:trHeight w:val="185"/>
        </w:trPr>
        <w:tc>
          <w:tcPr>
            <w:tcW w:w="1160" w:type="dxa"/>
            <w:vAlign w:val="bottom"/>
            <w:tcBorders>
              <w:bottom w:val="single" w:sz="8" w:color="61656A"/>
            </w:tcBorders>
          </w:tcPr>
          <w:p>
            <w:pPr>
              <w:spacing w:after="0"/>
              <w:rPr>
                <w:sz w:val="16"/>
                <w:szCs w:val="16"/>
                <w:color w:val="auto"/>
              </w:rPr>
            </w:pPr>
          </w:p>
        </w:tc>
        <w:tc>
          <w:tcPr>
            <w:tcW w:w="10080" w:type="dxa"/>
            <w:vAlign w:val="bottom"/>
            <w:tcBorders>
              <w:bottom w:val="single" w:sz="8" w:color="61656A"/>
            </w:tcBorders>
          </w:tcPr>
          <w:p>
            <w:pPr>
              <w:ind w:left="360"/>
              <w:spacing w:after="0"/>
              <w:rPr>
                <w:rFonts w:ascii="Arial" w:cs="Arial" w:eastAsia="Arial" w:hAnsi="Arial"/>
                <w:sz w:val="14"/>
                <w:szCs w:val="14"/>
                <w:color w:val="auto"/>
              </w:rPr>
            </w:pPr>
            <w:hyperlink r:id="rId326">
              <w:r>
                <w:rPr>
                  <w:rFonts w:ascii="Arial" w:cs="Arial" w:eastAsia="Arial" w:hAnsi="Arial"/>
                  <w:sz w:val="14"/>
                  <w:szCs w:val="14"/>
                  <w:color w:val="auto"/>
                </w:rPr>
                <w:t>by reference to Exhibit 2.1 to Honeywell’s Form 8-K filed October 15, 2018)</w:t>
              </w:r>
            </w:hyperlink>
          </w:p>
        </w:tc>
      </w:tr>
      <w:tr>
        <w:trPr>
          <w:trHeight w:val="146"/>
        </w:trPr>
        <w:tc>
          <w:tcPr>
            <w:tcW w:w="1160" w:type="dxa"/>
            <w:vAlign w:val="bottom"/>
          </w:tcPr>
          <w:p>
            <w:pPr>
              <w:ind w:left="20"/>
              <w:spacing w:after="0" w:line="147" w:lineRule="exact"/>
              <w:rPr>
                <w:sz w:val="20"/>
                <w:szCs w:val="20"/>
                <w:color w:val="auto"/>
              </w:rPr>
            </w:pPr>
            <w:r>
              <w:rPr>
                <w:rFonts w:ascii="Arial" w:cs="Arial" w:eastAsia="Arial" w:hAnsi="Arial"/>
                <w:sz w:val="14"/>
                <w:szCs w:val="14"/>
                <w:color w:val="auto"/>
              </w:rPr>
              <w:t>10.72</w:t>
            </w:r>
          </w:p>
        </w:tc>
        <w:tc>
          <w:tcPr>
            <w:tcW w:w="10080" w:type="dxa"/>
            <w:vAlign w:val="bottom"/>
          </w:tcPr>
          <w:p>
            <w:pPr>
              <w:ind w:left="360"/>
              <w:spacing w:after="0" w:line="147" w:lineRule="exact"/>
              <w:rPr>
                <w:rFonts w:ascii="Arial" w:cs="Arial" w:eastAsia="Arial" w:hAnsi="Arial"/>
                <w:sz w:val="14"/>
                <w:szCs w:val="14"/>
                <w:color w:val="auto"/>
              </w:rPr>
            </w:pPr>
            <w:hyperlink r:id="rId327">
              <w:r>
                <w:rPr>
                  <w:rFonts w:ascii="Arial" w:cs="Arial" w:eastAsia="Arial" w:hAnsi="Arial"/>
                  <w:sz w:val="14"/>
                  <w:szCs w:val="14"/>
                  <w:color w:val="auto"/>
                </w:rPr>
                <w:t>First Amendment, dated April 21, 2020, to Indemnification and Reimbursement Agreement, dated October 14, 2018 among Honeywell and Resideo</w:t>
              </w:r>
            </w:hyperlink>
          </w:p>
        </w:tc>
      </w:tr>
      <w:tr>
        <w:trPr>
          <w:trHeight w:val="185"/>
        </w:trPr>
        <w:tc>
          <w:tcPr>
            <w:tcW w:w="1160" w:type="dxa"/>
            <w:vAlign w:val="bottom"/>
            <w:tcBorders>
              <w:bottom w:val="single" w:sz="8" w:color="61656A"/>
            </w:tcBorders>
          </w:tcPr>
          <w:p>
            <w:pPr>
              <w:spacing w:after="0"/>
              <w:rPr>
                <w:sz w:val="16"/>
                <w:szCs w:val="16"/>
                <w:color w:val="auto"/>
              </w:rPr>
            </w:pPr>
          </w:p>
        </w:tc>
        <w:tc>
          <w:tcPr>
            <w:tcW w:w="10080" w:type="dxa"/>
            <w:vAlign w:val="bottom"/>
            <w:tcBorders>
              <w:bottom w:val="single" w:sz="8" w:color="61656A"/>
            </w:tcBorders>
          </w:tcPr>
          <w:p>
            <w:pPr>
              <w:ind w:left="360"/>
              <w:spacing w:after="0"/>
              <w:rPr>
                <w:rFonts w:ascii="Arial" w:cs="Arial" w:eastAsia="Arial" w:hAnsi="Arial"/>
                <w:sz w:val="14"/>
                <w:szCs w:val="14"/>
                <w:color w:val="auto"/>
              </w:rPr>
            </w:pPr>
            <w:hyperlink r:id="rId327">
              <w:r>
                <w:rPr>
                  <w:rFonts w:ascii="Arial" w:cs="Arial" w:eastAsia="Arial" w:hAnsi="Arial"/>
                  <w:sz w:val="14"/>
                  <w:szCs w:val="14"/>
                  <w:color w:val="auto"/>
                </w:rPr>
                <w:t>Intermediate Holding Inc. (incorporated by reference to Exhibit 10.6 to Honeywell’s Form 10-Q for the quarter ended June 30, 2020)</w:t>
              </w:r>
            </w:hyperlink>
          </w:p>
        </w:tc>
      </w:tr>
      <w:tr>
        <w:trPr>
          <w:trHeight w:val="146"/>
        </w:trPr>
        <w:tc>
          <w:tcPr>
            <w:tcW w:w="1160" w:type="dxa"/>
            <w:vAlign w:val="bottom"/>
          </w:tcPr>
          <w:p>
            <w:pPr>
              <w:ind w:left="20"/>
              <w:spacing w:after="0" w:line="147" w:lineRule="exact"/>
              <w:rPr>
                <w:sz w:val="20"/>
                <w:szCs w:val="20"/>
                <w:color w:val="auto"/>
              </w:rPr>
            </w:pPr>
            <w:r>
              <w:rPr>
                <w:rFonts w:ascii="Arial" w:cs="Arial" w:eastAsia="Arial" w:hAnsi="Arial"/>
                <w:sz w:val="14"/>
                <w:szCs w:val="14"/>
                <w:color w:val="auto"/>
              </w:rPr>
              <w:t>10.73</w:t>
            </w:r>
          </w:p>
        </w:tc>
        <w:tc>
          <w:tcPr>
            <w:tcW w:w="10080" w:type="dxa"/>
            <w:vAlign w:val="bottom"/>
          </w:tcPr>
          <w:p>
            <w:pPr>
              <w:ind w:left="360"/>
              <w:spacing w:after="0" w:line="147" w:lineRule="exact"/>
              <w:rPr>
                <w:rFonts w:ascii="Arial" w:cs="Arial" w:eastAsia="Arial" w:hAnsi="Arial"/>
                <w:sz w:val="14"/>
                <w:szCs w:val="14"/>
                <w:color w:val="auto"/>
              </w:rPr>
            </w:pPr>
            <w:hyperlink r:id="rId328">
              <w:r>
                <w:rPr>
                  <w:rFonts w:ascii="Arial" w:cs="Arial" w:eastAsia="Arial" w:hAnsi="Arial"/>
                  <w:sz w:val="14"/>
                  <w:szCs w:val="14"/>
                  <w:color w:val="auto"/>
                </w:rPr>
                <w:t>Second Amendment, dated July 28, 2020, to Indemnification and Reimbursement Agreement dated October 14, 2018 among Honeywell and Resideo</w:t>
              </w:r>
            </w:hyperlink>
          </w:p>
        </w:tc>
      </w:tr>
      <w:tr>
        <w:trPr>
          <w:trHeight w:val="185"/>
        </w:trPr>
        <w:tc>
          <w:tcPr>
            <w:tcW w:w="1160" w:type="dxa"/>
            <w:vAlign w:val="bottom"/>
            <w:tcBorders>
              <w:bottom w:val="single" w:sz="8" w:color="61656A"/>
            </w:tcBorders>
          </w:tcPr>
          <w:p>
            <w:pPr>
              <w:spacing w:after="0"/>
              <w:rPr>
                <w:sz w:val="16"/>
                <w:szCs w:val="16"/>
                <w:color w:val="auto"/>
              </w:rPr>
            </w:pPr>
          </w:p>
        </w:tc>
        <w:tc>
          <w:tcPr>
            <w:tcW w:w="10080" w:type="dxa"/>
            <w:vAlign w:val="bottom"/>
            <w:tcBorders>
              <w:bottom w:val="single" w:sz="8" w:color="61656A"/>
            </w:tcBorders>
          </w:tcPr>
          <w:p>
            <w:pPr>
              <w:ind w:left="360"/>
              <w:spacing w:after="0"/>
              <w:rPr>
                <w:rFonts w:ascii="Arial" w:cs="Arial" w:eastAsia="Arial" w:hAnsi="Arial"/>
                <w:sz w:val="14"/>
                <w:szCs w:val="14"/>
                <w:color w:val="auto"/>
              </w:rPr>
            </w:pPr>
            <w:hyperlink r:id="rId328">
              <w:r>
                <w:rPr>
                  <w:rFonts w:ascii="Arial" w:cs="Arial" w:eastAsia="Arial" w:hAnsi="Arial"/>
                  <w:sz w:val="14"/>
                  <w:szCs w:val="14"/>
                  <w:color w:val="auto"/>
                </w:rPr>
                <w:t>Intermediate Holding Inc. (incorporated by reference to Exhibit 10.1 to Honeywell's Form 10-Q for the quarter ended September 30, 2020)</w:t>
              </w:r>
            </w:hyperlink>
          </w:p>
        </w:tc>
      </w:tr>
      <w:tr>
        <w:trPr>
          <w:trHeight w:val="146"/>
        </w:trPr>
        <w:tc>
          <w:tcPr>
            <w:tcW w:w="1160" w:type="dxa"/>
            <w:vAlign w:val="bottom"/>
          </w:tcPr>
          <w:p>
            <w:pPr>
              <w:ind w:left="20"/>
              <w:spacing w:after="0" w:line="147" w:lineRule="exact"/>
              <w:rPr>
                <w:sz w:val="20"/>
                <w:szCs w:val="20"/>
                <w:color w:val="auto"/>
              </w:rPr>
            </w:pPr>
            <w:r>
              <w:rPr>
                <w:rFonts w:ascii="Arial" w:cs="Arial" w:eastAsia="Arial" w:hAnsi="Arial"/>
                <w:sz w:val="14"/>
                <w:szCs w:val="14"/>
                <w:color w:val="auto"/>
              </w:rPr>
              <w:t>10.74</w:t>
            </w:r>
          </w:p>
        </w:tc>
        <w:tc>
          <w:tcPr>
            <w:tcW w:w="10080" w:type="dxa"/>
            <w:vAlign w:val="bottom"/>
          </w:tcPr>
          <w:p>
            <w:pPr>
              <w:ind w:left="360"/>
              <w:spacing w:after="0" w:line="147" w:lineRule="exact"/>
              <w:rPr>
                <w:rFonts w:ascii="Arial" w:cs="Arial" w:eastAsia="Arial" w:hAnsi="Arial"/>
                <w:sz w:val="14"/>
                <w:szCs w:val="14"/>
                <w:color w:val="auto"/>
              </w:rPr>
            </w:pPr>
            <w:hyperlink r:id="rId329">
              <w:r>
                <w:rPr>
                  <w:rFonts w:ascii="Arial" w:cs="Arial" w:eastAsia="Arial" w:hAnsi="Arial"/>
                  <w:sz w:val="14"/>
                  <w:szCs w:val="14"/>
                  <w:color w:val="auto"/>
                </w:rPr>
                <w:t>Third Amendment, dated November 16, 2020, to Indemnification and Reimbursement Agreement dated October 14, 2018 among Honeywell and</w:t>
              </w:r>
            </w:hyperlink>
          </w:p>
        </w:tc>
      </w:tr>
      <w:tr>
        <w:trPr>
          <w:trHeight w:val="185"/>
        </w:trPr>
        <w:tc>
          <w:tcPr>
            <w:tcW w:w="1160" w:type="dxa"/>
            <w:vAlign w:val="bottom"/>
            <w:tcBorders>
              <w:bottom w:val="single" w:sz="8" w:color="61656A"/>
            </w:tcBorders>
          </w:tcPr>
          <w:p>
            <w:pPr>
              <w:spacing w:after="0"/>
              <w:rPr>
                <w:sz w:val="16"/>
                <w:szCs w:val="16"/>
                <w:color w:val="auto"/>
              </w:rPr>
            </w:pPr>
          </w:p>
        </w:tc>
        <w:tc>
          <w:tcPr>
            <w:tcW w:w="10080" w:type="dxa"/>
            <w:vAlign w:val="bottom"/>
            <w:tcBorders>
              <w:bottom w:val="single" w:sz="8" w:color="61656A"/>
            </w:tcBorders>
          </w:tcPr>
          <w:p>
            <w:pPr>
              <w:ind w:left="360"/>
              <w:spacing w:after="0"/>
              <w:rPr>
                <w:rFonts w:ascii="Arial" w:cs="Arial" w:eastAsia="Arial" w:hAnsi="Arial"/>
                <w:sz w:val="14"/>
                <w:szCs w:val="14"/>
                <w:color w:val="auto"/>
              </w:rPr>
            </w:pPr>
            <w:hyperlink r:id="rId329">
              <w:r>
                <w:rPr>
                  <w:rFonts w:ascii="Arial" w:cs="Arial" w:eastAsia="Arial" w:hAnsi="Arial"/>
                  <w:sz w:val="14"/>
                  <w:szCs w:val="14"/>
                  <w:color w:val="auto"/>
                </w:rPr>
                <w:t>Resideo Intermediate Holding Inc. (incorporated by reference to Exhibit 10.2 to Honeywell’s Form 10-Q for the quarter ended March 31, 2021)</w:t>
              </w:r>
            </w:hyperlink>
          </w:p>
        </w:tc>
      </w:tr>
      <w:tr>
        <w:trPr>
          <w:trHeight w:val="146"/>
        </w:trPr>
        <w:tc>
          <w:tcPr>
            <w:tcW w:w="1160" w:type="dxa"/>
            <w:vAlign w:val="bottom"/>
          </w:tcPr>
          <w:p>
            <w:pPr>
              <w:ind w:left="20"/>
              <w:spacing w:after="0" w:line="147" w:lineRule="exact"/>
              <w:rPr>
                <w:sz w:val="20"/>
                <w:szCs w:val="20"/>
                <w:color w:val="auto"/>
              </w:rPr>
            </w:pPr>
            <w:r>
              <w:rPr>
                <w:rFonts w:ascii="Arial" w:cs="Arial" w:eastAsia="Arial" w:hAnsi="Arial"/>
                <w:sz w:val="14"/>
                <w:szCs w:val="14"/>
                <w:color w:val="auto"/>
              </w:rPr>
              <w:t>10.75</w:t>
            </w:r>
          </w:p>
        </w:tc>
        <w:tc>
          <w:tcPr>
            <w:tcW w:w="10080" w:type="dxa"/>
            <w:vAlign w:val="bottom"/>
          </w:tcPr>
          <w:p>
            <w:pPr>
              <w:ind w:left="360"/>
              <w:spacing w:after="0" w:line="147" w:lineRule="exact"/>
              <w:rPr>
                <w:rFonts w:ascii="Arial" w:cs="Arial" w:eastAsia="Arial" w:hAnsi="Arial"/>
                <w:sz w:val="14"/>
                <w:szCs w:val="14"/>
                <w:color w:val="auto"/>
              </w:rPr>
            </w:pPr>
            <w:hyperlink r:id="rId330">
              <w:r>
                <w:rPr>
                  <w:rFonts w:ascii="Arial" w:cs="Arial" w:eastAsia="Arial" w:hAnsi="Arial"/>
                  <w:sz w:val="14"/>
                  <w:szCs w:val="14"/>
                  <w:color w:val="auto"/>
                </w:rPr>
                <w:t>Fourth Amendment, dated February 12, 2021, to Indemnification and Reimbursement Agreement dated October 14, 2018 among Honeywell and</w:t>
              </w:r>
            </w:hyperlink>
          </w:p>
        </w:tc>
      </w:tr>
      <w:tr>
        <w:trPr>
          <w:trHeight w:val="185"/>
        </w:trPr>
        <w:tc>
          <w:tcPr>
            <w:tcW w:w="1160" w:type="dxa"/>
            <w:vAlign w:val="bottom"/>
            <w:tcBorders>
              <w:bottom w:val="single" w:sz="8" w:color="61656A"/>
            </w:tcBorders>
          </w:tcPr>
          <w:p>
            <w:pPr>
              <w:spacing w:after="0"/>
              <w:rPr>
                <w:sz w:val="16"/>
                <w:szCs w:val="16"/>
                <w:color w:val="auto"/>
              </w:rPr>
            </w:pPr>
          </w:p>
        </w:tc>
        <w:tc>
          <w:tcPr>
            <w:tcW w:w="10080" w:type="dxa"/>
            <w:vAlign w:val="bottom"/>
            <w:tcBorders>
              <w:bottom w:val="single" w:sz="8" w:color="61656A"/>
            </w:tcBorders>
          </w:tcPr>
          <w:p>
            <w:pPr>
              <w:ind w:left="360"/>
              <w:spacing w:after="0"/>
              <w:rPr>
                <w:rFonts w:ascii="Arial" w:cs="Arial" w:eastAsia="Arial" w:hAnsi="Arial"/>
                <w:sz w:val="14"/>
                <w:szCs w:val="14"/>
                <w:color w:val="auto"/>
              </w:rPr>
            </w:pPr>
            <w:hyperlink r:id="rId330">
              <w:r>
                <w:rPr>
                  <w:rFonts w:ascii="Arial" w:cs="Arial" w:eastAsia="Arial" w:hAnsi="Arial"/>
                  <w:sz w:val="14"/>
                  <w:szCs w:val="14"/>
                  <w:color w:val="auto"/>
                </w:rPr>
                <w:t>Resideo Intermediate Holding Inc. (incorporated by reference to Exhibit 10.3 to Honeywell’s Form 10-Q for the quarter ended March 31, 2021)</w:t>
              </w:r>
            </w:hyperlink>
          </w:p>
        </w:tc>
      </w:tr>
      <w:tr>
        <w:trPr>
          <w:trHeight w:val="146"/>
        </w:trPr>
        <w:tc>
          <w:tcPr>
            <w:tcW w:w="1160" w:type="dxa"/>
            <w:vAlign w:val="bottom"/>
          </w:tcPr>
          <w:p>
            <w:pPr>
              <w:ind w:left="20"/>
              <w:spacing w:after="0" w:line="147" w:lineRule="exact"/>
              <w:rPr>
                <w:sz w:val="20"/>
                <w:szCs w:val="20"/>
                <w:color w:val="auto"/>
              </w:rPr>
            </w:pPr>
            <w:r>
              <w:rPr>
                <w:rFonts w:ascii="Arial" w:cs="Arial" w:eastAsia="Arial" w:hAnsi="Arial"/>
                <w:sz w:val="14"/>
                <w:szCs w:val="14"/>
                <w:color w:val="auto"/>
              </w:rPr>
              <w:t>10.76</w:t>
            </w:r>
          </w:p>
        </w:tc>
        <w:tc>
          <w:tcPr>
            <w:tcW w:w="10080" w:type="dxa"/>
            <w:vAlign w:val="bottom"/>
          </w:tcPr>
          <w:p>
            <w:pPr>
              <w:ind w:left="360"/>
              <w:spacing w:after="0" w:line="147" w:lineRule="exact"/>
              <w:rPr>
                <w:rFonts w:ascii="Arial" w:cs="Arial" w:eastAsia="Arial" w:hAnsi="Arial"/>
                <w:sz w:val="14"/>
                <w:szCs w:val="14"/>
                <w:color w:val="auto"/>
              </w:rPr>
            </w:pPr>
            <w:hyperlink r:id="rId331">
              <w:r>
                <w:rPr>
                  <w:rFonts w:ascii="Arial" w:cs="Arial" w:eastAsia="Arial" w:hAnsi="Arial"/>
                  <w:sz w:val="14"/>
                  <w:szCs w:val="14"/>
                  <w:color w:val="auto"/>
                </w:rPr>
                <w:t>Fifth Amendment, dated April 14, 2024, to Indemnification and Reimbursement Agreement dated October 14, 2018 among Honeywell and Resideo</w:t>
              </w:r>
            </w:hyperlink>
          </w:p>
        </w:tc>
      </w:tr>
      <w:tr>
        <w:trPr>
          <w:trHeight w:val="190"/>
        </w:trPr>
        <w:tc>
          <w:tcPr>
            <w:tcW w:w="1160" w:type="dxa"/>
            <w:vAlign w:val="bottom"/>
          </w:tcPr>
          <w:p>
            <w:pPr>
              <w:spacing w:after="0"/>
              <w:rPr>
                <w:sz w:val="16"/>
                <w:szCs w:val="16"/>
                <w:color w:val="auto"/>
              </w:rPr>
            </w:pPr>
          </w:p>
        </w:tc>
        <w:tc>
          <w:tcPr>
            <w:tcW w:w="10080" w:type="dxa"/>
            <w:vAlign w:val="bottom"/>
          </w:tcPr>
          <w:p>
            <w:pPr>
              <w:ind w:left="360"/>
              <w:spacing w:after="0"/>
              <w:rPr>
                <w:rFonts w:ascii="Arial" w:cs="Arial" w:eastAsia="Arial" w:hAnsi="Arial"/>
                <w:sz w:val="14"/>
                <w:szCs w:val="14"/>
                <w:color w:val="auto"/>
              </w:rPr>
            </w:pPr>
            <w:hyperlink r:id="rId331">
              <w:r>
                <w:rPr>
                  <w:rFonts w:ascii="Arial" w:cs="Arial" w:eastAsia="Arial" w:hAnsi="Arial"/>
                  <w:sz w:val="14"/>
                  <w:szCs w:val="14"/>
                  <w:color w:val="auto"/>
                </w:rPr>
                <w:t>Intermediate Holding Inc. (incorporated by reference to Exhibit 10.3 to Honeywell's Form 10-Q for the quarter ended March 31, 2024)</w:t>
              </w:r>
            </w:hyperlink>
          </w:p>
        </w:tc>
      </w:tr>
    </w:tbl>
    <w:p>
      <w:pPr>
        <w:spacing w:after="0" w:line="200" w:lineRule="exact"/>
        <w:rPr>
          <w:sz w:val="20"/>
          <w:szCs w:val="20"/>
          <w:color w:val="auto"/>
        </w:rPr>
      </w:pPr>
    </w:p>
    <w:p>
      <w:pPr>
        <w:spacing w:after="0" w:line="322" w:lineRule="exact"/>
        <w:rPr>
          <w:sz w:val="20"/>
          <w:szCs w:val="20"/>
          <w:color w:val="auto"/>
        </w:rPr>
      </w:pPr>
    </w:p>
    <w:p>
      <w:pPr>
        <w:ind w:left="500" w:hanging="492"/>
        <w:spacing w:after="0"/>
        <w:tabs>
          <w:tab w:leader="none" w:pos="500" w:val="left"/>
        </w:tabs>
        <w:numPr>
          <w:ilvl w:val="0"/>
          <w:numId w:val="201"/>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124" w:name="page125"/>
    <w:bookmarkEnd w:id="124"/>
    <w:p>
      <w:pPr>
        <w:ind w:left="20"/>
        <w:spacing w:after="0"/>
        <w:tabs>
          <w:tab w:leader="none" w:pos="1028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EXHIBIT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16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Exhibit No.</w:t>
            </w:r>
          </w:p>
        </w:tc>
        <w:tc>
          <w:tcPr>
            <w:tcW w:w="10080" w:type="dxa"/>
            <w:vAlign w:val="bottom"/>
            <w:tcBorders>
              <w:bottom w:val="single" w:sz="8" w:color="D7282F"/>
            </w:tcBorders>
          </w:tcPr>
          <w:p>
            <w:pPr>
              <w:ind w:left="4820"/>
              <w:spacing w:after="0"/>
              <w:rPr>
                <w:sz w:val="20"/>
                <w:szCs w:val="20"/>
                <w:color w:val="auto"/>
              </w:rPr>
            </w:pPr>
            <w:r>
              <w:rPr>
                <w:rFonts w:ascii="Arial" w:cs="Arial" w:eastAsia="Arial" w:hAnsi="Arial"/>
                <w:sz w:val="14"/>
                <w:szCs w:val="14"/>
                <w:b w:val="1"/>
                <w:bCs w:val="1"/>
                <w:color w:val="auto"/>
              </w:rPr>
              <w:t>Description</w:t>
            </w:r>
          </w:p>
        </w:tc>
      </w:tr>
      <w:tr>
        <w:trPr>
          <w:trHeight w:val="153"/>
        </w:trPr>
        <w:tc>
          <w:tcPr>
            <w:tcW w:w="1160" w:type="dxa"/>
            <w:vAlign w:val="bottom"/>
          </w:tcPr>
          <w:p>
            <w:pPr>
              <w:ind w:left="20"/>
              <w:spacing w:after="0" w:line="153" w:lineRule="exact"/>
              <w:rPr>
                <w:sz w:val="20"/>
                <w:szCs w:val="20"/>
                <w:color w:val="auto"/>
              </w:rPr>
            </w:pPr>
            <w:r>
              <w:rPr>
                <w:rFonts w:ascii="Arial" w:cs="Arial" w:eastAsia="Arial" w:hAnsi="Arial"/>
                <w:sz w:val="14"/>
                <w:szCs w:val="14"/>
                <w:color w:val="auto"/>
              </w:rPr>
              <w:t>10.77</w:t>
            </w:r>
          </w:p>
        </w:tc>
        <w:tc>
          <w:tcPr>
            <w:tcW w:w="10080" w:type="dxa"/>
            <w:vAlign w:val="bottom"/>
          </w:tcPr>
          <w:p>
            <w:pPr>
              <w:ind w:left="360"/>
              <w:spacing w:after="0" w:line="153" w:lineRule="exact"/>
              <w:rPr>
                <w:rFonts w:ascii="Arial" w:cs="Arial" w:eastAsia="Arial" w:hAnsi="Arial"/>
                <w:sz w:val="14"/>
                <w:szCs w:val="14"/>
                <w:color w:val="auto"/>
              </w:rPr>
            </w:pPr>
            <w:hyperlink r:id="rId333">
              <w:r>
                <w:rPr>
                  <w:rFonts w:ascii="Arial" w:cs="Arial" w:eastAsia="Arial" w:hAnsi="Arial"/>
                  <w:sz w:val="14"/>
                  <w:szCs w:val="14"/>
                  <w:color w:val="auto"/>
                </w:rPr>
                <w:t>Amended and Restated Fifth Amendment, dated June 14, 2024, to Indemnification and Reimbursement Agreement dated October 14, 2018 among</w:t>
              </w:r>
            </w:hyperlink>
          </w:p>
        </w:tc>
      </w:tr>
      <w:tr>
        <w:trPr>
          <w:trHeight w:val="144"/>
        </w:trPr>
        <w:tc>
          <w:tcPr>
            <w:tcW w:w="1160" w:type="dxa"/>
            <w:vAlign w:val="bottom"/>
          </w:tcPr>
          <w:p>
            <w:pPr>
              <w:spacing w:after="0"/>
              <w:rPr>
                <w:sz w:val="12"/>
                <w:szCs w:val="12"/>
                <w:color w:val="auto"/>
              </w:rPr>
            </w:pPr>
          </w:p>
        </w:tc>
        <w:tc>
          <w:tcPr>
            <w:tcW w:w="10080" w:type="dxa"/>
            <w:vAlign w:val="bottom"/>
          </w:tcPr>
          <w:p>
            <w:pPr>
              <w:ind w:left="360"/>
              <w:spacing w:after="0" w:line="145" w:lineRule="exact"/>
              <w:rPr>
                <w:rFonts w:ascii="Arial" w:cs="Arial" w:eastAsia="Arial" w:hAnsi="Arial"/>
                <w:sz w:val="14"/>
                <w:szCs w:val="14"/>
                <w:color w:val="auto"/>
              </w:rPr>
            </w:pPr>
            <w:hyperlink r:id="rId333">
              <w:r>
                <w:rPr>
                  <w:rFonts w:ascii="Arial" w:cs="Arial" w:eastAsia="Arial" w:hAnsi="Arial"/>
                  <w:sz w:val="14"/>
                  <w:szCs w:val="14"/>
                  <w:color w:val="auto"/>
                </w:rPr>
                <w:t>Honeywell and Resideo Intermediate Holding Inc. (incorporated by reference to Exhibit 10.2 to Honeywell's Form 10-Q for the quarter ended June 30,</w:t>
              </w:r>
            </w:hyperlink>
          </w:p>
        </w:tc>
      </w:tr>
      <w:tr>
        <w:trPr>
          <w:trHeight w:val="189"/>
        </w:trPr>
        <w:tc>
          <w:tcPr>
            <w:tcW w:w="1160" w:type="dxa"/>
            <w:vAlign w:val="bottom"/>
            <w:tcBorders>
              <w:bottom w:val="single" w:sz="8" w:color="61656A"/>
            </w:tcBorders>
          </w:tcPr>
          <w:p>
            <w:pPr>
              <w:spacing w:after="0"/>
              <w:rPr>
                <w:sz w:val="16"/>
                <w:szCs w:val="16"/>
                <w:color w:val="auto"/>
              </w:rPr>
            </w:pPr>
          </w:p>
        </w:tc>
        <w:tc>
          <w:tcPr>
            <w:tcW w:w="10080" w:type="dxa"/>
            <w:vAlign w:val="bottom"/>
            <w:tcBorders>
              <w:bottom w:val="single" w:sz="8" w:color="61656A"/>
            </w:tcBorders>
          </w:tcPr>
          <w:p>
            <w:pPr>
              <w:ind w:left="360"/>
              <w:spacing w:after="0"/>
              <w:rPr>
                <w:rFonts w:ascii="Arial" w:cs="Arial" w:eastAsia="Arial" w:hAnsi="Arial"/>
                <w:sz w:val="14"/>
                <w:szCs w:val="14"/>
                <w:color w:val="auto"/>
              </w:rPr>
            </w:pPr>
            <w:hyperlink r:id="rId333">
              <w:r>
                <w:rPr>
                  <w:rFonts w:ascii="Arial" w:cs="Arial" w:eastAsia="Arial" w:hAnsi="Arial"/>
                  <w:sz w:val="14"/>
                  <w:szCs w:val="14"/>
                  <w:color w:val="auto"/>
                </w:rPr>
                <w:t>2024)</w:t>
              </w:r>
            </w:hyperlink>
          </w:p>
        </w:tc>
      </w:tr>
      <w:tr>
        <w:trPr>
          <w:trHeight w:val="146"/>
        </w:trPr>
        <w:tc>
          <w:tcPr>
            <w:tcW w:w="1160" w:type="dxa"/>
            <w:vAlign w:val="bottom"/>
          </w:tcPr>
          <w:p>
            <w:pPr>
              <w:ind w:left="20"/>
              <w:spacing w:after="0" w:line="147" w:lineRule="exact"/>
              <w:rPr>
                <w:sz w:val="20"/>
                <w:szCs w:val="20"/>
                <w:color w:val="auto"/>
              </w:rPr>
            </w:pPr>
            <w:r>
              <w:rPr>
                <w:rFonts w:ascii="Arial" w:cs="Arial" w:eastAsia="Arial" w:hAnsi="Arial"/>
                <w:sz w:val="14"/>
                <w:szCs w:val="14"/>
                <w:color w:val="auto"/>
              </w:rPr>
              <w:t>10.78</w:t>
            </w:r>
          </w:p>
        </w:tc>
        <w:tc>
          <w:tcPr>
            <w:tcW w:w="10080" w:type="dxa"/>
            <w:vAlign w:val="bottom"/>
          </w:tcPr>
          <w:p>
            <w:pPr>
              <w:ind w:left="360"/>
              <w:spacing w:after="0" w:line="147" w:lineRule="exact"/>
              <w:rPr>
                <w:rFonts w:ascii="Arial" w:cs="Arial" w:eastAsia="Arial" w:hAnsi="Arial"/>
                <w:sz w:val="14"/>
                <w:szCs w:val="14"/>
                <w:color w:val="auto"/>
              </w:rPr>
            </w:pPr>
            <w:hyperlink r:id="rId334">
              <w:r>
                <w:rPr>
                  <w:rFonts w:ascii="Arial" w:cs="Arial" w:eastAsia="Arial" w:hAnsi="Arial"/>
                  <w:sz w:val="14"/>
                  <w:szCs w:val="14"/>
                  <w:color w:val="auto"/>
                </w:rPr>
                <w:t>Amended and Restated Buyout Agreement, dated November 20, 2022, between Honeywell International Inc., the North American Refractories Asbestos</w:t>
              </w:r>
            </w:hyperlink>
          </w:p>
        </w:tc>
      </w:tr>
      <w:tr>
        <w:trPr>
          <w:trHeight w:val="144"/>
        </w:trPr>
        <w:tc>
          <w:tcPr>
            <w:tcW w:w="1160" w:type="dxa"/>
            <w:vAlign w:val="bottom"/>
          </w:tcPr>
          <w:p>
            <w:pPr>
              <w:spacing w:after="0"/>
              <w:rPr>
                <w:sz w:val="12"/>
                <w:szCs w:val="12"/>
                <w:color w:val="auto"/>
              </w:rPr>
            </w:pPr>
          </w:p>
        </w:tc>
        <w:tc>
          <w:tcPr>
            <w:tcW w:w="10080" w:type="dxa"/>
            <w:vAlign w:val="bottom"/>
          </w:tcPr>
          <w:p>
            <w:pPr>
              <w:ind w:left="360"/>
              <w:spacing w:after="0" w:line="145" w:lineRule="exact"/>
              <w:rPr>
                <w:rFonts w:ascii="Arial" w:cs="Arial" w:eastAsia="Arial" w:hAnsi="Arial"/>
                <w:sz w:val="14"/>
                <w:szCs w:val="14"/>
                <w:color w:val="auto"/>
              </w:rPr>
            </w:pPr>
            <w:hyperlink r:id="rId334">
              <w:r>
                <w:rPr>
                  <w:rFonts w:ascii="Arial" w:cs="Arial" w:eastAsia="Arial" w:hAnsi="Arial"/>
                  <w:sz w:val="14"/>
                  <w:szCs w:val="14"/>
                  <w:color w:val="auto"/>
                </w:rPr>
                <w:t>Personal Injury Settlement Trust, the NARCO Trust Advisory Committee, and Lawrence Fitzpatrick, in his capacity as the NARCO Asbestos Future</w:t>
              </w:r>
            </w:hyperlink>
          </w:p>
        </w:tc>
      </w:tr>
      <w:tr>
        <w:trPr>
          <w:trHeight w:val="189"/>
        </w:trPr>
        <w:tc>
          <w:tcPr>
            <w:tcW w:w="1160" w:type="dxa"/>
            <w:vAlign w:val="bottom"/>
            <w:tcBorders>
              <w:bottom w:val="single" w:sz="8" w:color="61656A"/>
            </w:tcBorders>
          </w:tcPr>
          <w:p>
            <w:pPr>
              <w:spacing w:after="0"/>
              <w:rPr>
                <w:sz w:val="16"/>
                <w:szCs w:val="16"/>
                <w:color w:val="auto"/>
              </w:rPr>
            </w:pPr>
          </w:p>
        </w:tc>
        <w:tc>
          <w:tcPr>
            <w:tcW w:w="10080" w:type="dxa"/>
            <w:vAlign w:val="bottom"/>
            <w:tcBorders>
              <w:bottom w:val="single" w:sz="8" w:color="61656A"/>
            </w:tcBorders>
          </w:tcPr>
          <w:p>
            <w:pPr>
              <w:ind w:left="360"/>
              <w:spacing w:after="0"/>
              <w:rPr>
                <w:rFonts w:ascii="Arial" w:cs="Arial" w:eastAsia="Arial" w:hAnsi="Arial"/>
                <w:sz w:val="14"/>
                <w:szCs w:val="14"/>
                <w:color w:val="auto"/>
              </w:rPr>
            </w:pPr>
            <w:hyperlink r:id="rId334">
              <w:r>
                <w:rPr>
                  <w:rFonts w:ascii="Arial" w:cs="Arial" w:eastAsia="Arial" w:hAnsi="Arial"/>
                  <w:sz w:val="14"/>
                  <w:szCs w:val="14"/>
                  <w:color w:val="auto"/>
                </w:rPr>
                <w:t>Claimants Representative (incorporated by reference to Exhibit 10.1 to Honeywell’s Form 8-K filed November 21, 2022)</w:t>
              </w:r>
            </w:hyperlink>
          </w:p>
        </w:tc>
      </w:tr>
      <w:tr>
        <w:trPr>
          <w:trHeight w:val="192"/>
        </w:trPr>
        <w:tc>
          <w:tcPr>
            <w:tcW w:w="116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19</w:t>
            </w:r>
          </w:p>
        </w:tc>
        <w:tc>
          <w:tcPr>
            <w:tcW w:w="10080" w:type="dxa"/>
            <w:vAlign w:val="bottom"/>
            <w:tcBorders>
              <w:bottom w:val="single" w:sz="8" w:color="61656A"/>
            </w:tcBorders>
          </w:tcPr>
          <w:p>
            <w:pPr>
              <w:ind w:left="360"/>
              <w:spacing w:after="0"/>
              <w:rPr>
                <w:sz w:val="20"/>
                <w:szCs w:val="20"/>
                <w:color w:val="auto"/>
              </w:rPr>
            </w:pPr>
            <w:r>
              <w:rPr>
                <w:rFonts w:ascii="Arial" w:cs="Arial" w:eastAsia="Arial" w:hAnsi="Arial"/>
                <w:sz w:val="14"/>
                <w:szCs w:val="14"/>
                <w:color w:val="auto"/>
              </w:rPr>
              <w:t>Honeywell International Inc. Insider Trading Policy (filed herewith)</w:t>
            </w:r>
          </w:p>
        </w:tc>
      </w:tr>
      <w:tr>
        <w:trPr>
          <w:trHeight w:val="196"/>
        </w:trPr>
        <w:tc>
          <w:tcPr>
            <w:tcW w:w="116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21</w:t>
            </w:r>
          </w:p>
        </w:tc>
        <w:tc>
          <w:tcPr>
            <w:tcW w:w="10080" w:type="dxa"/>
            <w:vAlign w:val="bottom"/>
            <w:tcBorders>
              <w:bottom w:val="single" w:sz="8" w:color="61656A"/>
            </w:tcBorders>
          </w:tcPr>
          <w:p>
            <w:pPr>
              <w:ind w:left="360"/>
              <w:spacing w:after="0"/>
              <w:rPr>
                <w:sz w:val="20"/>
                <w:szCs w:val="20"/>
                <w:color w:val="auto"/>
              </w:rPr>
            </w:pPr>
            <w:r>
              <w:rPr>
                <w:rFonts w:ascii="Arial" w:cs="Arial" w:eastAsia="Arial" w:hAnsi="Arial"/>
                <w:sz w:val="14"/>
                <w:szCs w:val="14"/>
                <w:color w:val="auto"/>
              </w:rPr>
              <w:t>Subsidiaries of the Registrant (filed herewith)</w:t>
            </w:r>
          </w:p>
        </w:tc>
      </w:tr>
      <w:tr>
        <w:trPr>
          <w:trHeight w:val="196"/>
        </w:trPr>
        <w:tc>
          <w:tcPr>
            <w:tcW w:w="116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23.1</w:t>
            </w:r>
          </w:p>
        </w:tc>
        <w:tc>
          <w:tcPr>
            <w:tcW w:w="10080" w:type="dxa"/>
            <w:vAlign w:val="bottom"/>
            <w:tcBorders>
              <w:bottom w:val="single" w:sz="8" w:color="61656A"/>
            </w:tcBorders>
          </w:tcPr>
          <w:p>
            <w:pPr>
              <w:ind w:left="360"/>
              <w:spacing w:after="0"/>
              <w:rPr>
                <w:sz w:val="20"/>
                <w:szCs w:val="20"/>
                <w:color w:val="auto"/>
              </w:rPr>
            </w:pPr>
            <w:r>
              <w:rPr>
                <w:rFonts w:ascii="Arial" w:cs="Arial" w:eastAsia="Arial" w:hAnsi="Arial"/>
                <w:sz w:val="14"/>
                <w:szCs w:val="14"/>
                <w:color w:val="auto"/>
              </w:rPr>
              <w:t>Consent of Deloitte &amp; Touche LLP (filed herewith)</w:t>
            </w:r>
          </w:p>
        </w:tc>
      </w:tr>
      <w:tr>
        <w:trPr>
          <w:trHeight w:val="196"/>
        </w:trPr>
        <w:tc>
          <w:tcPr>
            <w:tcW w:w="116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24</w:t>
            </w:r>
          </w:p>
        </w:tc>
        <w:tc>
          <w:tcPr>
            <w:tcW w:w="10080" w:type="dxa"/>
            <w:vAlign w:val="bottom"/>
            <w:tcBorders>
              <w:bottom w:val="single" w:sz="8" w:color="61656A"/>
            </w:tcBorders>
          </w:tcPr>
          <w:p>
            <w:pPr>
              <w:ind w:left="360"/>
              <w:spacing w:after="0"/>
              <w:rPr>
                <w:sz w:val="20"/>
                <w:szCs w:val="20"/>
                <w:color w:val="auto"/>
              </w:rPr>
            </w:pPr>
            <w:r>
              <w:rPr>
                <w:rFonts w:ascii="Arial" w:cs="Arial" w:eastAsia="Arial" w:hAnsi="Arial"/>
                <w:sz w:val="14"/>
                <w:szCs w:val="14"/>
                <w:color w:val="auto"/>
              </w:rPr>
              <w:t>Powers of Attorney (filed herewith)</w:t>
            </w:r>
          </w:p>
        </w:tc>
      </w:tr>
      <w:tr>
        <w:trPr>
          <w:trHeight w:val="196"/>
        </w:trPr>
        <w:tc>
          <w:tcPr>
            <w:tcW w:w="116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31.1</w:t>
            </w:r>
          </w:p>
        </w:tc>
        <w:tc>
          <w:tcPr>
            <w:tcW w:w="10080" w:type="dxa"/>
            <w:vAlign w:val="bottom"/>
            <w:tcBorders>
              <w:bottom w:val="single" w:sz="8" w:color="61656A"/>
            </w:tcBorders>
          </w:tcPr>
          <w:p>
            <w:pPr>
              <w:ind w:left="360"/>
              <w:spacing w:after="0"/>
              <w:rPr>
                <w:sz w:val="20"/>
                <w:szCs w:val="20"/>
                <w:color w:val="auto"/>
              </w:rPr>
            </w:pPr>
            <w:r>
              <w:rPr>
                <w:rFonts w:ascii="Arial" w:cs="Arial" w:eastAsia="Arial" w:hAnsi="Arial"/>
                <w:sz w:val="14"/>
                <w:szCs w:val="14"/>
                <w:color w:val="auto"/>
              </w:rPr>
              <w:t>Certification of Principal Executive Officer Pursuant to Section 302 of the Sarbanes-Oxley Act of 2002 (filed herewith)</w:t>
            </w:r>
          </w:p>
        </w:tc>
      </w:tr>
      <w:tr>
        <w:trPr>
          <w:trHeight w:val="196"/>
        </w:trPr>
        <w:tc>
          <w:tcPr>
            <w:tcW w:w="116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31.2</w:t>
            </w:r>
          </w:p>
        </w:tc>
        <w:tc>
          <w:tcPr>
            <w:tcW w:w="10080" w:type="dxa"/>
            <w:vAlign w:val="bottom"/>
            <w:tcBorders>
              <w:bottom w:val="single" w:sz="8" w:color="61656A"/>
            </w:tcBorders>
          </w:tcPr>
          <w:p>
            <w:pPr>
              <w:ind w:left="360"/>
              <w:spacing w:after="0"/>
              <w:rPr>
                <w:sz w:val="20"/>
                <w:szCs w:val="20"/>
                <w:color w:val="auto"/>
              </w:rPr>
            </w:pPr>
            <w:r>
              <w:rPr>
                <w:rFonts w:ascii="Arial" w:cs="Arial" w:eastAsia="Arial" w:hAnsi="Arial"/>
                <w:sz w:val="14"/>
                <w:szCs w:val="14"/>
                <w:color w:val="auto"/>
              </w:rPr>
              <w:t>Certification of Principal Financial Officer Pursuant to Section 302 of the Sarbanes-Oxley Act of 2002 (filed herewith)</w:t>
            </w:r>
          </w:p>
        </w:tc>
      </w:tr>
      <w:tr>
        <w:trPr>
          <w:trHeight w:val="150"/>
        </w:trPr>
        <w:tc>
          <w:tcPr>
            <w:tcW w:w="1160" w:type="dxa"/>
            <w:vAlign w:val="bottom"/>
          </w:tcPr>
          <w:p>
            <w:pPr>
              <w:ind w:left="20"/>
              <w:spacing w:after="0" w:line="151" w:lineRule="exact"/>
              <w:rPr>
                <w:sz w:val="20"/>
                <w:szCs w:val="20"/>
                <w:color w:val="auto"/>
              </w:rPr>
            </w:pPr>
            <w:r>
              <w:rPr>
                <w:rFonts w:ascii="Arial" w:cs="Arial" w:eastAsia="Arial" w:hAnsi="Arial"/>
                <w:sz w:val="14"/>
                <w:szCs w:val="14"/>
                <w:color w:val="auto"/>
              </w:rPr>
              <w:t>32.1</w:t>
            </w:r>
          </w:p>
        </w:tc>
        <w:tc>
          <w:tcPr>
            <w:tcW w:w="10080" w:type="dxa"/>
            <w:vAlign w:val="bottom"/>
          </w:tcPr>
          <w:p>
            <w:pPr>
              <w:ind w:left="360"/>
              <w:spacing w:after="0" w:line="151" w:lineRule="exact"/>
              <w:rPr>
                <w:sz w:val="20"/>
                <w:szCs w:val="20"/>
                <w:color w:val="auto"/>
              </w:rPr>
            </w:pPr>
            <w:r>
              <w:rPr>
                <w:rFonts w:ascii="Arial" w:cs="Arial" w:eastAsia="Arial" w:hAnsi="Arial"/>
                <w:sz w:val="14"/>
                <w:szCs w:val="14"/>
                <w:color w:val="auto"/>
              </w:rPr>
              <w:t>Certification of Principal Executive Officer Pursuant to 18 U.S.C. Section 1350, as Adopted Pursuant to Section 906 of the Sarbanes-Oxley Act of 2002</w:t>
            </w:r>
          </w:p>
        </w:tc>
      </w:tr>
      <w:tr>
        <w:trPr>
          <w:trHeight w:val="185"/>
        </w:trPr>
        <w:tc>
          <w:tcPr>
            <w:tcW w:w="1160" w:type="dxa"/>
            <w:vAlign w:val="bottom"/>
            <w:tcBorders>
              <w:bottom w:val="single" w:sz="8" w:color="61656A"/>
            </w:tcBorders>
          </w:tcPr>
          <w:p>
            <w:pPr>
              <w:spacing w:after="0"/>
              <w:rPr>
                <w:sz w:val="16"/>
                <w:szCs w:val="16"/>
                <w:color w:val="auto"/>
              </w:rPr>
            </w:pPr>
          </w:p>
        </w:tc>
        <w:tc>
          <w:tcPr>
            <w:tcW w:w="10080" w:type="dxa"/>
            <w:vAlign w:val="bottom"/>
            <w:tcBorders>
              <w:bottom w:val="single" w:sz="8" w:color="61656A"/>
            </w:tcBorders>
          </w:tcPr>
          <w:p>
            <w:pPr>
              <w:ind w:left="360"/>
              <w:spacing w:after="0"/>
              <w:rPr>
                <w:sz w:val="20"/>
                <w:szCs w:val="20"/>
                <w:color w:val="auto"/>
              </w:rPr>
            </w:pPr>
            <w:r>
              <w:rPr>
                <w:rFonts w:ascii="Arial" w:cs="Arial" w:eastAsia="Arial" w:hAnsi="Arial"/>
                <w:sz w:val="14"/>
                <w:szCs w:val="14"/>
                <w:color w:val="auto"/>
              </w:rPr>
              <w:t>(furnished herewith)</w:t>
            </w:r>
          </w:p>
        </w:tc>
      </w:tr>
      <w:tr>
        <w:trPr>
          <w:trHeight w:val="146"/>
        </w:trPr>
        <w:tc>
          <w:tcPr>
            <w:tcW w:w="1160" w:type="dxa"/>
            <w:vAlign w:val="bottom"/>
          </w:tcPr>
          <w:p>
            <w:pPr>
              <w:ind w:left="20"/>
              <w:spacing w:after="0" w:line="147" w:lineRule="exact"/>
              <w:rPr>
                <w:sz w:val="20"/>
                <w:szCs w:val="20"/>
                <w:color w:val="auto"/>
              </w:rPr>
            </w:pPr>
            <w:r>
              <w:rPr>
                <w:rFonts w:ascii="Arial" w:cs="Arial" w:eastAsia="Arial" w:hAnsi="Arial"/>
                <w:sz w:val="14"/>
                <w:szCs w:val="14"/>
                <w:color w:val="auto"/>
              </w:rPr>
              <w:t>32.2</w:t>
            </w:r>
          </w:p>
        </w:tc>
        <w:tc>
          <w:tcPr>
            <w:tcW w:w="10080" w:type="dxa"/>
            <w:vAlign w:val="bottom"/>
          </w:tcPr>
          <w:p>
            <w:pPr>
              <w:ind w:left="360"/>
              <w:spacing w:after="0" w:line="147" w:lineRule="exact"/>
              <w:rPr>
                <w:sz w:val="20"/>
                <w:szCs w:val="20"/>
                <w:color w:val="auto"/>
              </w:rPr>
            </w:pPr>
            <w:r>
              <w:rPr>
                <w:rFonts w:ascii="Arial" w:cs="Arial" w:eastAsia="Arial" w:hAnsi="Arial"/>
                <w:sz w:val="14"/>
                <w:szCs w:val="14"/>
                <w:color w:val="auto"/>
              </w:rPr>
              <w:t>Certification of Principal Financial Officer Pursuant to 18 U.S.C. Section 1350, as Adopted Pursuant to Section 906 of the Sarbanes-Oxley Act of 2002</w:t>
            </w:r>
          </w:p>
        </w:tc>
      </w:tr>
      <w:tr>
        <w:trPr>
          <w:trHeight w:val="185"/>
        </w:trPr>
        <w:tc>
          <w:tcPr>
            <w:tcW w:w="1160" w:type="dxa"/>
            <w:vAlign w:val="bottom"/>
            <w:tcBorders>
              <w:bottom w:val="single" w:sz="8" w:color="61656A"/>
            </w:tcBorders>
          </w:tcPr>
          <w:p>
            <w:pPr>
              <w:spacing w:after="0"/>
              <w:rPr>
                <w:sz w:val="16"/>
                <w:szCs w:val="16"/>
                <w:color w:val="auto"/>
              </w:rPr>
            </w:pPr>
          </w:p>
        </w:tc>
        <w:tc>
          <w:tcPr>
            <w:tcW w:w="10080" w:type="dxa"/>
            <w:vAlign w:val="bottom"/>
            <w:tcBorders>
              <w:bottom w:val="single" w:sz="8" w:color="61656A"/>
            </w:tcBorders>
          </w:tcPr>
          <w:p>
            <w:pPr>
              <w:ind w:left="360"/>
              <w:spacing w:after="0"/>
              <w:rPr>
                <w:sz w:val="20"/>
                <w:szCs w:val="20"/>
                <w:color w:val="auto"/>
              </w:rPr>
            </w:pPr>
            <w:r>
              <w:rPr>
                <w:rFonts w:ascii="Arial" w:cs="Arial" w:eastAsia="Arial" w:hAnsi="Arial"/>
                <w:sz w:val="14"/>
                <w:szCs w:val="14"/>
                <w:color w:val="auto"/>
              </w:rPr>
              <w:t>(furnished herewith)</w:t>
            </w:r>
          </w:p>
        </w:tc>
      </w:tr>
      <w:tr>
        <w:trPr>
          <w:trHeight w:val="188"/>
        </w:trPr>
        <w:tc>
          <w:tcPr>
            <w:tcW w:w="1160" w:type="dxa"/>
            <w:vAlign w:val="bottom"/>
          </w:tcPr>
          <w:p>
            <w:pPr>
              <w:ind w:left="20"/>
              <w:spacing w:after="0"/>
              <w:rPr>
                <w:sz w:val="20"/>
                <w:szCs w:val="20"/>
                <w:color w:val="auto"/>
              </w:rPr>
            </w:pPr>
            <w:r>
              <w:rPr>
                <w:rFonts w:ascii="Arial" w:cs="Arial" w:eastAsia="Arial" w:hAnsi="Arial"/>
                <w:sz w:val="14"/>
                <w:szCs w:val="14"/>
                <w:color w:val="auto"/>
              </w:rPr>
              <w:t>95</w:t>
            </w:r>
          </w:p>
        </w:tc>
        <w:tc>
          <w:tcPr>
            <w:tcW w:w="10080" w:type="dxa"/>
            <w:vAlign w:val="bottom"/>
          </w:tcPr>
          <w:p>
            <w:pPr>
              <w:ind w:left="360"/>
              <w:spacing w:after="0"/>
              <w:rPr>
                <w:sz w:val="20"/>
                <w:szCs w:val="20"/>
                <w:color w:val="auto"/>
              </w:rPr>
            </w:pPr>
            <w:r>
              <w:rPr>
                <w:rFonts w:ascii="Arial" w:cs="Arial" w:eastAsia="Arial" w:hAnsi="Arial"/>
                <w:sz w:val="14"/>
                <w:szCs w:val="14"/>
                <w:color w:val="auto"/>
              </w:rPr>
              <w:t>Mine Safety Disclosures (filed herewith)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 w:lineRule="exact"/>
        <w:rPr>
          <w:sz w:val="20"/>
          <w:szCs w:val="20"/>
          <w:color w:val="auto"/>
        </w:rPr>
      </w:pPr>
    </w:p>
    <w:p>
      <w:pPr>
        <w:ind w:left="1520" w:right="220" w:hanging="1494"/>
        <w:spacing w:after="0" w:line="261" w:lineRule="auto"/>
        <w:tabs>
          <w:tab w:leader="none" w:pos="1520" w:val="left"/>
        </w:tabs>
        <w:numPr>
          <w:ilvl w:val="0"/>
          <w:numId w:val="202"/>
        </w:numPr>
        <w:rPr>
          <w:rFonts w:ascii="Arial" w:cs="Arial" w:eastAsia="Arial" w:hAnsi="Arial"/>
          <w:sz w:val="14"/>
          <w:szCs w:val="14"/>
          <w:color w:val="auto"/>
        </w:rPr>
      </w:pPr>
      <w:hyperlink r:id="rId336">
        <w:r>
          <w:rPr>
            <w:rFonts w:ascii="Arial" w:cs="Arial" w:eastAsia="Arial" w:hAnsi="Arial"/>
            <w:sz w:val="14"/>
            <w:szCs w:val="14"/>
            <w:color w:val="auto"/>
          </w:rPr>
          <w:t>Honeywell International Inc. Clawback Policy dated December 1, 2023 (incorporated by reference to Exhibit 97 to Honeywell's Form 10-K for the year</w:t>
        </w:r>
      </w:hyperlink>
      <w:r>
        <w:rPr>
          <w:rFonts w:ascii="Arial" w:cs="Arial" w:eastAsia="Arial" w:hAnsi="Arial"/>
          <w:sz w:val="14"/>
          <w:szCs w:val="14"/>
          <w:color w:val="auto"/>
        </w:rPr>
        <w:t xml:space="preserve"> </w:t>
      </w:r>
      <w:hyperlink r:id="rId336">
        <w:r>
          <w:rPr>
            <w:rFonts w:ascii="Arial" w:cs="Arial" w:eastAsia="Arial" w:hAnsi="Arial"/>
            <w:sz w:val="14"/>
            <w:szCs w:val="14"/>
            <w:color w:val="auto"/>
          </w:rPr>
          <w:t>ended December 31, 2023)</w:t>
        </w:r>
      </w:hyperlink>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3232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20"/>
        <w:spacing w:after="0"/>
        <w:tabs>
          <w:tab w:leader="none" w:pos="1500" w:val="left"/>
        </w:tabs>
        <w:rPr>
          <w:sz w:val="20"/>
          <w:szCs w:val="20"/>
          <w:color w:val="auto"/>
        </w:rPr>
      </w:pPr>
      <w:r>
        <w:rPr>
          <w:rFonts w:ascii="Arial" w:cs="Arial" w:eastAsia="Arial" w:hAnsi="Arial"/>
          <w:sz w:val="14"/>
          <w:szCs w:val="14"/>
          <w:color w:val="auto"/>
        </w:rPr>
        <w:t>101.INS</w:t>
      </w:r>
      <w:r>
        <w:rPr>
          <w:sz w:val="20"/>
          <w:szCs w:val="20"/>
          <w:color w:val="auto"/>
        </w:rPr>
        <w:tab/>
      </w:r>
      <w:r>
        <w:rPr>
          <w:rFonts w:ascii="Arial" w:cs="Arial" w:eastAsia="Arial" w:hAnsi="Arial"/>
          <w:sz w:val="14"/>
          <w:szCs w:val="14"/>
          <w:color w:val="auto"/>
        </w:rPr>
        <w:t>The following financial statements from the Company's Annual Report on Form 10-K for the year ended December 31, 2024, formatted in Inline XBRL:</w:t>
      </w:r>
    </w:p>
    <w:p>
      <w:pPr>
        <w:spacing w:after="0" w:line="2" w:lineRule="exact"/>
        <w:rPr>
          <w:rFonts w:ascii="Arial" w:cs="Arial" w:eastAsia="Arial" w:hAnsi="Arial"/>
          <w:sz w:val="14"/>
          <w:szCs w:val="14"/>
          <w:color w:val="auto"/>
        </w:rPr>
      </w:pPr>
    </w:p>
    <w:p>
      <w:pPr>
        <w:jc w:val="both"/>
        <w:ind w:left="1520" w:right="100" w:firstLine="4"/>
        <w:spacing w:after="0" w:line="228" w:lineRule="auto"/>
        <w:tabs>
          <w:tab w:leader="none" w:pos="1688" w:val="left"/>
        </w:tabs>
        <w:numPr>
          <w:ilvl w:val="0"/>
          <w:numId w:val="203"/>
        </w:numPr>
        <w:rPr>
          <w:rFonts w:ascii="Arial" w:cs="Arial" w:eastAsia="Arial" w:hAnsi="Arial"/>
          <w:sz w:val="14"/>
          <w:szCs w:val="14"/>
          <w:color w:val="auto"/>
        </w:rPr>
      </w:pPr>
      <w:r>
        <w:rPr>
          <w:rFonts w:ascii="Arial" w:cs="Arial" w:eastAsia="Arial" w:hAnsi="Arial"/>
          <w:sz w:val="14"/>
          <w:szCs w:val="14"/>
          <w:color w:val="auto"/>
        </w:rPr>
        <w:t>Consolidated Statements of Operations, (ii) Consolidated Statements of Comprehensive Income, (iii) Consolidated Balance Sheet, (iv) Consolidated Statements of Cash Flows, (v) Consolidated Statements of Shareowners' Equity and (vi) Notes to Consolidated Financial Statements, tagged as blocks of text and including detailed tags (filed herewith)</w:t>
      </w:r>
    </w:p>
    <w:p>
      <w:pPr>
        <w:spacing w:after="0" w:line="1" w:lineRule="exact"/>
        <w:rPr>
          <w:rFonts w:ascii="Arial" w:cs="Arial" w:eastAsia="Arial" w:hAnsi="Arial"/>
          <w:sz w:val="14"/>
          <w:szCs w:val="14"/>
          <w:color w:val="auto"/>
        </w:rPr>
      </w:pPr>
    </w:p>
    <w:tbl>
      <w:tblPr>
        <w:tblLayout w:type="fixed"/>
        <w:tblInd w:w="0" w:type="dxa"/>
        <w:tblCellMar>
          <w:top w:w="0" w:type="dxa"/>
          <w:left w:w="0" w:type="dxa"/>
          <w:bottom w:w="0" w:type="dxa"/>
          <w:right w:w="0" w:type="dxa"/>
        </w:tblCellMar>
      </w:tblPr>
      <w:tr>
        <w:trPr>
          <w:trHeight w:val="200"/>
        </w:trPr>
        <w:tc>
          <w:tcPr>
            <w:tcW w:w="1060" w:type="dxa"/>
            <w:vAlign w:val="bottom"/>
            <w:tcBorders>
              <w:top w:val="single" w:sz="8" w:color="61656A"/>
              <w:bottom w:val="single" w:sz="8" w:color="61656A"/>
            </w:tcBorders>
          </w:tcPr>
          <w:p>
            <w:pPr>
              <w:ind w:left="20"/>
              <w:spacing w:after="0"/>
              <w:rPr>
                <w:sz w:val="20"/>
                <w:szCs w:val="20"/>
                <w:color w:val="auto"/>
              </w:rPr>
            </w:pPr>
            <w:r>
              <w:rPr>
                <w:rFonts w:ascii="Arial" w:cs="Arial" w:eastAsia="Arial" w:hAnsi="Arial"/>
                <w:sz w:val="14"/>
                <w:szCs w:val="14"/>
                <w:color w:val="auto"/>
              </w:rPr>
              <w:t>101.SCH</w:t>
            </w:r>
          </w:p>
        </w:tc>
        <w:tc>
          <w:tcPr>
            <w:tcW w:w="10180" w:type="dxa"/>
            <w:vAlign w:val="bottom"/>
            <w:tcBorders>
              <w:top w:val="single" w:sz="8" w:color="61656A"/>
              <w:bottom w:val="single" w:sz="8" w:color="61656A"/>
            </w:tcBorders>
          </w:tcPr>
          <w:p>
            <w:pPr>
              <w:ind w:left="460"/>
              <w:spacing w:after="0"/>
              <w:rPr>
                <w:sz w:val="20"/>
                <w:szCs w:val="20"/>
                <w:color w:val="auto"/>
              </w:rPr>
            </w:pPr>
            <w:r>
              <w:rPr>
                <w:rFonts w:ascii="Arial" w:cs="Arial" w:eastAsia="Arial" w:hAnsi="Arial"/>
                <w:sz w:val="14"/>
                <w:szCs w:val="14"/>
                <w:color w:val="auto"/>
              </w:rPr>
              <w:t>iXBRL Taxonomy Extension Schema (filed herewith)</w:t>
            </w:r>
          </w:p>
        </w:tc>
      </w:tr>
      <w:tr>
        <w:trPr>
          <w:trHeight w:val="196"/>
        </w:trPr>
        <w:tc>
          <w:tcPr>
            <w:tcW w:w="106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101.CAL</w:t>
            </w:r>
          </w:p>
        </w:tc>
        <w:tc>
          <w:tcPr>
            <w:tcW w:w="10180" w:type="dxa"/>
            <w:vAlign w:val="bottom"/>
            <w:tcBorders>
              <w:bottom w:val="single" w:sz="8" w:color="61656A"/>
            </w:tcBorders>
          </w:tcPr>
          <w:p>
            <w:pPr>
              <w:ind w:left="460"/>
              <w:spacing w:after="0"/>
              <w:rPr>
                <w:sz w:val="20"/>
                <w:szCs w:val="20"/>
                <w:color w:val="auto"/>
              </w:rPr>
            </w:pPr>
            <w:r>
              <w:rPr>
                <w:rFonts w:ascii="Arial" w:cs="Arial" w:eastAsia="Arial" w:hAnsi="Arial"/>
                <w:sz w:val="14"/>
                <w:szCs w:val="14"/>
                <w:color w:val="auto"/>
              </w:rPr>
              <w:t>iXBRL Taxonomy Extension Calculation Linkbase (filed herewith)</w:t>
            </w:r>
          </w:p>
        </w:tc>
      </w:tr>
      <w:tr>
        <w:trPr>
          <w:trHeight w:val="196"/>
        </w:trPr>
        <w:tc>
          <w:tcPr>
            <w:tcW w:w="106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101.DEF</w:t>
            </w:r>
          </w:p>
        </w:tc>
        <w:tc>
          <w:tcPr>
            <w:tcW w:w="10180" w:type="dxa"/>
            <w:vAlign w:val="bottom"/>
            <w:tcBorders>
              <w:bottom w:val="single" w:sz="8" w:color="61656A"/>
            </w:tcBorders>
          </w:tcPr>
          <w:p>
            <w:pPr>
              <w:ind w:left="460"/>
              <w:spacing w:after="0"/>
              <w:rPr>
                <w:sz w:val="20"/>
                <w:szCs w:val="20"/>
                <w:color w:val="auto"/>
              </w:rPr>
            </w:pPr>
            <w:r>
              <w:rPr>
                <w:rFonts w:ascii="Arial" w:cs="Arial" w:eastAsia="Arial" w:hAnsi="Arial"/>
                <w:sz w:val="14"/>
                <w:szCs w:val="14"/>
                <w:color w:val="auto"/>
              </w:rPr>
              <w:t>iXBRL Taxonomy Extension Definition Linkbase (filed herewith)</w:t>
            </w:r>
          </w:p>
        </w:tc>
      </w:tr>
      <w:tr>
        <w:trPr>
          <w:trHeight w:val="196"/>
        </w:trPr>
        <w:tc>
          <w:tcPr>
            <w:tcW w:w="106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101.LAB</w:t>
            </w:r>
          </w:p>
        </w:tc>
        <w:tc>
          <w:tcPr>
            <w:tcW w:w="10180" w:type="dxa"/>
            <w:vAlign w:val="bottom"/>
            <w:tcBorders>
              <w:bottom w:val="single" w:sz="8" w:color="61656A"/>
            </w:tcBorders>
          </w:tcPr>
          <w:p>
            <w:pPr>
              <w:ind w:left="460"/>
              <w:spacing w:after="0"/>
              <w:rPr>
                <w:sz w:val="20"/>
                <w:szCs w:val="20"/>
                <w:color w:val="auto"/>
              </w:rPr>
            </w:pPr>
            <w:r>
              <w:rPr>
                <w:rFonts w:ascii="Arial" w:cs="Arial" w:eastAsia="Arial" w:hAnsi="Arial"/>
                <w:sz w:val="14"/>
                <w:szCs w:val="14"/>
                <w:color w:val="auto"/>
              </w:rPr>
              <w:t>iXBRL Taxonomy Extension Label Linkbase (filed herewith)</w:t>
            </w:r>
          </w:p>
        </w:tc>
      </w:tr>
      <w:tr>
        <w:trPr>
          <w:trHeight w:val="192"/>
        </w:trPr>
        <w:tc>
          <w:tcPr>
            <w:tcW w:w="1060" w:type="dxa"/>
            <w:vAlign w:val="bottom"/>
          </w:tcPr>
          <w:p>
            <w:pPr>
              <w:ind w:left="20"/>
              <w:spacing w:after="0"/>
              <w:rPr>
                <w:sz w:val="20"/>
                <w:szCs w:val="20"/>
                <w:color w:val="auto"/>
              </w:rPr>
            </w:pPr>
            <w:r>
              <w:rPr>
                <w:rFonts w:ascii="Arial" w:cs="Arial" w:eastAsia="Arial" w:hAnsi="Arial"/>
                <w:sz w:val="14"/>
                <w:szCs w:val="14"/>
                <w:color w:val="auto"/>
              </w:rPr>
              <w:t>101.PRE</w:t>
            </w:r>
          </w:p>
        </w:tc>
        <w:tc>
          <w:tcPr>
            <w:tcW w:w="10180" w:type="dxa"/>
            <w:vAlign w:val="bottom"/>
          </w:tcPr>
          <w:p>
            <w:pPr>
              <w:ind w:left="460"/>
              <w:spacing w:after="0"/>
              <w:rPr>
                <w:sz w:val="20"/>
                <w:szCs w:val="20"/>
                <w:color w:val="auto"/>
              </w:rPr>
            </w:pPr>
            <w:r>
              <w:rPr>
                <w:rFonts w:ascii="Arial" w:cs="Arial" w:eastAsia="Arial" w:hAnsi="Arial"/>
                <w:sz w:val="14"/>
                <w:szCs w:val="14"/>
                <w:color w:val="auto"/>
              </w:rPr>
              <w:t>iXBRL Taxonomy Extension Presentation Linkbase (filed herewith)</w:t>
            </w:r>
          </w:p>
        </w:tc>
      </w:tr>
    </w:tbl>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6" w:lineRule="exact"/>
        <w:rPr>
          <w:rFonts w:ascii="Arial" w:cs="Arial" w:eastAsia="Arial" w:hAnsi="Arial"/>
          <w:sz w:val="14"/>
          <w:szCs w:val="14"/>
          <w:color w:val="auto"/>
        </w:rPr>
      </w:pPr>
    </w:p>
    <w:p>
      <w:pPr>
        <w:ind w:left="1520" w:right="480" w:hanging="1494"/>
        <w:spacing w:after="0" w:line="264" w:lineRule="auto"/>
        <w:tabs>
          <w:tab w:leader="none" w:pos="1520" w:val="left"/>
        </w:tabs>
        <w:numPr>
          <w:ilvl w:val="0"/>
          <w:numId w:val="204"/>
        </w:numPr>
        <w:rPr>
          <w:rFonts w:ascii="Arial" w:cs="Arial" w:eastAsia="Arial" w:hAnsi="Arial"/>
          <w:sz w:val="14"/>
          <w:szCs w:val="14"/>
          <w:color w:val="auto"/>
        </w:rPr>
      </w:pPr>
      <w:r>
        <w:rPr>
          <w:rFonts w:ascii="Arial" w:cs="Arial" w:eastAsia="Arial" w:hAnsi="Arial"/>
          <w:sz w:val="14"/>
          <w:szCs w:val="14"/>
          <w:color w:val="auto"/>
        </w:rPr>
        <w:t>Cover page from the Company’s Annual Report on Form 10-K for the year ended December 31, 2024, formatted in Inline XBRL (and contained in Exhibit 101) (filed herewith)</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3232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1" w:lineRule="exact"/>
        <w:rPr>
          <w:rFonts w:ascii="Arial" w:cs="Arial" w:eastAsia="Arial" w:hAnsi="Arial"/>
          <w:sz w:val="14"/>
          <w:szCs w:val="14"/>
          <w:color w:val="auto"/>
        </w:rPr>
      </w:pPr>
    </w:p>
    <w:p>
      <w:pPr>
        <w:spacing w:after="0"/>
        <w:rPr>
          <w:sz w:val="20"/>
          <w:szCs w:val="20"/>
          <w:color w:val="auto"/>
        </w:rPr>
      </w:pPr>
      <w:r>
        <w:rPr>
          <w:rFonts w:ascii="Arial" w:cs="Arial" w:eastAsia="Arial" w:hAnsi="Arial"/>
          <w:sz w:val="16"/>
          <w:szCs w:val="16"/>
          <w:color w:val="auto"/>
        </w:rPr>
        <w:t>The Exhibits identified above with an asterisk (*) are management contracts or compensatory plans or arrangements.</w:t>
      </w:r>
    </w:p>
    <w:p>
      <w:pPr>
        <w:spacing w:after="0" w:line="200" w:lineRule="exact"/>
        <w:rPr>
          <w:rFonts w:ascii="Arial" w:cs="Arial" w:eastAsia="Arial" w:hAnsi="Arial"/>
          <w:sz w:val="14"/>
          <w:szCs w:val="14"/>
          <w:color w:val="auto"/>
        </w:rPr>
      </w:pPr>
    </w:p>
    <w:p>
      <w:pPr>
        <w:spacing w:after="0" w:line="252" w:lineRule="exact"/>
        <w:rPr>
          <w:rFonts w:ascii="Arial" w:cs="Arial" w:eastAsia="Arial" w:hAnsi="Arial"/>
          <w:sz w:val="14"/>
          <w:szCs w:val="14"/>
          <w:color w:val="auto"/>
        </w:rPr>
      </w:pPr>
    </w:p>
    <w:p>
      <w:pPr>
        <w:ind w:left="500" w:hanging="492"/>
        <w:spacing w:after="0"/>
        <w:tabs>
          <w:tab w:leader="none" w:pos="500" w:val="left"/>
        </w:tabs>
        <w:numPr>
          <w:ilvl w:val="0"/>
          <w:numId w:val="205"/>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125" w:name="page126"/>
    <w:bookmarkEnd w:id="125"/>
    <w:p>
      <w:pPr>
        <w:ind w:left="20"/>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SIGNATURES</w:t>
      </w:r>
    </w:p>
    <w:p>
      <w:pPr>
        <w:spacing w:after="0" w:line="39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Pursuant to the requirements of Section 13 or 15(d) of the Securities Exchange Act of 1934, the Registrant has duly caused this report to be signed on its behalf by the undersigned thereunto duly authorized.</w:t>
      </w:r>
    </w:p>
    <w:p>
      <w:pPr>
        <w:spacing w:after="0" w:line="88"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HONEYWELL INTERNATIONAL INC.</w:t>
      </w:r>
    </w:p>
    <w:p>
      <w:pPr>
        <w:spacing w:after="0" w:line="248" w:lineRule="exact"/>
        <w:rPr>
          <w:sz w:val="20"/>
          <w:szCs w:val="20"/>
          <w:color w:val="auto"/>
        </w:rPr>
      </w:pPr>
    </w:p>
    <w:p>
      <w:pPr>
        <w:ind w:left="20"/>
        <w:spacing w:after="0"/>
        <w:tabs>
          <w:tab w:leader="none" w:pos="5720" w:val="left"/>
          <w:tab w:leader="none" w:pos="6520" w:val="left"/>
        </w:tabs>
        <w:rPr>
          <w:sz w:val="20"/>
          <w:szCs w:val="20"/>
          <w:color w:val="auto"/>
        </w:rPr>
      </w:pPr>
      <w:r>
        <w:rPr>
          <w:rFonts w:ascii="Arial" w:cs="Arial" w:eastAsia="Arial" w:hAnsi="Arial"/>
          <w:sz w:val="16"/>
          <w:szCs w:val="16"/>
          <w:color w:val="auto"/>
        </w:rPr>
        <w:t>Date: February 14, 2025</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Robert D. Mailloux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20955</wp:posOffset>
            </wp:positionV>
            <wp:extent cx="300037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41">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39" w:lineRule="exact"/>
        <w:rPr>
          <w:sz w:val="20"/>
          <w:szCs w:val="20"/>
          <w:color w:val="auto"/>
        </w:rPr>
      </w:pPr>
    </w:p>
    <w:p>
      <w:pPr>
        <w:ind w:left="6540"/>
        <w:spacing w:after="0"/>
        <w:rPr>
          <w:sz w:val="20"/>
          <w:szCs w:val="20"/>
          <w:color w:val="auto"/>
        </w:rPr>
      </w:pPr>
      <w:r>
        <w:rPr>
          <w:rFonts w:ascii="Arial" w:cs="Arial" w:eastAsia="Arial" w:hAnsi="Arial"/>
          <w:sz w:val="16"/>
          <w:szCs w:val="16"/>
          <w:color w:val="auto"/>
        </w:rPr>
        <w:t>Robert D. Mailloux</w:t>
      </w:r>
    </w:p>
    <w:p>
      <w:pPr>
        <w:spacing w:after="0" w:line="31" w:lineRule="exact"/>
        <w:rPr>
          <w:sz w:val="20"/>
          <w:szCs w:val="20"/>
          <w:color w:val="auto"/>
        </w:rPr>
      </w:pPr>
    </w:p>
    <w:p>
      <w:pPr>
        <w:ind w:left="6540"/>
        <w:spacing w:after="0"/>
        <w:rPr>
          <w:sz w:val="20"/>
          <w:szCs w:val="20"/>
          <w:color w:val="auto"/>
        </w:rPr>
      </w:pPr>
      <w:r>
        <w:rPr>
          <w:rFonts w:ascii="Arial" w:cs="Arial" w:eastAsia="Arial" w:hAnsi="Arial"/>
          <w:sz w:val="16"/>
          <w:szCs w:val="16"/>
          <w:color w:val="auto"/>
        </w:rPr>
        <w:t>Vice President and Controller</w:t>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6"/>
          <w:szCs w:val="16"/>
          <w:color w:val="auto"/>
        </w:rPr>
        <w:t>(on behalf of the Registrant</w:t>
      </w:r>
    </w:p>
    <w:p>
      <w:pPr>
        <w:spacing w:after="0" w:line="15" w:lineRule="exact"/>
        <w:rPr>
          <w:sz w:val="20"/>
          <w:szCs w:val="20"/>
          <w:color w:val="auto"/>
        </w:rPr>
      </w:pPr>
    </w:p>
    <w:p>
      <w:pPr>
        <w:ind w:left="6540"/>
        <w:spacing w:after="0"/>
        <w:rPr>
          <w:sz w:val="20"/>
          <w:szCs w:val="20"/>
          <w:color w:val="auto"/>
        </w:rPr>
      </w:pPr>
      <w:r>
        <w:rPr>
          <w:rFonts w:ascii="Arial" w:cs="Arial" w:eastAsia="Arial" w:hAnsi="Arial"/>
          <w:sz w:val="16"/>
          <w:szCs w:val="16"/>
          <w:color w:val="auto"/>
        </w:rPr>
        <w:t>and as the Registrant’s</w:t>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6"/>
          <w:szCs w:val="16"/>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00" w:hanging="492"/>
        <w:spacing w:after="0"/>
        <w:tabs>
          <w:tab w:leader="none" w:pos="500" w:val="left"/>
        </w:tabs>
        <w:numPr>
          <w:ilvl w:val="0"/>
          <w:numId w:val="206"/>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26" w:name="page127"/>
    <w:bookmarkEnd w:id="126"/>
    <w:p>
      <w:pPr>
        <w:ind w:left="20"/>
        <w:spacing w:after="0"/>
        <w:tabs>
          <w:tab w:leader="none" w:pos="1038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SIGNATURES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6"/>
          <w:szCs w:val="16"/>
          <w:color w:val="auto"/>
        </w:rPr>
        <w:t>Pursuant to the requirements of the Securities Exchange Act of 1934, this annual report has been signed below by the following persons on behalf of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Registrant and in the capacities and on the date indicated:</w:t>
      </w:r>
    </w:p>
    <w:p>
      <w:pPr>
        <w:sectPr>
          <w:pgSz w:w="11900" w:h="16838" w:orient="portrait"/>
          <w:cols w:equalWidth="0" w:num="1">
            <w:col w:w="11240"/>
          </w:cols>
          <w:pgMar w:left="320" w:top="162" w:right="339" w:bottom="1440" w:gutter="0" w:footer="0" w:header="0"/>
        </w:sectPr>
      </w:pPr>
    </w:p>
    <w:p>
      <w:pPr>
        <w:spacing w:after="0" w:line="151" w:lineRule="exact"/>
        <w:rPr>
          <w:sz w:val="20"/>
          <w:szCs w:val="20"/>
          <w:color w:val="auto"/>
        </w:rPr>
      </w:pPr>
    </w:p>
    <w:p>
      <w:pPr>
        <w:ind w:left="2480"/>
        <w:spacing w:after="0"/>
        <w:rPr>
          <w:sz w:val="20"/>
          <w:szCs w:val="20"/>
          <w:color w:val="auto"/>
        </w:rPr>
      </w:pPr>
      <w:r>
        <w:rPr>
          <w:rFonts w:ascii="Arial" w:cs="Arial" w:eastAsia="Arial" w:hAnsi="Arial"/>
          <w:sz w:val="16"/>
          <w:szCs w:val="16"/>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342011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43">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242" w:lineRule="exact"/>
        <w:rPr>
          <w:sz w:val="20"/>
          <w:szCs w:val="20"/>
          <w:color w:val="auto"/>
        </w:rPr>
      </w:pPr>
    </w:p>
    <w:p>
      <w:pPr>
        <w:ind w:left="2160"/>
        <w:spacing w:after="0"/>
        <w:rPr>
          <w:sz w:val="20"/>
          <w:szCs w:val="20"/>
          <w:color w:val="auto"/>
        </w:rPr>
      </w:pPr>
      <w:r>
        <w:rPr>
          <w:rFonts w:ascii="Arial" w:cs="Arial" w:eastAsia="Arial" w:hAnsi="Arial"/>
          <w:sz w:val="16"/>
          <w:szCs w:val="16"/>
          <w:color w:val="auto"/>
        </w:rPr>
        <w:t>/s/ Vimal Kapur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342011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44">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20" w:lineRule="exact"/>
        <w:rPr>
          <w:sz w:val="20"/>
          <w:szCs w:val="20"/>
          <w:color w:val="auto"/>
        </w:rPr>
      </w:pPr>
    </w:p>
    <w:p>
      <w:pPr>
        <w:ind w:left="2260"/>
        <w:spacing w:after="0"/>
        <w:rPr>
          <w:sz w:val="20"/>
          <w:szCs w:val="20"/>
          <w:color w:val="auto"/>
        </w:rPr>
      </w:pPr>
      <w:r>
        <w:rPr>
          <w:rFonts w:ascii="Arial" w:cs="Arial" w:eastAsia="Arial" w:hAnsi="Arial"/>
          <w:sz w:val="16"/>
          <w:szCs w:val="16"/>
          <w:color w:val="auto"/>
        </w:rPr>
        <w:t>Vimal Kapur</w:t>
      </w:r>
    </w:p>
    <w:p>
      <w:pPr>
        <w:jc w:val="center"/>
        <w:ind w:right="1360"/>
        <w:spacing w:after="0" w:line="211" w:lineRule="auto"/>
        <w:rPr>
          <w:sz w:val="20"/>
          <w:szCs w:val="20"/>
          <w:color w:val="auto"/>
        </w:rPr>
      </w:pPr>
      <w:r>
        <w:rPr>
          <w:rFonts w:ascii="Arial" w:cs="Arial" w:eastAsia="Arial" w:hAnsi="Arial"/>
          <w:sz w:val="16"/>
          <w:szCs w:val="16"/>
          <w:color w:val="auto"/>
        </w:rPr>
        <w:t>Chairman and Chief Executive Officer</w:t>
      </w:r>
    </w:p>
    <w:p>
      <w:pPr>
        <w:jc w:val="center"/>
        <w:ind w:right="1360"/>
        <w:spacing w:after="0"/>
        <w:rPr>
          <w:sz w:val="20"/>
          <w:szCs w:val="20"/>
          <w:color w:val="auto"/>
        </w:rPr>
      </w:pPr>
      <w:r>
        <w:rPr>
          <w:rFonts w:ascii="Arial" w:cs="Arial" w:eastAsia="Arial" w:hAnsi="Arial"/>
          <w:sz w:val="16"/>
          <w:szCs w:val="16"/>
          <w:color w:val="auto"/>
        </w:rPr>
        <w:t>(Principal Executive Officer)</w:t>
      </w:r>
    </w:p>
    <w:p>
      <w:pPr>
        <w:spacing w:after="0" w:line="232" w:lineRule="exact"/>
        <w:rPr>
          <w:sz w:val="20"/>
          <w:szCs w:val="20"/>
          <w:color w:val="auto"/>
        </w:rPr>
      </w:pPr>
    </w:p>
    <w:p>
      <w:pPr>
        <w:ind w:left="266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342011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45">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20" w:lineRule="exact"/>
        <w:rPr>
          <w:sz w:val="20"/>
          <w:szCs w:val="20"/>
          <w:color w:val="auto"/>
        </w:rPr>
      </w:pPr>
    </w:p>
    <w:p>
      <w:pPr>
        <w:ind w:left="2020"/>
        <w:spacing w:after="0"/>
        <w:rPr>
          <w:sz w:val="20"/>
          <w:szCs w:val="20"/>
          <w:color w:val="auto"/>
        </w:rPr>
      </w:pPr>
      <w:r>
        <w:rPr>
          <w:rFonts w:ascii="Arial" w:cs="Arial" w:eastAsia="Arial" w:hAnsi="Arial"/>
          <w:sz w:val="16"/>
          <w:szCs w:val="16"/>
          <w:color w:val="auto"/>
        </w:rPr>
        <w:t>Duncan B. Angove</w:t>
      </w:r>
    </w:p>
    <w:p>
      <w:pPr>
        <w:ind w:left="2420"/>
        <w:spacing w:after="0"/>
        <w:rPr>
          <w:sz w:val="20"/>
          <w:szCs w:val="20"/>
          <w:color w:val="auto"/>
        </w:rPr>
      </w:pPr>
      <w:r>
        <w:rPr>
          <w:rFonts w:ascii="Arial" w:cs="Arial" w:eastAsia="Arial" w:hAnsi="Arial"/>
          <w:sz w:val="16"/>
          <w:szCs w:val="16"/>
          <w:color w:val="auto"/>
        </w:rPr>
        <w:t>Director</w:t>
      </w:r>
    </w:p>
    <w:p>
      <w:pPr>
        <w:spacing w:after="0" w:line="273" w:lineRule="exact"/>
        <w:rPr>
          <w:sz w:val="20"/>
          <w:szCs w:val="20"/>
          <w:color w:val="auto"/>
        </w:rPr>
      </w:pPr>
    </w:p>
    <w:p>
      <w:pPr>
        <w:ind w:left="266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342011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46">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20" w:lineRule="exact"/>
        <w:rPr>
          <w:sz w:val="20"/>
          <w:szCs w:val="20"/>
          <w:color w:val="auto"/>
        </w:rPr>
      </w:pPr>
    </w:p>
    <w:p>
      <w:pPr>
        <w:ind w:left="2160"/>
        <w:spacing w:after="0"/>
        <w:rPr>
          <w:sz w:val="20"/>
          <w:szCs w:val="20"/>
          <w:color w:val="auto"/>
        </w:rPr>
      </w:pPr>
      <w:r>
        <w:rPr>
          <w:rFonts w:ascii="Arial" w:cs="Arial" w:eastAsia="Arial" w:hAnsi="Arial"/>
          <w:sz w:val="16"/>
          <w:szCs w:val="16"/>
          <w:color w:val="auto"/>
        </w:rPr>
        <w:t>William S. Ayer</w:t>
      </w:r>
    </w:p>
    <w:p>
      <w:pPr>
        <w:ind w:left="2420"/>
        <w:spacing w:after="0"/>
        <w:rPr>
          <w:sz w:val="20"/>
          <w:szCs w:val="20"/>
          <w:color w:val="auto"/>
        </w:rPr>
      </w:pPr>
      <w:r>
        <w:rPr>
          <w:rFonts w:ascii="Arial" w:cs="Arial" w:eastAsia="Arial" w:hAnsi="Arial"/>
          <w:sz w:val="16"/>
          <w:szCs w:val="16"/>
          <w:color w:val="auto"/>
        </w:rPr>
        <w:t>Director</w:t>
      </w:r>
    </w:p>
    <w:p>
      <w:pPr>
        <w:spacing w:after="0" w:line="273" w:lineRule="exact"/>
        <w:rPr>
          <w:sz w:val="20"/>
          <w:szCs w:val="20"/>
          <w:color w:val="auto"/>
        </w:rPr>
      </w:pPr>
    </w:p>
    <w:p>
      <w:pPr>
        <w:ind w:left="266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342011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47">
                      <a:extLst>
                        <a:ext uri="{28A0092B-C50C-407E-A947-70E740481C1C}"/>
                      </a:extLst>
                    </a:blip>
                    <a:srcRect/>
                    <a:stretch>
                      <a:fillRect/>
                    </a:stretch>
                  </pic:blipFill>
                  <pic:spPr bwMode="auto">
                    <a:xfrm>
                      <a:off x="0" y="0"/>
                      <a:ext cx="3420110" cy="8890"/>
                    </a:xfrm>
                    <a:prstGeom prst="rect">
                      <a:avLst/>
                    </a:prstGeom>
                    <a:noFill/>
                  </pic:spPr>
                </pic:pic>
              </a:graphicData>
            </a:graphic>
          </wp:anchor>
        </w:drawing>
      </w:r>
    </w:p>
    <w:p>
      <w:pPr>
        <w:spacing w:after="0" w:line="20" w:lineRule="exact"/>
        <w:rPr>
          <w:sz w:val="20"/>
          <w:szCs w:val="20"/>
          <w:color w:val="auto"/>
        </w:rPr>
      </w:pPr>
    </w:p>
    <w:p>
      <w:pPr>
        <w:ind w:left="2260"/>
        <w:spacing w:after="0"/>
        <w:rPr>
          <w:sz w:val="20"/>
          <w:szCs w:val="20"/>
          <w:color w:val="auto"/>
        </w:rPr>
      </w:pPr>
      <w:r>
        <w:rPr>
          <w:rFonts w:ascii="Arial" w:cs="Arial" w:eastAsia="Arial" w:hAnsi="Arial"/>
          <w:sz w:val="16"/>
          <w:szCs w:val="16"/>
          <w:color w:val="auto"/>
        </w:rPr>
        <w:t>Kevin Burke</w:t>
      </w:r>
    </w:p>
    <w:p>
      <w:pPr>
        <w:jc w:val="center"/>
        <w:ind w:right="1360"/>
        <w:spacing w:after="0"/>
        <w:rPr>
          <w:sz w:val="20"/>
          <w:szCs w:val="20"/>
          <w:color w:val="auto"/>
        </w:rPr>
      </w:pPr>
      <w:r>
        <w:rPr>
          <w:rFonts w:ascii="Arial" w:cs="Arial" w:eastAsia="Arial" w:hAnsi="Arial"/>
          <w:sz w:val="16"/>
          <w:szCs w:val="16"/>
          <w:color w:val="auto"/>
        </w:rPr>
        <w:t>Director</w:t>
      </w:r>
    </w:p>
    <w:p>
      <w:pPr>
        <w:spacing w:after="0" w:line="232" w:lineRule="exact"/>
        <w:rPr>
          <w:sz w:val="20"/>
          <w:szCs w:val="20"/>
          <w:color w:val="auto"/>
        </w:rPr>
      </w:pPr>
    </w:p>
    <w:p>
      <w:pPr>
        <w:ind w:left="266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342011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48">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20" w:lineRule="exact"/>
        <w:rPr>
          <w:sz w:val="20"/>
          <w:szCs w:val="20"/>
          <w:color w:val="auto"/>
        </w:rPr>
      </w:pPr>
    </w:p>
    <w:p>
      <w:pPr>
        <w:ind w:left="2180"/>
        <w:spacing w:after="0"/>
        <w:rPr>
          <w:sz w:val="20"/>
          <w:szCs w:val="20"/>
          <w:color w:val="auto"/>
        </w:rPr>
      </w:pPr>
      <w:r>
        <w:rPr>
          <w:rFonts w:ascii="Arial" w:cs="Arial" w:eastAsia="Arial" w:hAnsi="Arial"/>
          <w:sz w:val="16"/>
          <w:szCs w:val="16"/>
          <w:color w:val="auto"/>
        </w:rPr>
        <w:t>D. Scott Davis</w:t>
      </w:r>
    </w:p>
    <w:p>
      <w:pPr>
        <w:jc w:val="center"/>
        <w:ind w:right="1360"/>
        <w:spacing w:after="0"/>
        <w:rPr>
          <w:sz w:val="20"/>
          <w:szCs w:val="20"/>
          <w:color w:val="auto"/>
        </w:rPr>
      </w:pPr>
      <w:r>
        <w:rPr>
          <w:rFonts w:ascii="Arial" w:cs="Arial" w:eastAsia="Arial" w:hAnsi="Arial"/>
          <w:sz w:val="16"/>
          <w:szCs w:val="16"/>
          <w:color w:val="auto"/>
        </w:rPr>
        <w:t>Director</w:t>
      </w:r>
    </w:p>
    <w:p>
      <w:pPr>
        <w:spacing w:after="0" w:line="232" w:lineRule="exact"/>
        <w:rPr>
          <w:sz w:val="20"/>
          <w:szCs w:val="20"/>
          <w:color w:val="auto"/>
        </w:rPr>
      </w:pPr>
    </w:p>
    <w:p>
      <w:pPr>
        <w:ind w:left="266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342011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49">
                      <a:extLst>
                        <a:ext uri="{28A0092B-C50C-407E-A947-70E740481C1C}"/>
                      </a:extLst>
                    </a:blip>
                    <a:srcRect/>
                    <a:stretch>
                      <a:fillRect/>
                    </a:stretch>
                  </pic:blipFill>
                  <pic:spPr bwMode="auto">
                    <a:xfrm>
                      <a:off x="0" y="0"/>
                      <a:ext cx="3420110" cy="8890"/>
                    </a:xfrm>
                    <a:prstGeom prst="rect">
                      <a:avLst/>
                    </a:prstGeom>
                    <a:noFill/>
                  </pic:spPr>
                </pic:pic>
              </a:graphicData>
            </a:graphic>
          </wp:anchor>
        </w:drawing>
      </w:r>
    </w:p>
    <w:p>
      <w:pPr>
        <w:spacing w:after="0" w:line="20" w:lineRule="exact"/>
        <w:rPr>
          <w:sz w:val="20"/>
          <w:szCs w:val="20"/>
          <w:color w:val="auto"/>
        </w:rPr>
      </w:pPr>
    </w:p>
    <w:p>
      <w:pPr>
        <w:ind w:left="2220"/>
        <w:spacing w:after="0"/>
        <w:rPr>
          <w:sz w:val="20"/>
          <w:szCs w:val="20"/>
          <w:color w:val="auto"/>
        </w:rPr>
      </w:pPr>
      <w:r>
        <w:rPr>
          <w:rFonts w:ascii="Arial" w:cs="Arial" w:eastAsia="Arial" w:hAnsi="Arial"/>
          <w:sz w:val="16"/>
          <w:szCs w:val="16"/>
          <w:color w:val="auto"/>
        </w:rPr>
        <w:t>Deborah Flint</w:t>
      </w:r>
    </w:p>
    <w:p>
      <w:pPr>
        <w:jc w:val="center"/>
        <w:ind w:right="1360"/>
        <w:spacing w:after="0"/>
        <w:rPr>
          <w:sz w:val="20"/>
          <w:szCs w:val="20"/>
          <w:color w:val="auto"/>
        </w:rPr>
      </w:pPr>
      <w:r>
        <w:rPr>
          <w:rFonts w:ascii="Arial" w:cs="Arial" w:eastAsia="Arial" w:hAnsi="Arial"/>
          <w:sz w:val="16"/>
          <w:szCs w:val="16"/>
          <w:color w:val="auto"/>
        </w:rPr>
        <w:t>Director</w:t>
      </w:r>
    </w:p>
    <w:p>
      <w:pPr>
        <w:spacing w:after="0" w:line="232" w:lineRule="exact"/>
        <w:rPr>
          <w:sz w:val="20"/>
          <w:szCs w:val="20"/>
          <w:color w:val="auto"/>
        </w:rPr>
      </w:pPr>
    </w:p>
    <w:p>
      <w:pPr>
        <w:ind w:left="1980"/>
        <w:spacing w:after="0"/>
        <w:rPr>
          <w:sz w:val="20"/>
          <w:szCs w:val="20"/>
          <w:color w:val="auto"/>
        </w:rPr>
      </w:pPr>
      <w:r>
        <w:rPr>
          <w:rFonts w:ascii="Arial" w:cs="Arial" w:eastAsia="Arial" w:hAnsi="Arial"/>
          <w:sz w:val="16"/>
          <w:szCs w:val="16"/>
          <w:color w:val="auto"/>
        </w:rPr>
        <w:t>/s/ Gregory P.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342011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50">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20" w:lineRule="exact"/>
        <w:rPr>
          <w:sz w:val="20"/>
          <w:szCs w:val="20"/>
          <w:color w:val="auto"/>
        </w:rPr>
      </w:pPr>
    </w:p>
    <w:p>
      <w:pPr>
        <w:ind w:left="2100"/>
        <w:spacing w:after="0"/>
        <w:rPr>
          <w:sz w:val="20"/>
          <w:szCs w:val="20"/>
          <w:color w:val="auto"/>
        </w:rPr>
      </w:pPr>
      <w:r>
        <w:rPr>
          <w:rFonts w:ascii="Arial" w:cs="Arial" w:eastAsia="Arial" w:hAnsi="Arial"/>
          <w:sz w:val="16"/>
          <w:szCs w:val="16"/>
          <w:color w:val="auto"/>
        </w:rPr>
        <w:t>Gregory P. Lewis</w:t>
      </w:r>
    </w:p>
    <w:p>
      <w:pPr>
        <w:jc w:val="center"/>
        <w:ind w:right="1360"/>
        <w:spacing w:after="0" w:line="211" w:lineRule="auto"/>
        <w:rPr>
          <w:sz w:val="20"/>
          <w:szCs w:val="20"/>
          <w:color w:val="auto"/>
        </w:rPr>
      </w:pPr>
      <w:r>
        <w:rPr>
          <w:rFonts w:ascii="Arial" w:cs="Arial" w:eastAsia="Arial" w:hAnsi="Arial"/>
          <w:sz w:val="16"/>
          <w:szCs w:val="16"/>
          <w:color w:val="auto"/>
        </w:rPr>
        <w:t>Senior Vice President and</w:t>
      </w:r>
    </w:p>
    <w:p>
      <w:pPr>
        <w:jc w:val="center"/>
        <w:ind w:right="1360"/>
        <w:spacing w:after="0" w:line="211" w:lineRule="auto"/>
        <w:rPr>
          <w:sz w:val="20"/>
          <w:szCs w:val="20"/>
          <w:color w:val="auto"/>
        </w:rPr>
      </w:pPr>
      <w:r>
        <w:rPr>
          <w:rFonts w:ascii="Arial" w:cs="Arial" w:eastAsia="Arial" w:hAnsi="Arial"/>
          <w:sz w:val="16"/>
          <w:szCs w:val="16"/>
          <w:color w:val="auto"/>
        </w:rPr>
        <w:t>Chief Financial Officer</w:t>
      </w:r>
    </w:p>
    <w:p>
      <w:pPr>
        <w:jc w:val="center"/>
        <w:ind w:right="1360"/>
        <w:spacing w:after="0"/>
        <w:rPr>
          <w:sz w:val="20"/>
          <w:szCs w:val="20"/>
          <w:color w:val="auto"/>
        </w:rPr>
      </w:pPr>
      <w:r>
        <w:rPr>
          <w:rFonts w:ascii="Arial" w:cs="Arial" w:eastAsia="Arial" w:hAnsi="Arial"/>
          <w:sz w:val="16"/>
          <w:szCs w:val="16"/>
          <w:color w:val="auto"/>
        </w:rPr>
        <w:t>(Principal Financial Officer)</w:t>
      </w:r>
    </w:p>
    <w:p>
      <w:pPr>
        <w:spacing w:after="0" w:line="232" w:lineRule="exact"/>
        <w:rPr>
          <w:sz w:val="20"/>
          <w:szCs w:val="20"/>
          <w:color w:val="auto"/>
        </w:rPr>
      </w:pPr>
    </w:p>
    <w:p>
      <w:pPr>
        <w:ind w:left="20"/>
        <w:spacing w:after="0"/>
        <w:tabs>
          <w:tab w:leader="none" w:pos="86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Gregory P.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20955</wp:posOffset>
            </wp:positionV>
            <wp:extent cx="288036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51">
                      <a:extLst>
                        <a:ext uri="{28A0092B-C50C-407E-A947-70E740481C1C}"/>
                      </a:extLst>
                    </a:blip>
                    <a:srcRect/>
                    <a:stretch>
                      <a:fillRect/>
                    </a:stretch>
                  </pic:blipFill>
                  <pic:spPr bwMode="auto">
                    <a:xfrm>
                      <a:off x="0" y="0"/>
                      <a:ext cx="2880360" cy="8890"/>
                    </a:xfrm>
                    <a:prstGeom prst="rect">
                      <a:avLst/>
                    </a:prstGeom>
                    <a:noFill/>
                  </pic:spPr>
                </pic:pic>
              </a:graphicData>
            </a:graphic>
          </wp:anchor>
        </w:drawing>
      </w:r>
    </w:p>
    <w:p>
      <w:pPr>
        <w:spacing w:after="0" w:line="20" w:lineRule="exact"/>
        <w:rPr>
          <w:sz w:val="20"/>
          <w:szCs w:val="20"/>
          <w:color w:val="auto"/>
        </w:rPr>
      </w:pPr>
    </w:p>
    <w:p>
      <w:pPr>
        <w:ind w:left="880"/>
        <w:spacing w:after="0"/>
        <w:rPr>
          <w:sz w:val="20"/>
          <w:szCs w:val="20"/>
          <w:color w:val="auto"/>
        </w:rPr>
      </w:pPr>
      <w:r>
        <w:rPr>
          <w:rFonts w:ascii="Arial" w:cs="Arial" w:eastAsia="Arial" w:hAnsi="Arial"/>
          <w:sz w:val="16"/>
          <w:szCs w:val="16"/>
          <w:color w:val="auto"/>
        </w:rPr>
        <w:t>Gregory P. Lewis</w:t>
      </w:r>
    </w:p>
    <w:p>
      <w:pPr>
        <w:ind w:left="880"/>
        <w:spacing w:after="0"/>
        <w:rPr>
          <w:sz w:val="20"/>
          <w:szCs w:val="20"/>
          <w:color w:val="auto"/>
        </w:rPr>
      </w:pPr>
      <w:r>
        <w:rPr>
          <w:rFonts w:ascii="Arial" w:cs="Arial" w:eastAsia="Arial" w:hAnsi="Arial"/>
          <w:sz w:val="16"/>
          <w:szCs w:val="16"/>
          <w:color w:val="auto"/>
        </w:rPr>
        <w:t>Attorney-in-fact</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-1040765</wp:posOffset>
            </wp:positionH>
            <wp:positionV relativeFrom="paragraph">
              <wp:posOffset>20955</wp:posOffset>
            </wp:positionV>
            <wp:extent cx="342900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52">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-1040765</wp:posOffset>
            </wp:positionH>
            <wp:positionV relativeFrom="paragraph">
              <wp:posOffset>20955</wp:posOffset>
            </wp:positionV>
            <wp:extent cx="342900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53">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2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Michael W. Lamach</w:t>
      </w:r>
    </w:p>
    <w:p>
      <w:pPr>
        <w:ind w:left="780"/>
        <w:spacing w:after="0"/>
        <w:rPr>
          <w:sz w:val="20"/>
          <w:szCs w:val="20"/>
          <w:color w:val="auto"/>
        </w:rPr>
      </w:pPr>
      <w:r>
        <w:rPr>
          <w:rFonts w:ascii="Arial" w:cs="Arial" w:eastAsia="Arial" w:hAnsi="Arial"/>
          <w:sz w:val="16"/>
          <w:szCs w:val="16"/>
          <w:color w:val="auto"/>
        </w:rPr>
        <w:t>Director</w:t>
      </w:r>
    </w:p>
    <w:p>
      <w:pPr>
        <w:spacing w:after="0" w:line="394"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-1040765</wp:posOffset>
            </wp:positionH>
            <wp:positionV relativeFrom="paragraph">
              <wp:posOffset>20955</wp:posOffset>
            </wp:positionV>
            <wp:extent cx="342900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54">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20" w:lineRule="exact"/>
        <w:rPr>
          <w:sz w:val="20"/>
          <w:szCs w:val="20"/>
          <w:color w:val="auto"/>
        </w:rPr>
      </w:pPr>
    </w:p>
    <w:p>
      <w:pPr>
        <w:ind w:left="720"/>
        <w:spacing w:after="0"/>
        <w:rPr>
          <w:sz w:val="20"/>
          <w:szCs w:val="20"/>
          <w:color w:val="auto"/>
        </w:rPr>
      </w:pPr>
      <w:r>
        <w:rPr>
          <w:rFonts w:ascii="Arial" w:cs="Arial" w:eastAsia="Arial" w:hAnsi="Arial"/>
          <w:sz w:val="16"/>
          <w:szCs w:val="16"/>
          <w:color w:val="auto"/>
        </w:rPr>
        <w:t>Rose Lee</w:t>
      </w:r>
    </w:p>
    <w:p>
      <w:pPr>
        <w:ind w:left="780"/>
        <w:spacing w:after="0"/>
        <w:rPr>
          <w:sz w:val="20"/>
          <w:szCs w:val="20"/>
          <w:color w:val="auto"/>
        </w:rPr>
      </w:pPr>
      <w:r>
        <w:rPr>
          <w:rFonts w:ascii="Arial" w:cs="Arial" w:eastAsia="Arial" w:hAnsi="Arial"/>
          <w:sz w:val="16"/>
          <w:szCs w:val="16"/>
          <w:color w:val="auto"/>
        </w:rPr>
        <w:t>Director</w:t>
      </w:r>
    </w:p>
    <w:p>
      <w:pPr>
        <w:spacing w:after="0" w:line="273"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-1040765</wp:posOffset>
            </wp:positionH>
            <wp:positionV relativeFrom="paragraph">
              <wp:posOffset>20955</wp:posOffset>
            </wp:positionV>
            <wp:extent cx="342900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55">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2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Grace D. Lieblein</w:t>
      </w:r>
    </w:p>
    <w:p>
      <w:pPr>
        <w:ind w:left="780"/>
        <w:spacing w:after="0"/>
        <w:rPr>
          <w:sz w:val="20"/>
          <w:szCs w:val="20"/>
          <w:color w:val="auto"/>
        </w:rPr>
      </w:pPr>
      <w:r>
        <w:rPr>
          <w:rFonts w:ascii="Arial" w:cs="Arial" w:eastAsia="Arial" w:hAnsi="Arial"/>
          <w:sz w:val="16"/>
          <w:szCs w:val="16"/>
          <w:color w:val="auto"/>
        </w:rPr>
        <w:t>Director</w:t>
      </w:r>
    </w:p>
    <w:p>
      <w:pPr>
        <w:spacing w:after="0" w:line="273"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-1040765</wp:posOffset>
            </wp:positionH>
            <wp:positionV relativeFrom="paragraph">
              <wp:posOffset>20955</wp:posOffset>
            </wp:positionV>
            <wp:extent cx="342900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56">
                      <a:extLst>
                        <a:ext uri="{28A0092B-C50C-407E-A947-70E740481C1C}"/>
                      </a:extLst>
                    </a:blip>
                    <a:srcRect/>
                    <a:stretch>
                      <a:fillRect/>
                    </a:stretch>
                  </pic:blipFill>
                  <pic:spPr bwMode="auto">
                    <a:xfrm>
                      <a:off x="0" y="0"/>
                      <a:ext cx="3429000" cy="8890"/>
                    </a:xfrm>
                    <a:prstGeom prst="rect">
                      <a:avLst/>
                    </a:prstGeom>
                    <a:noFill/>
                  </pic:spPr>
                </pic:pic>
              </a:graphicData>
            </a:graphic>
          </wp:anchor>
        </w:drawing>
      </w:r>
    </w:p>
    <w:p>
      <w:pPr>
        <w:spacing w:after="0" w:line="20" w:lineRule="exact"/>
        <w:rPr>
          <w:sz w:val="20"/>
          <w:szCs w:val="20"/>
          <w:color w:val="auto"/>
        </w:rPr>
      </w:pPr>
    </w:p>
    <w:p>
      <w:pPr>
        <w:ind w:left="320"/>
        <w:spacing w:after="0"/>
        <w:rPr>
          <w:sz w:val="20"/>
          <w:szCs w:val="20"/>
          <w:color w:val="auto"/>
        </w:rPr>
      </w:pPr>
      <w:r>
        <w:rPr>
          <w:rFonts w:ascii="Arial" w:cs="Arial" w:eastAsia="Arial" w:hAnsi="Arial"/>
          <w:sz w:val="16"/>
          <w:szCs w:val="16"/>
          <w:color w:val="auto"/>
        </w:rPr>
        <w:t>Robin L. Washington</w:t>
      </w:r>
    </w:p>
    <w:p>
      <w:pPr>
        <w:jc w:val="center"/>
        <w:ind w:right="1640"/>
        <w:spacing w:after="0"/>
        <w:rPr>
          <w:sz w:val="20"/>
          <w:szCs w:val="20"/>
          <w:color w:val="auto"/>
        </w:rPr>
      </w:pPr>
      <w:r>
        <w:rPr>
          <w:rFonts w:ascii="Arial" w:cs="Arial" w:eastAsia="Arial" w:hAnsi="Arial"/>
          <w:sz w:val="16"/>
          <w:szCs w:val="16"/>
          <w:color w:val="auto"/>
        </w:rPr>
        <w:t>Director</w:t>
      </w:r>
    </w:p>
    <w:p>
      <w:pPr>
        <w:spacing w:after="0" w:line="232"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-1040765</wp:posOffset>
            </wp:positionH>
            <wp:positionV relativeFrom="paragraph">
              <wp:posOffset>20955</wp:posOffset>
            </wp:positionV>
            <wp:extent cx="342900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57">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2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Robin Watson</w:t>
      </w:r>
    </w:p>
    <w:p>
      <w:pPr>
        <w:ind w:left="780"/>
        <w:spacing w:after="0"/>
        <w:rPr>
          <w:sz w:val="20"/>
          <w:szCs w:val="20"/>
          <w:color w:val="auto"/>
        </w:rPr>
      </w:pPr>
      <w:r>
        <w:rPr>
          <w:rFonts w:ascii="Arial" w:cs="Arial" w:eastAsia="Arial" w:hAnsi="Arial"/>
          <w:sz w:val="16"/>
          <w:szCs w:val="16"/>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/s/ Robert D. Mailloux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-1040765</wp:posOffset>
            </wp:positionH>
            <wp:positionV relativeFrom="paragraph">
              <wp:posOffset>20955</wp:posOffset>
            </wp:positionV>
            <wp:extent cx="342900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58">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20" w:lineRule="exact"/>
        <w:rPr>
          <w:sz w:val="20"/>
          <w:szCs w:val="20"/>
          <w:color w:val="auto"/>
        </w:rPr>
      </w:pPr>
    </w:p>
    <w:p>
      <w:pPr>
        <w:ind w:left="400"/>
        <w:spacing w:after="0"/>
        <w:rPr>
          <w:sz w:val="20"/>
          <w:szCs w:val="20"/>
          <w:color w:val="auto"/>
        </w:rPr>
      </w:pPr>
      <w:r>
        <w:rPr>
          <w:rFonts w:ascii="Arial" w:cs="Arial" w:eastAsia="Arial" w:hAnsi="Arial"/>
          <w:sz w:val="16"/>
          <w:szCs w:val="16"/>
          <w:color w:val="auto"/>
        </w:rPr>
        <w:t>Robert D. Mailloux</w:t>
      </w:r>
    </w:p>
    <w:p>
      <w:pPr>
        <w:spacing w:after="0" w:line="211" w:lineRule="auto"/>
        <w:rPr>
          <w:sz w:val="20"/>
          <w:szCs w:val="20"/>
          <w:color w:val="auto"/>
        </w:rPr>
      </w:pPr>
      <w:r>
        <w:rPr>
          <w:rFonts w:ascii="Arial" w:cs="Arial" w:eastAsia="Arial" w:hAnsi="Arial"/>
          <w:sz w:val="16"/>
          <w:szCs w:val="16"/>
          <w:color w:val="auto"/>
        </w:rPr>
        <w:t>Vice President and Controller</w:t>
      </w:r>
    </w:p>
    <w:p>
      <w:pPr>
        <w:ind w:left="20"/>
        <w:spacing w:after="0"/>
        <w:rPr>
          <w:sz w:val="20"/>
          <w:szCs w:val="20"/>
          <w:color w:val="auto"/>
        </w:rPr>
      </w:pPr>
      <w:r>
        <w:rPr>
          <w:rFonts w:ascii="Arial" w:cs="Arial" w:eastAsia="Arial" w:hAnsi="Arial"/>
          <w:sz w:val="16"/>
          <w:szCs w:val="16"/>
          <w:color w:val="auto"/>
        </w:rPr>
        <w:t>(Principal Accounting Officer)</w:t>
      </w:r>
    </w:p>
    <w:p>
      <w:pPr>
        <w:spacing w:after="0" w:line="1185" w:lineRule="exact"/>
        <w:rPr>
          <w:sz w:val="20"/>
          <w:szCs w:val="20"/>
          <w:color w:val="auto"/>
        </w:rPr>
      </w:pPr>
    </w:p>
    <w:p>
      <w:pPr>
        <w:sectPr>
          <w:pgSz w:w="11900" w:h="16838" w:orient="portrait"/>
          <w:cols w:equalWidth="0" w:num="2">
            <w:col w:w="6760" w:space="720"/>
            <w:col w:w="3760"/>
          </w:cols>
          <w:pgMar w:left="320" w:top="162" w:right="339" w:bottom="1440" w:gutter="0" w:footer="0" w:header="0"/>
          <w:type w:val="continuous"/>
        </w:sectPr>
      </w:pP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February 14, 2025</w:t>
      </w:r>
    </w:p>
    <w:p>
      <w:pPr>
        <w:spacing w:after="0" w:line="200" w:lineRule="exact"/>
        <w:rPr>
          <w:sz w:val="20"/>
          <w:szCs w:val="20"/>
          <w:color w:val="auto"/>
        </w:rPr>
      </w:pPr>
    </w:p>
    <w:p>
      <w:pPr>
        <w:spacing w:after="0" w:line="252" w:lineRule="exact"/>
        <w:rPr>
          <w:sz w:val="20"/>
          <w:szCs w:val="20"/>
          <w:color w:val="auto"/>
        </w:rPr>
      </w:pPr>
    </w:p>
    <w:p>
      <w:pPr>
        <w:ind w:left="500" w:hanging="492"/>
        <w:spacing w:after="0"/>
        <w:tabs>
          <w:tab w:leader="none" w:pos="500" w:val="left"/>
        </w:tabs>
        <w:numPr>
          <w:ilvl w:val="0"/>
          <w:numId w:val="207"/>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type w:val="continuous"/>
        </w:sectPr>
      </w:pPr>
    </w:p>
    <w:bookmarkStart w:id="127" w:name="page128"/>
    <w:bookmarkEnd w:id="127"/>
    <w:p>
      <w:pPr>
        <w:ind w:left="20"/>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FORM 10-K CROSS-REFERENCE INDEX</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460" w:type="dxa"/>
            <w:vAlign w:val="bottom"/>
            <w:tcBorders>
              <w:bottom w:val="single" w:sz="8" w:color="888B8D"/>
            </w:tcBorders>
          </w:tcPr>
          <w:p>
            <w:pPr>
              <w:jc w:val="right"/>
              <w:ind w:right="99"/>
              <w:spacing w:after="0"/>
              <w:rPr>
                <w:sz w:val="20"/>
                <w:szCs w:val="20"/>
                <w:color w:val="auto"/>
              </w:rPr>
            </w:pPr>
            <w:r>
              <w:rPr>
                <w:rFonts w:ascii="Arial" w:cs="Arial" w:eastAsia="Arial" w:hAnsi="Arial"/>
                <w:sz w:val="16"/>
                <w:szCs w:val="16"/>
                <w:b w:val="1"/>
                <w:bCs w:val="1"/>
                <w:color w:val="auto"/>
              </w:rPr>
              <w:t>Page(s)</w:t>
            </w:r>
          </w:p>
        </w:tc>
        <w:tc>
          <w:tcPr>
            <w:tcW w:w="1200" w:type="dxa"/>
            <w:vAlign w:val="bottom"/>
            <w:tcBorders>
              <w:bottom w:val="single" w:sz="8" w:color="888B8D"/>
            </w:tcBorders>
          </w:tcPr>
          <w:p>
            <w:pPr>
              <w:ind w:left="200"/>
              <w:spacing w:after="0"/>
              <w:rPr>
                <w:sz w:val="20"/>
                <w:szCs w:val="20"/>
                <w:color w:val="auto"/>
              </w:rPr>
            </w:pPr>
            <w:r>
              <w:rPr>
                <w:rFonts w:ascii="Arial" w:cs="Arial" w:eastAsia="Arial" w:hAnsi="Arial"/>
                <w:sz w:val="16"/>
                <w:szCs w:val="16"/>
                <w:b w:val="1"/>
                <w:bCs w:val="1"/>
                <w:color w:val="DC202E"/>
              </w:rPr>
              <w:t>PART I</w:t>
            </w:r>
          </w:p>
        </w:tc>
        <w:tc>
          <w:tcPr>
            <w:tcW w:w="8580" w:type="dxa"/>
            <w:vAlign w:val="bottom"/>
            <w:tcBorders>
              <w:bottom w:val="single" w:sz="8" w:color="888B8D"/>
            </w:tcBorders>
          </w:tcPr>
          <w:p>
            <w:pPr>
              <w:spacing w:after="0"/>
              <w:rPr>
                <w:sz w:val="18"/>
                <w:szCs w:val="18"/>
                <w:color w:val="auto"/>
              </w:rPr>
            </w:pPr>
          </w:p>
        </w:tc>
      </w:tr>
      <w:tr>
        <w:trPr>
          <w:trHeight w:val="209"/>
        </w:trPr>
        <w:tc>
          <w:tcPr>
            <w:tcW w:w="1460" w:type="dxa"/>
            <w:vAlign w:val="bottom"/>
            <w:tcBorders>
              <w:bottom w:val="single" w:sz="8" w:color="888B8D"/>
            </w:tcBorders>
          </w:tcPr>
          <w:p>
            <w:pPr>
              <w:jc w:val="right"/>
              <w:ind w:right="99"/>
              <w:spacing w:after="0"/>
              <w:rPr>
                <w:sz w:val="20"/>
                <w:szCs w:val="20"/>
                <w:color w:val="auto"/>
              </w:rPr>
            </w:pPr>
            <w:r>
              <w:rPr>
                <w:rFonts w:ascii="Arial" w:cs="Arial" w:eastAsia="Arial" w:hAnsi="Arial"/>
                <w:sz w:val="16"/>
                <w:szCs w:val="16"/>
                <w:b w:val="1"/>
                <w:bCs w:val="1"/>
                <w:color w:val="D7282F"/>
              </w:rPr>
              <w:t>2</w:t>
            </w:r>
          </w:p>
        </w:tc>
        <w:tc>
          <w:tcPr>
            <w:tcW w:w="1200" w:type="dxa"/>
            <w:vAlign w:val="bottom"/>
            <w:tcBorders>
              <w:bottom w:val="single" w:sz="8" w:color="888B8D"/>
            </w:tcBorders>
          </w:tcPr>
          <w:p>
            <w:pPr>
              <w:ind w:left="200"/>
              <w:spacing w:after="0"/>
              <w:rPr>
                <w:sz w:val="20"/>
                <w:szCs w:val="20"/>
                <w:color w:val="auto"/>
              </w:rPr>
            </w:pPr>
            <w:r>
              <w:rPr>
                <w:rFonts w:ascii="Arial" w:cs="Arial" w:eastAsia="Arial" w:hAnsi="Arial"/>
                <w:sz w:val="16"/>
                <w:szCs w:val="16"/>
                <w:b w:val="1"/>
                <w:bCs w:val="1"/>
                <w:color w:val="auto"/>
              </w:rPr>
              <w:t>ITEM 1</w:t>
            </w:r>
          </w:p>
        </w:tc>
        <w:tc>
          <w:tcPr>
            <w:tcW w:w="8580" w:type="dxa"/>
            <w:vAlign w:val="bottom"/>
            <w:tcBorders>
              <w:bottom w:val="single" w:sz="8" w:color="888B8D"/>
            </w:tcBorders>
          </w:tcPr>
          <w:p>
            <w:pPr>
              <w:ind w:left="320"/>
              <w:spacing w:after="0"/>
              <w:rPr>
                <w:sz w:val="20"/>
                <w:szCs w:val="20"/>
                <w:color w:val="auto"/>
              </w:rPr>
            </w:pPr>
            <w:r>
              <w:rPr>
                <w:rFonts w:ascii="Arial" w:cs="Arial" w:eastAsia="Arial" w:hAnsi="Arial"/>
                <w:sz w:val="16"/>
                <w:szCs w:val="16"/>
                <w:color w:val="auto"/>
              </w:rPr>
              <w:t>About Honeywell</w:t>
            </w:r>
          </w:p>
        </w:tc>
      </w:tr>
      <w:tr>
        <w:trPr>
          <w:trHeight w:val="210"/>
        </w:trPr>
        <w:tc>
          <w:tcPr>
            <w:tcW w:w="1460" w:type="dxa"/>
            <w:vAlign w:val="bottom"/>
            <w:tcBorders>
              <w:bottom w:val="single" w:sz="8" w:color="888B8D"/>
            </w:tcBorders>
          </w:tcPr>
          <w:p>
            <w:pPr>
              <w:jc w:val="right"/>
              <w:ind w:right="99"/>
              <w:spacing w:after="0"/>
              <w:rPr>
                <w:sz w:val="20"/>
                <w:szCs w:val="20"/>
                <w:color w:val="auto"/>
              </w:rPr>
            </w:pPr>
            <w:r>
              <w:rPr>
                <w:rFonts w:ascii="Arial" w:cs="Arial" w:eastAsia="Arial" w:hAnsi="Arial"/>
                <w:sz w:val="16"/>
                <w:szCs w:val="16"/>
                <w:b w:val="1"/>
                <w:bCs w:val="1"/>
                <w:color w:val="D7282F"/>
              </w:rPr>
              <w:t>46</w:t>
            </w:r>
          </w:p>
        </w:tc>
        <w:tc>
          <w:tcPr>
            <w:tcW w:w="1200" w:type="dxa"/>
            <w:vAlign w:val="bottom"/>
            <w:tcBorders>
              <w:bottom w:val="single" w:sz="8" w:color="888B8D"/>
            </w:tcBorders>
          </w:tcPr>
          <w:p>
            <w:pPr>
              <w:spacing w:after="0"/>
              <w:rPr>
                <w:sz w:val="18"/>
                <w:szCs w:val="18"/>
                <w:color w:val="auto"/>
              </w:rPr>
            </w:pPr>
          </w:p>
        </w:tc>
        <w:tc>
          <w:tcPr>
            <w:tcW w:w="8580" w:type="dxa"/>
            <w:vAlign w:val="bottom"/>
            <w:tcBorders>
              <w:bottom w:val="single" w:sz="8" w:color="888B8D"/>
            </w:tcBorders>
          </w:tcPr>
          <w:p>
            <w:pPr>
              <w:ind w:left="320"/>
              <w:spacing w:after="0"/>
              <w:rPr>
                <w:sz w:val="20"/>
                <w:szCs w:val="20"/>
                <w:color w:val="auto"/>
              </w:rPr>
            </w:pPr>
            <w:r>
              <w:rPr>
                <w:rFonts w:ascii="Arial" w:cs="Arial" w:eastAsia="Arial" w:hAnsi="Arial"/>
                <w:sz w:val="16"/>
                <w:szCs w:val="16"/>
                <w:color w:val="auto"/>
              </w:rPr>
              <w:t>Information about Our Executive Officers</w:t>
            </w:r>
          </w:p>
        </w:tc>
      </w:tr>
      <w:tr>
        <w:trPr>
          <w:trHeight w:val="209"/>
        </w:trPr>
        <w:tc>
          <w:tcPr>
            <w:tcW w:w="1460" w:type="dxa"/>
            <w:vAlign w:val="bottom"/>
            <w:tcBorders>
              <w:bottom w:val="single" w:sz="8" w:color="888B8D"/>
            </w:tcBorders>
          </w:tcPr>
          <w:p>
            <w:pPr>
              <w:jc w:val="right"/>
              <w:ind w:right="99"/>
              <w:spacing w:after="0"/>
              <w:rPr>
                <w:sz w:val="20"/>
                <w:szCs w:val="20"/>
                <w:color w:val="auto"/>
              </w:rPr>
            </w:pPr>
            <w:r>
              <w:rPr>
                <w:rFonts w:ascii="Arial" w:cs="Arial" w:eastAsia="Arial" w:hAnsi="Arial"/>
                <w:sz w:val="16"/>
                <w:szCs w:val="16"/>
                <w:b w:val="1"/>
                <w:bCs w:val="1"/>
                <w:color w:val="D7282F"/>
              </w:rPr>
              <w:t>28</w:t>
            </w:r>
          </w:p>
        </w:tc>
        <w:tc>
          <w:tcPr>
            <w:tcW w:w="1200" w:type="dxa"/>
            <w:vAlign w:val="bottom"/>
            <w:tcBorders>
              <w:bottom w:val="single" w:sz="8" w:color="888B8D"/>
            </w:tcBorders>
          </w:tcPr>
          <w:p>
            <w:pPr>
              <w:ind w:left="200"/>
              <w:spacing w:after="0"/>
              <w:rPr>
                <w:sz w:val="20"/>
                <w:szCs w:val="20"/>
                <w:color w:val="auto"/>
              </w:rPr>
            </w:pPr>
            <w:r>
              <w:rPr>
                <w:rFonts w:ascii="Arial" w:cs="Arial" w:eastAsia="Arial" w:hAnsi="Arial"/>
                <w:sz w:val="16"/>
                <w:szCs w:val="16"/>
                <w:b w:val="1"/>
                <w:bCs w:val="1"/>
                <w:color w:val="auto"/>
              </w:rPr>
              <w:t>ITEM 1A.</w:t>
            </w:r>
          </w:p>
        </w:tc>
        <w:tc>
          <w:tcPr>
            <w:tcW w:w="8580" w:type="dxa"/>
            <w:vAlign w:val="bottom"/>
            <w:tcBorders>
              <w:bottom w:val="single" w:sz="8" w:color="888B8D"/>
            </w:tcBorders>
          </w:tcPr>
          <w:p>
            <w:pPr>
              <w:ind w:left="320"/>
              <w:spacing w:after="0"/>
              <w:rPr>
                <w:sz w:val="20"/>
                <w:szCs w:val="20"/>
                <w:color w:val="auto"/>
              </w:rPr>
            </w:pPr>
            <w:r>
              <w:rPr>
                <w:rFonts w:ascii="Arial" w:cs="Arial" w:eastAsia="Arial" w:hAnsi="Arial"/>
                <w:sz w:val="16"/>
                <w:szCs w:val="16"/>
                <w:color w:val="auto"/>
              </w:rPr>
              <w:t>Risk Factors</w:t>
            </w:r>
          </w:p>
        </w:tc>
      </w:tr>
      <w:tr>
        <w:trPr>
          <w:trHeight w:val="209"/>
        </w:trPr>
        <w:tc>
          <w:tcPr>
            <w:tcW w:w="1460" w:type="dxa"/>
            <w:vAlign w:val="bottom"/>
            <w:tcBorders>
              <w:bottom w:val="single" w:sz="8" w:color="888B8D"/>
            </w:tcBorders>
          </w:tcPr>
          <w:p>
            <w:pPr>
              <w:jc w:val="right"/>
              <w:ind w:right="99"/>
              <w:spacing w:after="0"/>
              <w:rPr>
                <w:sz w:val="20"/>
                <w:szCs w:val="20"/>
                <w:color w:val="auto"/>
              </w:rPr>
            </w:pPr>
            <w:r>
              <w:rPr>
                <w:rFonts w:ascii="Arial" w:cs="Arial" w:eastAsia="Arial" w:hAnsi="Arial"/>
                <w:sz w:val="16"/>
                <w:szCs w:val="16"/>
                <w:b w:val="1"/>
                <w:bCs w:val="1"/>
                <w:color w:val="D7282F"/>
              </w:rPr>
              <w:t>47</w:t>
            </w:r>
          </w:p>
        </w:tc>
        <w:tc>
          <w:tcPr>
            <w:tcW w:w="1200" w:type="dxa"/>
            <w:vAlign w:val="bottom"/>
            <w:tcBorders>
              <w:bottom w:val="single" w:sz="8" w:color="888B8D"/>
            </w:tcBorders>
          </w:tcPr>
          <w:p>
            <w:pPr>
              <w:ind w:left="200"/>
              <w:spacing w:after="0"/>
              <w:rPr>
                <w:sz w:val="20"/>
                <w:szCs w:val="20"/>
                <w:color w:val="auto"/>
              </w:rPr>
            </w:pPr>
            <w:r>
              <w:rPr>
                <w:rFonts w:ascii="Arial" w:cs="Arial" w:eastAsia="Arial" w:hAnsi="Arial"/>
                <w:sz w:val="16"/>
                <w:szCs w:val="16"/>
                <w:b w:val="1"/>
                <w:bCs w:val="1"/>
                <w:color w:val="auto"/>
              </w:rPr>
              <w:t>ITEM 1B.</w:t>
            </w:r>
          </w:p>
        </w:tc>
        <w:tc>
          <w:tcPr>
            <w:tcW w:w="8580" w:type="dxa"/>
            <w:vAlign w:val="bottom"/>
            <w:tcBorders>
              <w:bottom w:val="single" w:sz="8" w:color="888B8D"/>
            </w:tcBorders>
          </w:tcPr>
          <w:p>
            <w:pPr>
              <w:ind w:left="320"/>
              <w:spacing w:after="0"/>
              <w:rPr>
                <w:sz w:val="20"/>
                <w:szCs w:val="20"/>
                <w:color w:val="auto"/>
              </w:rPr>
            </w:pPr>
            <w:r>
              <w:rPr>
                <w:rFonts w:ascii="Arial" w:cs="Arial" w:eastAsia="Arial" w:hAnsi="Arial"/>
                <w:sz w:val="16"/>
                <w:szCs w:val="16"/>
                <w:color w:val="auto"/>
              </w:rPr>
              <w:t>Unresolved Staff Comments</w:t>
            </w:r>
          </w:p>
        </w:tc>
      </w:tr>
      <w:tr>
        <w:trPr>
          <w:trHeight w:val="210"/>
        </w:trPr>
        <w:tc>
          <w:tcPr>
            <w:tcW w:w="1460" w:type="dxa"/>
            <w:vAlign w:val="bottom"/>
            <w:tcBorders>
              <w:bottom w:val="single" w:sz="8" w:color="888B8D"/>
            </w:tcBorders>
          </w:tcPr>
          <w:p>
            <w:pPr>
              <w:jc w:val="right"/>
              <w:ind w:right="99"/>
              <w:spacing w:after="0"/>
              <w:rPr>
                <w:sz w:val="20"/>
                <w:szCs w:val="20"/>
                <w:color w:val="auto"/>
              </w:rPr>
            </w:pPr>
            <w:r>
              <w:rPr>
                <w:rFonts w:ascii="Arial" w:cs="Arial" w:eastAsia="Arial" w:hAnsi="Arial"/>
                <w:sz w:val="16"/>
                <w:szCs w:val="16"/>
                <w:b w:val="1"/>
                <w:bCs w:val="1"/>
                <w:color w:val="D7282F"/>
              </w:rPr>
              <w:t>47</w:t>
            </w:r>
          </w:p>
        </w:tc>
        <w:tc>
          <w:tcPr>
            <w:tcW w:w="1200" w:type="dxa"/>
            <w:vAlign w:val="bottom"/>
            <w:tcBorders>
              <w:bottom w:val="single" w:sz="8" w:color="888B8D"/>
            </w:tcBorders>
          </w:tcPr>
          <w:p>
            <w:pPr>
              <w:ind w:left="200"/>
              <w:spacing w:after="0"/>
              <w:rPr>
                <w:sz w:val="20"/>
                <w:szCs w:val="20"/>
                <w:color w:val="auto"/>
              </w:rPr>
            </w:pPr>
            <w:r>
              <w:rPr>
                <w:rFonts w:ascii="Arial" w:cs="Arial" w:eastAsia="Arial" w:hAnsi="Arial"/>
                <w:sz w:val="16"/>
                <w:szCs w:val="16"/>
                <w:b w:val="1"/>
                <w:bCs w:val="1"/>
                <w:color w:val="auto"/>
              </w:rPr>
              <w:t>ITEM 1C.</w:t>
            </w:r>
          </w:p>
        </w:tc>
        <w:tc>
          <w:tcPr>
            <w:tcW w:w="8580" w:type="dxa"/>
            <w:vAlign w:val="bottom"/>
            <w:tcBorders>
              <w:bottom w:val="single" w:sz="8" w:color="888B8D"/>
            </w:tcBorders>
          </w:tcPr>
          <w:p>
            <w:pPr>
              <w:ind w:left="320"/>
              <w:spacing w:after="0"/>
              <w:rPr>
                <w:sz w:val="20"/>
                <w:szCs w:val="20"/>
                <w:color w:val="auto"/>
              </w:rPr>
            </w:pPr>
            <w:r>
              <w:rPr>
                <w:rFonts w:ascii="Arial" w:cs="Arial" w:eastAsia="Arial" w:hAnsi="Arial"/>
                <w:sz w:val="16"/>
                <w:szCs w:val="16"/>
                <w:color w:val="auto"/>
              </w:rPr>
              <w:t>Cybersecurity</w:t>
            </w:r>
          </w:p>
        </w:tc>
      </w:tr>
      <w:tr>
        <w:trPr>
          <w:trHeight w:val="209"/>
        </w:trPr>
        <w:tc>
          <w:tcPr>
            <w:tcW w:w="1460" w:type="dxa"/>
            <w:vAlign w:val="bottom"/>
            <w:tcBorders>
              <w:bottom w:val="single" w:sz="8" w:color="888B8D"/>
            </w:tcBorders>
          </w:tcPr>
          <w:p>
            <w:pPr>
              <w:jc w:val="right"/>
              <w:ind w:right="99"/>
              <w:spacing w:after="0"/>
              <w:rPr>
                <w:sz w:val="20"/>
                <w:szCs w:val="20"/>
                <w:color w:val="auto"/>
              </w:rPr>
            </w:pPr>
            <w:r>
              <w:rPr>
                <w:rFonts w:ascii="Arial" w:cs="Arial" w:eastAsia="Arial" w:hAnsi="Arial"/>
                <w:sz w:val="16"/>
                <w:szCs w:val="16"/>
                <w:b w:val="1"/>
                <w:bCs w:val="1"/>
                <w:color w:val="D7282F"/>
              </w:rPr>
              <w:t>48</w:t>
            </w:r>
          </w:p>
        </w:tc>
        <w:tc>
          <w:tcPr>
            <w:tcW w:w="1200" w:type="dxa"/>
            <w:vAlign w:val="bottom"/>
            <w:tcBorders>
              <w:bottom w:val="single" w:sz="8" w:color="888B8D"/>
            </w:tcBorders>
          </w:tcPr>
          <w:p>
            <w:pPr>
              <w:ind w:left="200"/>
              <w:spacing w:after="0"/>
              <w:rPr>
                <w:sz w:val="20"/>
                <w:szCs w:val="20"/>
                <w:color w:val="auto"/>
              </w:rPr>
            </w:pPr>
            <w:r>
              <w:rPr>
                <w:rFonts w:ascii="Arial" w:cs="Arial" w:eastAsia="Arial" w:hAnsi="Arial"/>
                <w:sz w:val="16"/>
                <w:szCs w:val="16"/>
                <w:b w:val="1"/>
                <w:bCs w:val="1"/>
                <w:color w:val="auto"/>
              </w:rPr>
              <w:t>ITEM 2</w:t>
            </w:r>
          </w:p>
        </w:tc>
        <w:tc>
          <w:tcPr>
            <w:tcW w:w="8580" w:type="dxa"/>
            <w:vAlign w:val="bottom"/>
            <w:tcBorders>
              <w:bottom w:val="single" w:sz="8" w:color="888B8D"/>
            </w:tcBorders>
          </w:tcPr>
          <w:p>
            <w:pPr>
              <w:ind w:left="320"/>
              <w:spacing w:after="0"/>
              <w:rPr>
                <w:sz w:val="20"/>
                <w:szCs w:val="20"/>
                <w:color w:val="auto"/>
              </w:rPr>
            </w:pPr>
            <w:r>
              <w:rPr>
                <w:rFonts w:ascii="Arial" w:cs="Arial" w:eastAsia="Arial" w:hAnsi="Arial"/>
                <w:sz w:val="16"/>
                <w:szCs w:val="16"/>
                <w:color w:val="auto"/>
              </w:rPr>
              <w:t>Properties</w:t>
            </w:r>
          </w:p>
        </w:tc>
      </w:tr>
      <w:tr>
        <w:trPr>
          <w:trHeight w:val="210"/>
        </w:trPr>
        <w:tc>
          <w:tcPr>
            <w:tcW w:w="1460" w:type="dxa"/>
            <w:vAlign w:val="bottom"/>
            <w:tcBorders>
              <w:bottom w:val="single" w:sz="8" w:color="888B8D"/>
            </w:tcBorders>
          </w:tcPr>
          <w:p>
            <w:pPr>
              <w:jc w:val="right"/>
              <w:ind w:right="99"/>
              <w:spacing w:after="0"/>
              <w:rPr>
                <w:sz w:val="20"/>
                <w:szCs w:val="20"/>
                <w:color w:val="auto"/>
              </w:rPr>
            </w:pPr>
            <w:r>
              <w:rPr>
                <w:rFonts w:ascii="Arial" w:cs="Arial" w:eastAsia="Arial" w:hAnsi="Arial"/>
                <w:sz w:val="16"/>
                <w:szCs w:val="16"/>
                <w:b w:val="1"/>
                <w:bCs w:val="1"/>
                <w:color w:val="D7282F"/>
              </w:rPr>
              <w:t>48</w:t>
            </w:r>
          </w:p>
        </w:tc>
        <w:tc>
          <w:tcPr>
            <w:tcW w:w="1200" w:type="dxa"/>
            <w:vAlign w:val="bottom"/>
            <w:tcBorders>
              <w:bottom w:val="single" w:sz="8" w:color="888B8D"/>
            </w:tcBorders>
          </w:tcPr>
          <w:p>
            <w:pPr>
              <w:ind w:left="200"/>
              <w:spacing w:after="0"/>
              <w:rPr>
                <w:sz w:val="20"/>
                <w:szCs w:val="20"/>
                <w:color w:val="auto"/>
              </w:rPr>
            </w:pPr>
            <w:r>
              <w:rPr>
                <w:rFonts w:ascii="Arial" w:cs="Arial" w:eastAsia="Arial" w:hAnsi="Arial"/>
                <w:sz w:val="16"/>
                <w:szCs w:val="16"/>
                <w:b w:val="1"/>
                <w:bCs w:val="1"/>
                <w:color w:val="auto"/>
              </w:rPr>
              <w:t>ITEM 3</w:t>
            </w:r>
          </w:p>
        </w:tc>
        <w:tc>
          <w:tcPr>
            <w:tcW w:w="8580" w:type="dxa"/>
            <w:vAlign w:val="bottom"/>
            <w:tcBorders>
              <w:bottom w:val="single" w:sz="8" w:color="888B8D"/>
            </w:tcBorders>
          </w:tcPr>
          <w:p>
            <w:pPr>
              <w:ind w:left="320"/>
              <w:spacing w:after="0"/>
              <w:rPr>
                <w:sz w:val="20"/>
                <w:szCs w:val="20"/>
                <w:color w:val="auto"/>
              </w:rPr>
            </w:pPr>
            <w:r>
              <w:rPr>
                <w:rFonts w:ascii="Arial" w:cs="Arial" w:eastAsia="Arial" w:hAnsi="Arial"/>
                <w:sz w:val="16"/>
                <w:szCs w:val="16"/>
                <w:color w:val="auto"/>
              </w:rPr>
              <w:t>Legal Proceedings</w:t>
            </w:r>
          </w:p>
        </w:tc>
      </w:tr>
      <w:tr>
        <w:trPr>
          <w:trHeight w:val="209"/>
        </w:trPr>
        <w:tc>
          <w:tcPr>
            <w:tcW w:w="1460" w:type="dxa"/>
            <w:vAlign w:val="bottom"/>
            <w:tcBorders>
              <w:bottom w:val="single" w:sz="8" w:color="888B8D"/>
            </w:tcBorders>
          </w:tcPr>
          <w:p>
            <w:pPr>
              <w:jc w:val="right"/>
              <w:ind w:right="99"/>
              <w:spacing w:after="0"/>
              <w:rPr>
                <w:sz w:val="20"/>
                <w:szCs w:val="20"/>
                <w:color w:val="auto"/>
              </w:rPr>
            </w:pPr>
            <w:r>
              <w:rPr>
                <w:rFonts w:ascii="Arial" w:cs="Arial" w:eastAsia="Arial" w:hAnsi="Arial"/>
                <w:sz w:val="16"/>
                <w:szCs w:val="16"/>
                <w:b w:val="1"/>
                <w:bCs w:val="1"/>
                <w:color w:val="D7282F"/>
              </w:rPr>
              <w:t>48</w:t>
            </w:r>
          </w:p>
        </w:tc>
        <w:tc>
          <w:tcPr>
            <w:tcW w:w="1200" w:type="dxa"/>
            <w:vAlign w:val="bottom"/>
            <w:tcBorders>
              <w:bottom w:val="single" w:sz="8" w:color="888B8D"/>
            </w:tcBorders>
          </w:tcPr>
          <w:p>
            <w:pPr>
              <w:ind w:left="200"/>
              <w:spacing w:after="0"/>
              <w:rPr>
                <w:sz w:val="20"/>
                <w:szCs w:val="20"/>
                <w:color w:val="auto"/>
              </w:rPr>
            </w:pPr>
            <w:r>
              <w:rPr>
                <w:rFonts w:ascii="Arial" w:cs="Arial" w:eastAsia="Arial" w:hAnsi="Arial"/>
                <w:sz w:val="16"/>
                <w:szCs w:val="16"/>
                <w:b w:val="1"/>
                <w:bCs w:val="1"/>
                <w:color w:val="auto"/>
              </w:rPr>
              <w:t>ITEM 4</w:t>
            </w:r>
          </w:p>
        </w:tc>
        <w:tc>
          <w:tcPr>
            <w:tcW w:w="8580" w:type="dxa"/>
            <w:vAlign w:val="bottom"/>
            <w:tcBorders>
              <w:bottom w:val="single" w:sz="8" w:color="888B8D"/>
            </w:tcBorders>
          </w:tcPr>
          <w:p>
            <w:pPr>
              <w:ind w:left="320"/>
              <w:spacing w:after="0"/>
              <w:rPr>
                <w:sz w:val="20"/>
                <w:szCs w:val="20"/>
                <w:color w:val="auto"/>
              </w:rPr>
            </w:pPr>
            <w:r>
              <w:rPr>
                <w:rFonts w:ascii="Arial" w:cs="Arial" w:eastAsia="Arial" w:hAnsi="Arial"/>
                <w:sz w:val="16"/>
                <w:szCs w:val="16"/>
                <w:color w:val="auto"/>
              </w:rPr>
              <w:t>Mine Safety Disclosures</w:t>
            </w:r>
          </w:p>
        </w:tc>
      </w:tr>
      <w:tr>
        <w:trPr>
          <w:trHeight w:val="237"/>
        </w:trPr>
        <w:tc>
          <w:tcPr>
            <w:tcW w:w="1460" w:type="dxa"/>
            <w:vAlign w:val="bottom"/>
            <w:tcBorders>
              <w:bottom w:val="single" w:sz="8" w:color="888B8D"/>
            </w:tcBorders>
          </w:tcPr>
          <w:p>
            <w:pPr>
              <w:spacing w:after="0"/>
              <w:rPr>
                <w:sz w:val="20"/>
                <w:szCs w:val="20"/>
                <w:color w:val="auto"/>
              </w:rPr>
            </w:pPr>
          </w:p>
        </w:tc>
        <w:tc>
          <w:tcPr>
            <w:tcW w:w="1200" w:type="dxa"/>
            <w:vAlign w:val="bottom"/>
            <w:tcBorders>
              <w:bottom w:val="single" w:sz="8" w:color="888B8D"/>
            </w:tcBorders>
          </w:tcPr>
          <w:p>
            <w:pPr>
              <w:spacing w:after="0"/>
              <w:rPr>
                <w:sz w:val="20"/>
                <w:szCs w:val="20"/>
                <w:color w:val="auto"/>
              </w:rPr>
            </w:pPr>
          </w:p>
        </w:tc>
        <w:tc>
          <w:tcPr>
            <w:tcW w:w="8580" w:type="dxa"/>
            <w:vAlign w:val="bottom"/>
            <w:tcBorders>
              <w:bottom w:val="single" w:sz="8" w:color="888B8D"/>
            </w:tcBorders>
          </w:tcPr>
          <w:p>
            <w:pPr>
              <w:spacing w:after="0"/>
              <w:rPr>
                <w:sz w:val="20"/>
                <w:szCs w:val="20"/>
                <w:color w:val="auto"/>
              </w:rPr>
            </w:pPr>
          </w:p>
        </w:tc>
      </w:tr>
      <w:tr>
        <w:trPr>
          <w:trHeight w:val="209"/>
        </w:trPr>
        <w:tc>
          <w:tcPr>
            <w:tcW w:w="1460" w:type="dxa"/>
            <w:vAlign w:val="bottom"/>
            <w:tcBorders>
              <w:bottom w:val="single" w:sz="8" w:color="888B8D"/>
            </w:tcBorders>
          </w:tcPr>
          <w:p>
            <w:pPr>
              <w:spacing w:after="0"/>
              <w:rPr>
                <w:sz w:val="18"/>
                <w:szCs w:val="18"/>
                <w:color w:val="auto"/>
              </w:rPr>
            </w:pPr>
          </w:p>
        </w:tc>
        <w:tc>
          <w:tcPr>
            <w:tcW w:w="1200" w:type="dxa"/>
            <w:vAlign w:val="bottom"/>
            <w:tcBorders>
              <w:bottom w:val="single" w:sz="8" w:color="888B8D"/>
            </w:tcBorders>
          </w:tcPr>
          <w:p>
            <w:pPr>
              <w:ind w:left="200"/>
              <w:spacing w:after="0"/>
              <w:rPr>
                <w:sz w:val="20"/>
                <w:szCs w:val="20"/>
                <w:color w:val="auto"/>
              </w:rPr>
            </w:pPr>
            <w:r>
              <w:rPr>
                <w:rFonts w:ascii="Arial" w:cs="Arial" w:eastAsia="Arial" w:hAnsi="Arial"/>
                <w:sz w:val="16"/>
                <w:szCs w:val="16"/>
                <w:b w:val="1"/>
                <w:bCs w:val="1"/>
                <w:color w:val="DC202E"/>
              </w:rPr>
              <w:t>PART II.</w:t>
            </w:r>
          </w:p>
        </w:tc>
        <w:tc>
          <w:tcPr>
            <w:tcW w:w="8580" w:type="dxa"/>
            <w:vAlign w:val="bottom"/>
            <w:tcBorders>
              <w:bottom w:val="single" w:sz="8" w:color="888B8D"/>
            </w:tcBorders>
          </w:tcPr>
          <w:p>
            <w:pPr>
              <w:spacing w:after="0"/>
              <w:rPr>
                <w:sz w:val="18"/>
                <w:szCs w:val="18"/>
                <w:color w:val="auto"/>
              </w:rPr>
            </w:pPr>
          </w:p>
        </w:tc>
      </w:tr>
      <w:tr>
        <w:trPr>
          <w:trHeight w:val="210"/>
        </w:trPr>
        <w:tc>
          <w:tcPr>
            <w:tcW w:w="1460" w:type="dxa"/>
            <w:vAlign w:val="bottom"/>
            <w:tcBorders>
              <w:bottom w:val="single" w:sz="8" w:color="888B8D"/>
            </w:tcBorders>
          </w:tcPr>
          <w:p>
            <w:pPr>
              <w:jc w:val="right"/>
              <w:ind w:right="99"/>
              <w:spacing w:after="0"/>
              <w:rPr>
                <w:sz w:val="20"/>
                <w:szCs w:val="20"/>
                <w:color w:val="auto"/>
              </w:rPr>
            </w:pPr>
            <w:r>
              <w:rPr>
                <w:rFonts w:ascii="Arial" w:cs="Arial" w:eastAsia="Arial" w:hAnsi="Arial"/>
                <w:sz w:val="16"/>
                <w:szCs w:val="16"/>
                <w:b w:val="1"/>
                <w:bCs w:val="1"/>
                <w:color w:val="D7282F"/>
              </w:rPr>
              <w:t>49</w:t>
            </w:r>
          </w:p>
        </w:tc>
        <w:tc>
          <w:tcPr>
            <w:tcW w:w="1200" w:type="dxa"/>
            <w:vAlign w:val="bottom"/>
            <w:tcBorders>
              <w:bottom w:val="single" w:sz="8" w:color="888B8D"/>
            </w:tcBorders>
          </w:tcPr>
          <w:p>
            <w:pPr>
              <w:ind w:left="200"/>
              <w:spacing w:after="0"/>
              <w:rPr>
                <w:sz w:val="20"/>
                <w:szCs w:val="20"/>
                <w:color w:val="auto"/>
              </w:rPr>
            </w:pPr>
            <w:r>
              <w:rPr>
                <w:rFonts w:ascii="Arial" w:cs="Arial" w:eastAsia="Arial" w:hAnsi="Arial"/>
                <w:sz w:val="16"/>
                <w:szCs w:val="16"/>
                <w:b w:val="1"/>
                <w:bCs w:val="1"/>
                <w:color w:val="auto"/>
              </w:rPr>
              <w:t>ITEM 5</w:t>
            </w:r>
          </w:p>
        </w:tc>
        <w:tc>
          <w:tcPr>
            <w:tcW w:w="8580" w:type="dxa"/>
            <w:vAlign w:val="bottom"/>
            <w:tcBorders>
              <w:bottom w:val="single" w:sz="8" w:color="888B8D"/>
            </w:tcBorders>
          </w:tcPr>
          <w:p>
            <w:pPr>
              <w:ind w:left="320"/>
              <w:spacing w:after="0"/>
              <w:rPr>
                <w:sz w:val="20"/>
                <w:szCs w:val="20"/>
                <w:color w:val="auto"/>
              </w:rPr>
            </w:pPr>
            <w:r>
              <w:rPr>
                <w:rFonts w:ascii="Arial" w:cs="Arial" w:eastAsia="Arial" w:hAnsi="Arial"/>
                <w:sz w:val="16"/>
                <w:szCs w:val="16"/>
                <w:color w:val="auto"/>
              </w:rPr>
              <w:t>Market for Registrant’s Common Equity, Related Stockholder Matters and Issuer Purchases of Equity Securities</w:t>
            </w:r>
          </w:p>
        </w:tc>
      </w:tr>
      <w:tr>
        <w:trPr>
          <w:trHeight w:val="216"/>
        </w:trPr>
        <w:tc>
          <w:tcPr>
            <w:tcW w:w="1460" w:type="dxa"/>
            <w:vAlign w:val="bottom"/>
          </w:tcPr>
          <w:p>
            <w:pPr>
              <w:spacing w:after="0"/>
              <w:rPr>
                <w:sz w:val="18"/>
                <w:szCs w:val="18"/>
                <w:color w:val="auto"/>
              </w:rPr>
            </w:pPr>
          </w:p>
        </w:tc>
        <w:tc>
          <w:tcPr>
            <w:tcW w:w="1200" w:type="dxa"/>
            <w:vAlign w:val="bottom"/>
          </w:tcPr>
          <w:p>
            <w:pPr>
              <w:ind w:left="200"/>
              <w:spacing w:after="0"/>
              <w:rPr>
                <w:sz w:val="20"/>
                <w:szCs w:val="20"/>
                <w:color w:val="auto"/>
              </w:rPr>
            </w:pPr>
            <w:r>
              <w:rPr>
                <w:rFonts w:ascii="Arial" w:cs="Arial" w:eastAsia="Arial" w:hAnsi="Arial"/>
                <w:sz w:val="16"/>
                <w:szCs w:val="16"/>
                <w:b w:val="1"/>
                <w:bCs w:val="1"/>
                <w:color w:val="auto"/>
              </w:rPr>
              <w:t>ITEM 6</w:t>
            </w:r>
          </w:p>
        </w:tc>
        <w:tc>
          <w:tcPr>
            <w:tcW w:w="8580" w:type="dxa"/>
            <w:vAlign w:val="bottom"/>
          </w:tcPr>
          <w:p>
            <w:pPr>
              <w:ind w:left="320"/>
              <w:spacing w:after="0"/>
              <w:rPr>
                <w:sz w:val="20"/>
                <w:szCs w:val="20"/>
                <w:color w:val="auto"/>
              </w:rPr>
            </w:pPr>
            <w:r>
              <w:rPr>
                <w:rFonts w:ascii="Arial" w:cs="Arial" w:eastAsia="Arial" w:hAnsi="Arial"/>
                <w:sz w:val="16"/>
                <w:szCs w:val="16"/>
                <w:color w:val="auto"/>
              </w:rPr>
              <w:t>[Reserved]</w:t>
            </w:r>
          </w:p>
        </w:tc>
      </w:tr>
      <w:tr>
        <w:trPr>
          <w:trHeight w:val="20"/>
        </w:trPr>
        <w:tc>
          <w:tcPr>
            <w:tcW w:w="1460" w:type="dxa"/>
            <w:vAlign w:val="bottom"/>
            <w:tcBorders>
              <w:bottom w:val="single" w:sz="8" w:color="888B8D"/>
            </w:tcBorders>
          </w:tcPr>
          <w:p>
            <w:pPr>
              <w:spacing w:after="0" w:line="20" w:lineRule="exact"/>
              <w:rPr>
                <w:sz w:val="1"/>
                <w:szCs w:val="1"/>
                <w:color w:val="auto"/>
              </w:rPr>
            </w:pPr>
          </w:p>
        </w:tc>
        <w:tc>
          <w:tcPr>
            <w:tcW w:w="1200" w:type="dxa"/>
            <w:vAlign w:val="bottom"/>
            <w:tcBorders>
              <w:bottom w:val="single" w:sz="8" w:color="888B8D"/>
            </w:tcBorders>
          </w:tcPr>
          <w:p>
            <w:pPr>
              <w:spacing w:after="0" w:line="20" w:lineRule="exact"/>
              <w:rPr>
                <w:sz w:val="1"/>
                <w:szCs w:val="1"/>
                <w:color w:val="auto"/>
              </w:rPr>
            </w:pPr>
          </w:p>
        </w:tc>
        <w:tc>
          <w:tcPr>
            <w:tcW w:w="8580" w:type="dxa"/>
            <w:vAlign w:val="bottom"/>
            <w:tcBorders>
              <w:bottom w:val="single" w:sz="8" w:color="888B8D"/>
            </w:tcBorders>
          </w:tcPr>
          <w:p>
            <w:pPr>
              <w:spacing w:after="0" w:line="20" w:lineRule="exact"/>
              <w:rPr>
                <w:sz w:val="1"/>
                <w:szCs w:val="1"/>
                <w:color w:val="auto"/>
              </w:rPr>
            </w:pPr>
          </w:p>
        </w:tc>
      </w:tr>
      <w:tr>
        <w:trPr>
          <w:trHeight w:val="156"/>
        </w:trPr>
        <w:tc>
          <w:tcPr>
            <w:tcW w:w="1460" w:type="dxa"/>
            <w:vAlign w:val="bottom"/>
          </w:tcPr>
          <w:p>
            <w:pPr>
              <w:jc w:val="right"/>
              <w:ind w:right="99"/>
              <w:spacing w:after="0" w:line="155" w:lineRule="exact"/>
              <w:rPr>
                <w:sz w:val="20"/>
                <w:szCs w:val="20"/>
                <w:color w:val="auto"/>
              </w:rPr>
            </w:pPr>
            <w:r>
              <w:rPr>
                <w:rFonts w:ascii="Arial" w:cs="Arial" w:eastAsia="Arial" w:hAnsi="Arial"/>
                <w:sz w:val="16"/>
                <w:szCs w:val="16"/>
                <w:b w:val="1"/>
                <w:bCs w:val="1"/>
                <w:color w:val="D7282F"/>
              </w:rPr>
              <w:t>15 - 27,</w:t>
            </w:r>
          </w:p>
        </w:tc>
        <w:tc>
          <w:tcPr>
            <w:tcW w:w="1200" w:type="dxa"/>
            <w:vAlign w:val="bottom"/>
          </w:tcPr>
          <w:p>
            <w:pPr>
              <w:ind w:left="200"/>
              <w:spacing w:after="0" w:line="155" w:lineRule="exact"/>
              <w:rPr>
                <w:sz w:val="20"/>
                <w:szCs w:val="20"/>
                <w:color w:val="auto"/>
              </w:rPr>
            </w:pPr>
            <w:r>
              <w:rPr>
                <w:rFonts w:ascii="Arial" w:cs="Arial" w:eastAsia="Arial" w:hAnsi="Arial"/>
                <w:sz w:val="16"/>
                <w:szCs w:val="16"/>
                <w:b w:val="1"/>
                <w:bCs w:val="1"/>
                <w:color w:val="auto"/>
              </w:rPr>
              <w:t>ITEM 7</w:t>
            </w:r>
          </w:p>
        </w:tc>
        <w:tc>
          <w:tcPr>
            <w:tcW w:w="8580" w:type="dxa"/>
            <w:vAlign w:val="bottom"/>
          </w:tcPr>
          <w:p>
            <w:pPr>
              <w:ind w:left="320"/>
              <w:spacing w:after="0" w:line="155" w:lineRule="exact"/>
              <w:rPr>
                <w:sz w:val="20"/>
                <w:szCs w:val="20"/>
                <w:color w:val="auto"/>
              </w:rPr>
            </w:pPr>
            <w:r>
              <w:rPr>
                <w:rFonts w:ascii="Arial" w:cs="Arial" w:eastAsia="Arial" w:hAnsi="Arial"/>
                <w:sz w:val="16"/>
                <w:szCs w:val="16"/>
                <w:color w:val="auto"/>
              </w:rPr>
              <w:t>Management’s Discussion and Analysis of Financial Condition and Results of Operations</w:t>
            </w:r>
          </w:p>
        </w:tc>
      </w:tr>
      <w:tr>
        <w:trPr>
          <w:trHeight w:val="216"/>
        </w:trPr>
        <w:tc>
          <w:tcPr>
            <w:tcW w:w="1460" w:type="dxa"/>
            <w:vAlign w:val="bottom"/>
            <w:tcBorders>
              <w:bottom w:val="single" w:sz="8" w:color="888B8D"/>
            </w:tcBorders>
          </w:tcPr>
          <w:p>
            <w:pPr>
              <w:jc w:val="right"/>
              <w:ind w:right="99"/>
              <w:spacing w:after="0"/>
              <w:rPr>
                <w:sz w:val="20"/>
                <w:szCs w:val="20"/>
                <w:color w:val="auto"/>
              </w:rPr>
            </w:pPr>
            <w:r>
              <w:rPr>
                <w:rFonts w:ascii="Arial" w:cs="Arial" w:eastAsia="Arial" w:hAnsi="Arial"/>
                <w:sz w:val="16"/>
                <w:szCs w:val="16"/>
                <w:b w:val="1"/>
                <w:bCs w:val="1"/>
                <w:color w:val="D7282F"/>
              </w:rPr>
              <w:t>37 - 45</w:t>
            </w:r>
          </w:p>
        </w:tc>
        <w:tc>
          <w:tcPr>
            <w:tcW w:w="1200" w:type="dxa"/>
            <w:vAlign w:val="bottom"/>
            <w:tcBorders>
              <w:bottom w:val="single" w:sz="8" w:color="888B8D"/>
            </w:tcBorders>
          </w:tcPr>
          <w:p>
            <w:pPr>
              <w:spacing w:after="0"/>
              <w:rPr>
                <w:sz w:val="18"/>
                <w:szCs w:val="18"/>
                <w:color w:val="auto"/>
              </w:rPr>
            </w:pPr>
          </w:p>
        </w:tc>
        <w:tc>
          <w:tcPr>
            <w:tcW w:w="8580" w:type="dxa"/>
            <w:vAlign w:val="bottom"/>
            <w:tcBorders>
              <w:bottom w:val="single" w:sz="8" w:color="888B8D"/>
            </w:tcBorders>
          </w:tcPr>
          <w:p>
            <w:pPr>
              <w:spacing w:after="0"/>
              <w:rPr>
                <w:sz w:val="18"/>
                <w:szCs w:val="18"/>
                <w:color w:val="auto"/>
              </w:rPr>
            </w:pPr>
          </w:p>
        </w:tc>
      </w:tr>
      <w:tr>
        <w:trPr>
          <w:trHeight w:val="209"/>
        </w:trPr>
        <w:tc>
          <w:tcPr>
            <w:tcW w:w="1460" w:type="dxa"/>
            <w:vAlign w:val="bottom"/>
            <w:tcBorders>
              <w:bottom w:val="single" w:sz="8" w:color="888B8D"/>
            </w:tcBorders>
          </w:tcPr>
          <w:p>
            <w:pPr>
              <w:jc w:val="right"/>
              <w:ind w:right="99"/>
              <w:spacing w:after="0"/>
              <w:rPr>
                <w:sz w:val="20"/>
                <w:szCs w:val="20"/>
                <w:color w:val="auto"/>
              </w:rPr>
            </w:pPr>
            <w:r>
              <w:rPr>
                <w:rFonts w:ascii="Arial" w:cs="Arial" w:eastAsia="Arial" w:hAnsi="Arial"/>
                <w:sz w:val="16"/>
                <w:szCs w:val="16"/>
                <w:b w:val="1"/>
                <w:bCs w:val="1"/>
                <w:color w:val="D7282F"/>
              </w:rPr>
              <w:t>37</w:t>
            </w:r>
          </w:p>
        </w:tc>
        <w:tc>
          <w:tcPr>
            <w:tcW w:w="1200" w:type="dxa"/>
            <w:vAlign w:val="bottom"/>
            <w:tcBorders>
              <w:bottom w:val="single" w:sz="8" w:color="888B8D"/>
            </w:tcBorders>
          </w:tcPr>
          <w:p>
            <w:pPr>
              <w:ind w:left="200"/>
              <w:spacing w:after="0"/>
              <w:rPr>
                <w:sz w:val="20"/>
                <w:szCs w:val="20"/>
                <w:color w:val="auto"/>
              </w:rPr>
            </w:pPr>
            <w:r>
              <w:rPr>
                <w:rFonts w:ascii="Arial" w:cs="Arial" w:eastAsia="Arial" w:hAnsi="Arial"/>
                <w:sz w:val="16"/>
                <w:szCs w:val="16"/>
                <w:b w:val="1"/>
                <w:bCs w:val="1"/>
                <w:color w:val="auto"/>
              </w:rPr>
              <w:t>ITEM 7A.</w:t>
            </w:r>
          </w:p>
        </w:tc>
        <w:tc>
          <w:tcPr>
            <w:tcW w:w="8580" w:type="dxa"/>
            <w:vAlign w:val="bottom"/>
            <w:tcBorders>
              <w:bottom w:val="single" w:sz="8" w:color="888B8D"/>
            </w:tcBorders>
          </w:tcPr>
          <w:p>
            <w:pPr>
              <w:ind w:left="320"/>
              <w:spacing w:after="0"/>
              <w:rPr>
                <w:sz w:val="20"/>
                <w:szCs w:val="20"/>
                <w:color w:val="auto"/>
              </w:rPr>
            </w:pPr>
            <w:r>
              <w:rPr>
                <w:rFonts w:ascii="Arial" w:cs="Arial" w:eastAsia="Arial" w:hAnsi="Arial"/>
                <w:sz w:val="16"/>
                <w:szCs w:val="16"/>
                <w:color w:val="auto"/>
              </w:rPr>
              <w:t>Quantitative and Qualitative Disclosures about Market Risks</w:t>
            </w:r>
          </w:p>
        </w:tc>
      </w:tr>
      <w:tr>
        <w:trPr>
          <w:trHeight w:val="210"/>
        </w:trPr>
        <w:tc>
          <w:tcPr>
            <w:tcW w:w="1460" w:type="dxa"/>
            <w:vAlign w:val="bottom"/>
            <w:tcBorders>
              <w:bottom w:val="single" w:sz="8" w:color="888B8D"/>
            </w:tcBorders>
          </w:tcPr>
          <w:p>
            <w:pPr>
              <w:jc w:val="right"/>
              <w:ind w:right="99"/>
              <w:spacing w:after="0"/>
              <w:rPr>
                <w:sz w:val="20"/>
                <w:szCs w:val="20"/>
                <w:color w:val="auto"/>
              </w:rPr>
            </w:pPr>
            <w:r>
              <w:rPr>
                <w:rFonts w:ascii="Arial" w:cs="Arial" w:eastAsia="Arial" w:hAnsi="Arial"/>
                <w:sz w:val="16"/>
                <w:szCs w:val="16"/>
                <w:b w:val="1"/>
                <w:bCs w:val="1"/>
                <w:color w:val="D7282F"/>
              </w:rPr>
              <w:t>51</w:t>
            </w:r>
          </w:p>
        </w:tc>
        <w:tc>
          <w:tcPr>
            <w:tcW w:w="1200" w:type="dxa"/>
            <w:vAlign w:val="bottom"/>
            <w:tcBorders>
              <w:bottom w:val="single" w:sz="8" w:color="888B8D"/>
            </w:tcBorders>
          </w:tcPr>
          <w:p>
            <w:pPr>
              <w:ind w:left="200"/>
              <w:spacing w:after="0"/>
              <w:rPr>
                <w:sz w:val="20"/>
                <w:szCs w:val="20"/>
                <w:color w:val="auto"/>
              </w:rPr>
            </w:pPr>
            <w:r>
              <w:rPr>
                <w:rFonts w:ascii="Arial" w:cs="Arial" w:eastAsia="Arial" w:hAnsi="Arial"/>
                <w:sz w:val="16"/>
                <w:szCs w:val="16"/>
                <w:b w:val="1"/>
                <w:bCs w:val="1"/>
                <w:color w:val="auto"/>
              </w:rPr>
              <w:t>ITEM 8</w:t>
            </w:r>
          </w:p>
        </w:tc>
        <w:tc>
          <w:tcPr>
            <w:tcW w:w="8580" w:type="dxa"/>
            <w:vAlign w:val="bottom"/>
            <w:tcBorders>
              <w:bottom w:val="single" w:sz="8" w:color="888B8D"/>
            </w:tcBorders>
          </w:tcPr>
          <w:p>
            <w:pPr>
              <w:ind w:left="320"/>
              <w:spacing w:after="0"/>
              <w:rPr>
                <w:sz w:val="20"/>
                <w:szCs w:val="20"/>
                <w:color w:val="auto"/>
              </w:rPr>
            </w:pPr>
            <w:r>
              <w:rPr>
                <w:rFonts w:ascii="Arial" w:cs="Arial" w:eastAsia="Arial" w:hAnsi="Arial"/>
                <w:sz w:val="16"/>
                <w:szCs w:val="16"/>
                <w:color w:val="auto"/>
              </w:rPr>
              <w:t>Financial Statements and Supplementary Data</w:t>
            </w:r>
          </w:p>
        </w:tc>
      </w:tr>
      <w:tr>
        <w:trPr>
          <w:trHeight w:val="209"/>
        </w:trPr>
        <w:tc>
          <w:tcPr>
            <w:tcW w:w="1460" w:type="dxa"/>
            <w:vAlign w:val="bottom"/>
            <w:tcBorders>
              <w:bottom w:val="single" w:sz="8" w:color="888B8D"/>
            </w:tcBorders>
          </w:tcPr>
          <w:p>
            <w:pPr>
              <w:jc w:val="right"/>
              <w:ind w:right="99"/>
              <w:spacing w:after="0"/>
              <w:rPr>
                <w:sz w:val="20"/>
                <w:szCs w:val="20"/>
                <w:color w:val="auto"/>
              </w:rPr>
            </w:pPr>
            <w:r>
              <w:rPr>
                <w:rFonts w:ascii="Arial" w:cs="Arial" w:eastAsia="Arial" w:hAnsi="Arial"/>
                <w:sz w:val="16"/>
                <w:szCs w:val="16"/>
                <w:b w:val="1"/>
                <w:bCs w:val="1"/>
                <w:color w:val="D7282F"/>
              </w:rPr>
              <w:t>116</w:t>
            </w:r>
          </w:p>
        </w:tc>
        <w:tc>
          <w:tcPr>
            <w:tcW w:w="1200" w:type="dxa"/>
            <w:vAlign w:val="bottom"/>
            <w:tcBorders>
              <w:bottom w:val="single" w:sz="8" w:color="888B8D"/>
            </w:tcBorders>
          </w:tcPr>
          <w:p>
            <w:pPr>
              <w:ind w:left="200"/>
              <w:spacing w:after="0"/>
              <w:rPr>
                <w:sz w:val="20"/>
                <w:szCs w:val="20"/>
                <w:color w:val="auto"/>
              </w:rPr>
            </w:pPr>
            <w:r>
              <w:rPr>
                <w:rFonts w:ascii="Arial" w:cs="Arial" w:eastAsia="Arial" w:hAnsi="Arial"/>
                <w:sz w:val="16"/>
                <w:szCs w:val="16"/>
                <w:b w:val="1"/>
                <w:bCs w:val="1"/>
                <w:color w:val="auto"/>
              </w:rPr>
              <w:t>ITEM 9</w:t>
            </w:r>
          </w:p>
        </w:tc>
        <w:tc>
          <w:tcPr>
            <w:tcW w:w="8580" w:type="dxa"/>
            <w:vAlign w:val="bottom"/>
            <w:tcBorders>
              <w:bottom w:val="single" w:sz="8" w:color="888B8D"/>
            </w:tcBorders>
          </w:tcPr>
          <w:p>
            <w:pPr>
              <w:ind w:left="320"/>
              <w:spacing w:after="0"/>
              <w:rPr>
                <w:sz w:val="20"/>
                <w:szCs w:val="20"/>
                <w:color w:val="auto"/>
              </w:rPr>
            </w:pPr>
            <w:r>
              <w:rPr>
                <w:rFonts w:ascii="Arial" w:cs="Arial" w:eastAsia="Arial" w:hAnsi="Arial"/>
                <w:sz w:val="16"/>
                <w:szCs w:val="16"/>
                <w:color w:val="auto"/>
              </w:rPr>
              <w:t>Changes in and Disagreements with Accountants on Accounting and Financial Disclosure</w:t>
            </w:r>
          </w:p>
        </w:tc>
      </w:tr>
      <w:tr>
        <w:trPr>
          <w:trHeight w:val="210"/>
        </w:trPr>
        <w:tc>
          <w:tcPr>
            <w:tcW w:w="1460" w:type="dxa"/>
            <w:vAlign w:val="bottom"/>
            <w:tcBorders>
              <w:bottom w:val="single" w:sz="8" w:color="888B8D"/>
            </w:tcBorders>
          </w:tcPr>
          <w:p>
            <w:pPr>
              <w:jc w:val="right"/>
              <w:ind w:right="99"/>
              <w:spacing w:after="0"/>
              <w:rPr>
                <w:sz w:val="20"/>
                <w:szCs w:val="20"/>
                <w:color w:val="auto"/>
              </w:rPr>
            </w:pPr>
            <w:r>
              <w:rPr>
                <w:rFonts w:ascii="Arial" w:cs="Arial" w:eastAsia="Arial" w:hAnsi="Arial"/>
                <w:sz w:val="16"/>
                <w:szCs w:val="16"/>
                <w:b w:val="1"/>
                <w:bCs w:val="1"/>
                <w:color w:val="D7282F"/>
              </w:rPr>
              <w:t>116</w:t>
            </w:r>
          </w:p>
        </w:tc>
        <w:tc>
          <w:tcPr>
            <w:tcW w:w="1200" w:type="dxa"/>
            <w:vAlign w:val="bottom"/>
            <w:tcBorders>
              <w:bottom w:val="single" w:sz="8" w:color="888B8D"/>
            </w:tcBorders>
          </w:tcPr>
          <w:p>
            <w:pPr>
              <w:ind w:left="200"/>
              <w:spacing w:after="0"/>
              <w:rPr>
                <w:sz w:val="20"/>
                <w:szCs w:val="20"/>
                <w:color w:val="auto"/>
              </w:rPr>
            </w:pPr>
            <w:r>
              <w:rPr>
                <w:rFonts w:ascii="Arial" w:cs="Arial" w:eastAsia="Arial" w:hAnsi="Arial"/>
                <w:sz w:val="16"/>
                <w:szCs w:val="16"/>
                <w:b w:val="1"/>
                <w:bCs w:val="1"/>
                <w:color w:val="auto"/>
              </w:rPr>
              <w:t>ITEM 9A.</w:t>
            </w:r>
          </w:p>
        </w:tc>
        <w:tc>
          <w:tcPr>
            <w:tcW w:w="8580" w:type="dxa"/>
            <w:vAlign w:val="bottom"/>
            <w:tcBorders>
              <w:bottom w:val="single" w:sz="8" w:color="888B8D"/>
            </w:tcBorders>
          </w:tcPr>
          <w:p>
            <w:pPr>
              <w:ind w:left="320"/>
              <w:spacing w:after="0"/>
              <w:rPr>
                <w:sz w:val="20"/>
                <w:szCs w:val="20"/>
                <w:color w:val="auto"/>
              </w:rPr>
            </w:pPr>
            <w:r>
              <w:rPr>
                <w:rFonts w:ascii="Arial" w:cs="Arial" w:eastAsia="Arial" w:hAnsi="Arial"/>
                <w:sz w:val="16"/>
                <w:szCs w:val="16"/>
                <w:color w:val="auto"/>
              </w:rPr>
              <w:t>Controls and Procedures</w:t>
            </w:r>
          </w:p>
        </w:tc>
      </w:tr>
      <w:tr>
        <w:trPr>
          <w:trHeight w:val="209"/>
        </w:trPr>
        <w:tc>
          <w:tcPr>
            <w:tcW w:w="1460" w:type="dxa"/>
            <w:vAlign w:val="bottom"/>
            <w:tcBorders>
              <w:bottom w:val="single" w:sz="8" w:color="888B8D"/>
            </w:tcBorders>
          </w:tcPr>
          <w:p>
            <w:pPr>
              <w:jc w:val="right"/>
              <w:ind w:right="99"/>
              <w:spacing w:after="0"/>
              <w:rPr>
                <w:sz w:val="20"/>
                <w:szCs w:val="20"/>
                <w:color w:val="auto"/>
              </w:rPr>
            </w:pPr>
            <w:r>
              <w:rPr>
                <w:rFonts w:ascii="Arial" w:cs="Arial" w:eastAsia="Arial" w:hAnsi="Arial"/>
                <w:sz w:val="16"/>
                <w:szCs w:val="16"/>
                <w:b w:val="1"/>
                <w:bCs w:val="1"/>
                <w:color w:val="D7282F"/>
              </w:rPr>
              <w:t>117</w:t>
            </w:r>
          </w:p>
        </w:tc>
        <w:tc>
          <w:tcPr>
            <w:tcW w:w="1200" w:type="dxa"/>
            <w:vAlign w:val="bottom"/>
            <w:tcBorders>
              <w:bottom w:val="single" w:sz="8" w:color="888B8D"/>
            </w:tcBorders>
          </w:tcPr>
          <w:p>
            <w:pPr>
              <w:ind w:left="200"/>
              <w:spacing w:after="0"/>
              <w:rPr>
                <w:sz w:val="20"/>
                <w:szCs w:val="20"/>
                <w:color w:val="auto"/>
              </w:rPr>
            </w:pPr>
            <w:r>
              <w:rPr>
                <w:rFonts w:ascii="Arial" w:cs="Arial" w:eastAsia="Arial" w:hAnsi="Arial"/>
                <w:sz w:val="16"/>
                <w:szCs w:val="16"/>
                <w:b w:val="1"/>
                <w:bCs w:val="1"/>
                <w:color w:val="auto"/>
              </w:rPr>
              <w:t>ITEM 9B.</w:t>
            </w:r>
          </w:p>
        </w:tc>
        <w:tc>
          <w:tcPr>
            <w:tcW w:w="8580" w:type="dxa"/>
            <w:vAlign w:val="bottom"/>
            <w:tcBorders>
              <w:bottom w:val="single" w:sz="8" w:color="888B8D"/>
            </w:tcBorders>
          </w:tcPr>
          <w:p>
            <w:pPr>
              <w:ind w:left="320"/>
              <w:spacing w:after="0"/>
              <w:rPr>
                <w:sz w:val="20"/>
                <w:szCs w:val="20"/>
                <w:color w:val="auto"/>
              </w:rPr>
            </w:pPr>
            <w:r>
              <w:rPr>
                <w:rFonts w:ascii="Arial" w:cs="Arial" w:eastAsia="Arial" w:hAnsi="Arial"/>
                <w:sz w:val="16"/>
                <w:szCs w:val="16"/>
                <w:color w:val="auto"/>
              </w:rPr>
              <w:t>Other Information</w:t>
            </w:r>
          </w:p>
        </w:tc>
      </w:tr>
      <w:tr>
        <w:trPr>
          <w:trHeight w:val="210"/>
        </w:trPr>
        <w:tc>
          <w:tcPr>
            <w:tcW w:w="1460" w:type="dxa"/>
            <w:vAlign w:val="bottom"/>
            <w:tcBorders>
              <w:bottom w:val="single" w:sz="8" w:color="888B8D"/>
            </w:tcBorders>
          </w:tcPr>
          <w:p>
            <w:pPr>
              <w:jc w:val="right"/>
              <w:ind w:right="99"/>
              <w:spacing w:after="0"/>
              <w:rPr>
                <w:sz w:val="20"/>
                <w:szCs w:val="20"/>
                <w:color w:val="auto"/>
              </w:rPr>
            </w:pPr>
            <w:r>
              <w:rPr>
                <w:rFonts w:ascii="Arial" w:cs="Arial" w:eastAsia="Arial" w:hAnsi="Arial"/>
                <w:sz w:val="16"/>
                <w:szCs w:val="16"/>
                <w:b w:val="1"/>
                <w:bCs w:val="1"/>
                <w:color w:val="D7282F"/>
              </w:rPr>
              <w:t>117</w:t>
            </w:r>
          </w:p>
        </w:tc>
        <w:tc>
          <w:tcPr>
            <w:tcW w:w="1200" w:type="dxa"/>
            <w:vAlign w:val="bottom"/>
            <w:tcBorders>
              <w:bottom w:val="single" w:sz="8" w:color="888B8D"/>
            </w:tcBorders>
          </w:tcPr>
          <w:p>
            <w:pPr>
              <w:ind w:left="200"/>
              <w:spacing w:after="0"/>
              <w:rPr>
                <w:sz w:val="20"/>
                <w:szCs w:val="20"/>
                <w:color w:val="auto"/>
              </w:rPr>
            </w:pPr>
            <w:r>
              <w:rPr>
                <w:rFonts w:ascii="Arial" w:cs="Arial" w:eastAsia="Arial" w:hAnsi="Arial"/>
                <w:sz w:val="16"/>
                <w:szCs w:val="16"/>
                <w:b w:val="1"/>
                <w:bCs w:val="1"/>
                <w:color w:val="auto"/>
              </w:rPr>
              <w:t>ITEM 9C.</w:t>
            </w:r>
          </w:p>
        </w:tc>
        <w:tc>
          <w:tcPr>
            <w:tcW w:w="8580" w:type="dxa"/>
            <w:vAlign w:val="bottom"/>
            <w:tcBorders>
              <w:bottom w:val="single" w:sz="8" w:color="888B8D"/>
            </w:tcBorders>
          </w:tcPr>
          <w:p>
            <w:pPr>
              <w:ind w:left="320"/>
              <w:spacing w:after="0"/>
              <w:rPr>
                <w:sz w:val="20"/>
                <w:szCs w:val="20"/>
                <w:color w:val="auto"/>
              </w:rPr>
            </w:pPr>
            <w:r>
              <w:rPr>
                <w:rFonts w:ascii="Arial" w:cs="Arial" w:eastAsia="Arial" w:hAnsi="Arial"/>
                <w:sz w:val="16"/>
                <w:szCs w:val="16"/>
                <w:color w:val="auto"/>
              </w:rPr>
              <w:t>Disclosure Regarding Foreign Jurisdictions that Prevent Inspections</w:t>
            </w:r>
          </w:p>
        </w:tc>
      </w:tr>
      <w:tr>
        <w:trPr>
          <w:trHeight w:val="236"/>
        </w:trPr>
        <w:tc>
          <w:tcPr>
            <w:tcW w:w="1460" w:type="dxa"/>
            <w:vAlign w:val="bottom"/>
            <w:tcBorders>
              <w:bottom w:val="single" w:sz="8" w:color="888B8D"/>
            </w:tcBorders>
          </w:tcPr>
          <w:p>
            <w:pPr>
              <w:spacing w:after="0"/>
              <w:rPr>
                <w:sz w:val="20"/>
                <w:szCs w:val="20"/>
                <w:color w:val="auto"/>
              </w:rPr>
            </w:pPr>
          </w:p>
        </w:tc>
        <w:tc>
          <w:tcPr>
            <w:tcW w:w="1200" w:type="dxa"/>
            <w:vAlign w:val="bottom"/>
            <w:tcBorders>
              <w:bottom w:val="single" w:sz="8" w:color="888B8D"/>
            </w:tcBorders>
          </w:tcPr>
          <w:p>
            <w:pPr>
              <w:spacing w:after="0"/>
              <w:rPr>
                <w:sz w:val="20"/>
                <w:szCs w:val="20"/>
                <w:color w:val="auto"/>
              </w:rPr>
            </w:pPr>
          </w:p>
        </w:tc>
        <w:tc>
          <w:tcPr>
            <w:tcW w:w="8580" w:type="dxa"/>
            <w:vAlign w:val="bottom"/>
            <w:tcBorders>
              <w:bottom w:val="single" w:sz="8" w:color="888B8D"/>
            </w:tcBorders>
          </w:tcPr>
          <w:p>
            <w:pPr>
              <w:spacing w:after="0"/>
              <w:rPr>
                <w:sz w:val="20"/>
                <w:szCs w:val="20"/>
                <w:color w:val="auto"/>
              </w:rPr>
            </w:pPr>
          </w:p>
        </w:tc>
      </w:tr>
      <w:tr>
        <w:trPr>
          <w:trHeight w:val="210"/>
        </w:trPr>
        <w:tc>
          <w:tcPr>
            <w:tcW w:w="1460" w:type="dxa"/>
            <w:vAlign w:val="bottom"/>
            <w:tcBorders>
              <w:bottom w:val="single" w:sz="8" w:color="888B8D"/>
            </w:tcBorders>
          </w:tcPr>
          <w:p>
            <w:pPr>
              <w:spacing w:after="0"/>
              <w:rPr>
                <w:sz w:val="18"/>
                <w:szCs w:val="18"/>
                <w:color w:val="auto"/>
              </w:rPr>
            </w:pPr>
          </w:p>
        </w:tc>
        <w:tc>
          <w:tcPr>
            <w:tcW w:w="1200" w:type="dxa"/>
            <w:vAlign w:val="bottom"/>
            <w:tcBorders>
              <w:bottom w:val="single" w:sz="8" w:color="888B8D"/>
            </w:tcBorders>
          </w:tcPr>
          <w:p>
            <w:pPr>
              <w:ind w:left="200"/>
              <w:spacing w:after="0"/>
              <w:rPr>
                <w:sz w:val="20"/>
                <w:szCs w:val="20"/>
                <w:color w:val="auto"/>
              </w:rPr>
            </w:pPr>
            <w:r>
              <w:rPr>
                <w:rFonts w:ascii="Arial" w:cs="Arial" w:eastAsia="Arial" w:hAnsi="Arial"/>
                <w:sz w:val="16"/>
                <w:szCs w:val="16"/>
                <w:b w:val="1"/>
                <w:bCs w:val="1"/>
                <w:color w:val="DC202E"/>
              </w:rPr>
              <w:t>Part III.</w:t>
            </w:r>
          </w:p>
        </w:tc>
        <w:tc>
          <w:tcPr>
            <w:tcW w:w="8580" w:type="dxa"/>
            <w:vAlign w:val="bottom"/>
            <w:tcBorders>
              <w:bottom w:val="single" w:sz="8" w:color="888B8D"/>
            </w:tcBorders>
          </w:tcPr>
          <w:p>
            <w:pPr>
              <w:spacing w:after="0"/>
              <w:rPr>
                <w:sz w:val="18"/>
                <w:szCs w:val="18"/>
                <w:color w:val="auto"/>
              </w:rPr>
            </w:pPr>
          </w:p>
        </w:tc>
      </w:tr>
      <w:tr>
        <w:trPr>
          <w:trHeight w:val="210"/>
        </w:trPr>
        <w:tc>
          <w:tcPr>
            <w:tcW w:w="1460" w:type="dxa"/>
            <w:vAlign w:val="bottom"/>
            <w:tcBorders>
              <w:bottom w:val="single" w:sz="8" w:color="888B8D"/>
            </w:tcBorders>
          </w:tcPr>
          <w:p>
            <w:pPr>
              <w:jc w:val="right"/>
              <w:ind w:right="99"/>
              <w:spacing w:after="0"/>
              <w:rPr>
                <w:sz w:val="20"/>
                <w:szCs w:val="20"/>
                <w:color w:val="auto"/>
              </w:rPr>
            </w:pPr>
            <w:r>
              <w:rPr>
                <w:rFonts w:ascii="Arial" w:cs="Arial" w:eastAsia="Arial" w:hAnsi="Arial"/>
                <w:sz w:val="16"/>
                <w:szCs w:val="16"/>
                <w:b w:val="1"/>
                <w:bCs w:val="1"/>
                <w:color w:val="D7282F"/>
              </w:rPr>
              <w:t>117</w:t>
            </w:r>
          </w:p>
        </w:tc>
        <w:tc>
          <w:tcPr>
            <w:tcW w:w="1200" w:type="dxa"/>
            <w:vAlign w:val="bottom"/>
            <w:tcBorders>
              <w:bottom w:val="single" w:sz="8" w:color="888B8D"/>
            </w:tcBorders>
          </w:tcPr>
          <w:p>
            <w:pPr>
              <w:ind w:left="200"/>
              <w:spacing w:after="0"/>
              <w:rPr>
                <w:sz w:val="20"/>
                <w:szCs w:val="20"/>
                <w:color w:val="auto"/>
              </w:rPr>
            </w:pPr>
            <w:r>
              <w:rPr>
                <w:rFonts w:ascii="Arial" w:cs="Arial" w:eastAsia="Arial" w:hAnsi="Arial"/>
                <w:sz w:val="16"/>
                <w:szCs w:val="16"/>
                <w:b w:val="1"/>
                <w:bCs w:val="1"/>
                <w:color w:val="auto"/>
              </w:rPr>
              <w:t>ITEM 10</w:t>
            </w:r>
          </w:p>
        </w:tc>
        <w:tc>
          <w:tcPr>
            <w:tcW w:w="8580" w:type="dxa"/>
            <w:vAlign w:val="bottom"/>
            <w:tcBorders>
              <w:bottom w:val="single" w:sz="8" w:color="888B8D"/>
            </w:tcBorders>
          </w:tcPr>
          <w:p>
            <w:pPr>
              <w:ind w:left="320"/>
              <w:spacing w:after="0"/>
              <w:rPr>
                <w:sz w:val="20"/>
                <w:szCs w:val="20"/>
                <w:color w:val="auto"/>
              </w:rPr>
            </w:pPr>
            <w:r>
              <w:rPr>
                <w:rFonts w:ascii="Arial" w:cs="Arial" w:eastAsia="Arial" w:hAnsi="Arial"/>
                <w:sz w:val="16"/>
                <w:szCs w:val="16"/>
                <w:color w:val="auto"/>
              </w:rPr>
              <w:t>Directors, Executive Officers, and Corporate Governance</w:t>
            </w:r>
          </w:p>
        </w:tc>
      </w:tr>
      <w:tr>
        <w:trPr>
          <w:trHeight w:val="209"/>
        </w:trPr>
        <w:tc>
          <w:tcPr>
            <w:tcW w:w="1460" w:type="dxa"/>
            <w:vAlign w:val="bottom"/>
            <w:tcBorders>
              <w:bottom w:val="single" w:sz="8" w:color="888B8D"/>
            </w:tcBorders>
          </w:tcPr>
          <w:p>
            <w:pPr>
              <w:jc w:val="right"/>
              <w:ind w:right="99"/>
              <w:spacing w:after="0"/>
              <w:rPr>
                <w:sz w:val="20"/>
                <w:szCs w:val="20"/>
                <w:color w:val="auto"/>
              </w:rPr>
            </w:pPr>
            <w:r>
              <w:rPr>
                <w:rFonts w:ascii="Arial" w:cs="Arial" w:eastAsia="Arial" w:hAnsi="Arial"/>
                <w:sz w:val="16"/>
                <w:szCs w:val="16"/>
                <w:b w:val="1"/>
                <w:bCs w:val="1"/>
                <w:color w:val="D7282F"/>
              </w:rPr>
              <w:t>117</w:t>
            </w:r>
          </w:p>
        </w:tc>
        <w:tc>
          <w:tcPr>
            <w:tcW w:w="1200" w:type="dxa"/>
            <w:vAlign w:val="bottom"/>
            <w:tcBorders>
              <w:bottom w:val="single" w:sz="8" w:color="888B8D"/>
            </w:tcBorders>
          </w:tcPr>
          <w:p>
            <w:pPr>
              <w:ind w:left="200"/>
              <w:spacing w:after="0"/>
              <w:rPr>
                <w:sz w:val="20"/>
                <w:szCs w:val="20"/>
                <w:color w:val="auto"/>
              </w:rPr>
            </w:pPr>
            <w:r>
              <w:rPr>
                <w:rFonts w:ascii="Arial" w:cs="Arial" w:eastAsia="Arial" w:hAnsi="Arial"/>
                <w:sz w:val="16"/>
                <w:szCs w:val="16"/>
                <w:b w:val="1"/>
                <w:bCs w:val="1"/>
                <w:color w:val="auto"/>
              </w:rPr>
              <w:t>ITEM 11</w:t>
            </w:r>
          </w:p>
        </w:tc>
        <w:tc>
          <w:tcPr>
            <w:tcW w:w="8580" w:type="dxa"/>
            <w:vAlign w:val="bottom"/>
            <w:tcBorders>
              <w:bottom w:val="single" w:sz="8" w:color="888B8D"/>
            </w:tcBorders>
          </w:tcPr>
          <w:p>
            <w:pPr>
              <w:ind w:left="320"/>
              <w:spacing w:after="0"/>
              <w:rPr>
                <w:sz w:val="20"/>
                <w:szCs w:val="20"/>
                <w:color w:val="auto"/>
              </w:rPr>
            </w:pPr>
            <w:r>
              <w:rPr>
                <w:rFonts w:ascii="Arial" w:cs="Arial" w:eastAsia="Arial" w:hAnsi="Arial"/>
                <w:sz w:val="16"/>
                <w:szCs w:val="16"/>
                <w:color w:val="auto"/>
              </w:rPr>
              <w:t>Executive Compensation</w:t>
            </w:r>
          </w:p>
        </w:tc>
      </w:tr>
      <w:tr>
        <w:trPr>
          <w:trHeight w:val="210"/>
        </w:trPr>
        <w:tc>
          <w:tcPr>
            <w:tcW w:w="1460" w:type="dxa"/>
            <w:vAlign w:val="bottom"/>
            <w:tcBorders>
              <w:bottom w:val="single" w:sz="8" w:color="888B8D"/>
            </w:tcBorders>
          </w:tcPr>
          <w:p>
            <w:pPr>
              <w:jc w:val="right"/>
              <w:ind w:right="99"/>
              <w:spacing w:after="0"/>
              <w:rPr>
                <w:sz w:val="20"/>
                <w:szCs w:val="20"/>
                <w:color w:val="auto"/>
              </w:rPr>
            </w:pPr>
            <w:r>
              <w:rPr>
                <w:rFonts w:ascii="Arial" w:cs="Arial" w:eastAsia="Arial" w:hAnsi="Arial"/>
                <w:sz w:val="16"/>
                <w:szCs w:val="16"/>
                <w:b w:val="1"/>
                <w:bCs w:val="1"/>
                <w:color w:val="D7282F"/>
              </w:rPr>
              <w:t>118</w:t>
            </w:r>
          </w:p>
        </w:tc>
        <w:tc>
          <w:tcPr>
            <w:tcW w:w="1200" w:type="dxa"/>
            <w:vAlign w:val="bottom"/>
            <w:tcBorders>
              <w:bottom w:val="single" w:sz="8" w:color="888B8D"/>
            </w:tcBorders>
          </w:tcPr>
          <w:p>
            <w:pPr>
              <w:ind w:left="200"/>
              <w:spacing w:after="0"/>
              <w:rPr>
                <w:sz w:val="20"/>
                <w:szCs w:val="20"/>
                <w:color w:val="auto"/>
              </w:rPr>
            </w:pPr>
            <w:r>
              <w:rPr>
                <w:rFonts w:ascii="Arial" w:cs="Arial" w:eastAsia="Arial" w:hAnsi="Arial"/>
                <w:sz w:val="16"/>
                <w:szCs w:val="16"/>
                <w:b w:val="1"/>
                <w:bCs w:val="1"/>
                <w:color w:val="auto"/>
              </w:rPr>
              <w:t>ITEM 12</w:t>
            </w:r>
          </w:p>
        </w:tc>
        <w:tc>
          <w:tcPr>
            <w:tcW w:w="8580" w:type="dxa"/>
            <w:vAlign w:val="bottom"/>
            <w:tcBorders>
              <w:bottom w:val="single" w:sz="8" w:color="888B8D"/>
            </w:tcBorders>
          </w:tcPr>
          <w:p>
            <w:pPr>
              <w:ind w:left="320"/>
              <w:spacing w:after="0"/>
              <w:rPr>
                <w:sz w:val="20"/>
                <w:szCs w:val="20"/>
                <w:color w:val="auto"/>
              </w:rPr>
            </w:pPr>
            <w:r>
              <w:rPr>
                <w:rFonts w:ascii="Arial" w:cs="Arial" w:eastAsia="Arial" w:hAnsi="Arial"/>
                <w:sz w:val="16"/>
                <w:szCs w:val="16"/>
                <w:color w:val="auto"/>
              </w:rPr>
              <w:t>Security Ownership of Certain Beneficial Owners and Management and Related Stockholder Matters</w:t>
            </w:r>
          </w:p>
        </w:tc>
      </w:tr>
      <w:tr>
        <w:trPr>
          <w:trHeight w:val="210"/>
        </w:trPr>
        <w:tc>
          <w:tcPr>
            <w:tcW w:w="1460" w:type="dxa"/>
            <w:vAlign w:val="bottom"/>
            <w:tcBorders>
              <w:bottom w:val="single" w:sz="8" w:color="888B8D"/>
            </w:tcBorders>
          </w:tcPr>
          <w:p>
            <w:pPr>
              <w:jc w:val="right"/>
              <w:ind w:right="99"/>
              <w:spacing w:after="0"/>
              <w:rPr>
                <w:sz w:val="20"/>
                <w:szCs w:val="20"/>
                <w:color w:val="auto"/>
              </w:rPr>
            </w:pPr>
            <w:r>
              <w:rPr>
                <w:rFonts w:ascii="Arial" w:cs="Arial" w:eastAsia="Arial" w:hAnsi="Arial"/>
                <w:sz w:val="16"/>
                <w:szCs w:val="16"/>
                <w:b w:val="1"/>
                <w:bCs w:val="1"/>
                <w:color w:val="D7282F"/>
              </w:rPr>
              <w:t>119</w:t>
            </w:r>
          </w:p>
        </w:tc>
        <w:tc>
          <w:tcPr>
            <w:tcW w:w="1200" w:type="dxa"/>
            <w:vAlign w:val="bottom"/>
            <w:tcBorders>
              <w:bottom w:val="single" w:sz="8" w:color="888B8D"/>
            </w:tcBorders>
          </w:tcPr>
          <w:p>
            <w:pPr>
              <w:ind w:left="200"/>
              <w:spacing w:after="0"/>
              <w:rPr>
                <w:sz w:val="20"/>
                <w:szCs w:val="20"/>
                <w:color w:val="auto"/>
              </w:rPr>
            </w:pPr>
            <w:r>
              <w:rPr>
                <w:rFonts w:ascii="Arial" w:cs="Arial" w:eastAsia="Arial" w:hAnsi="Arial"/>
                <w:sz w:val="16"/>
                <w:szCs w:val="16"/>
                <w:b w:val="1"/>
                <w:bCs w:val="1"/>
                <w:color w:val="auto"/>
              </w:rPr>
              <w:t>ITEM 13</w:t>
            </w:r>
          </w:p>
        </w:tc>
        <w:tc>
          <w:tcPr>
            <w:tcW w:w="8580" w:type="dxa"/>
            <w:vAlign w:val="bottom"/>
            <w:tcBorders>
              <w:bottom w:val="single" w:sz="8" w:color="888B8D"/>
            </w:tcBorders>
          </w:tcPr>
          <w:p>
            <w:pPr>
              <w:ind w:left="320"/>
              <w:spacing w:after="0"/>
              <w:rPr>
                <w:sz w:val="20"/>
                <w:szCs w:val="20"/>
                <w:color w:val="auto"/>
              </w:rPr>
            </w:pPr>
            <w:r>
              <w:rPr>
                <w:rFonts w:ascii="Arial" w:cs="Arial" w:eastAsia="Arial" w:hAnsi="Arial"/>
                <w:sz w:val="16"/>
                <w:szCs w:val="16"/>
                <w:color w:val="auto"/>
              </w:rPr>
              <w:t>Certain Relationships and Related Transactions, and Director Independence</w:t>
            </w:r>
          </w:p>
        </w:tc>
      </w:tr>
      <w:tr>
        <w:trPr>
          <w:trHeight w:val="210"/>
        </w:trPr>
        <w:tc>
          <w:tcPr>
            <w:tcW w:w="1460" w:type="dxa"/>
            <w:vAlign w:val="bottom"/>
            <w:tcBorders>
              <w:bottom w:val="single" w:sz="8" w:color="888B8D"/>
            </w:tcBorders>
          </w:tcPr>
          <w:p>
            <w:pPr>
              <w:jc w:val="right"/>
              <w:ind w:right="99"/>
              <w:spacing w:after="0"/>
              <w:rPr>
                <w:sz w:val="20"/>
                <w:szCs w:val="20"/>
                <w:color w:val="auto"/>
              </w:rPr>
            </w:pPr>
            <w:r>
              <w:rPr>
                <w:rFonts w:ascii="Arial" w:cs="Arial" w:eastAsia="Arial" w:hAnsi="Arial"/>
                <w:sz w:val="16"/>
                <w:szCs w:val="16"/>
                <w:b w:val="1"/>
                <w:bCs w:val="1"/>
                <w:color w:val="D7282F"/>
              </w:rPr>
              <w:t>119</w:t>
            </w:r>
          </w:p>
        </w:tc>
        <w:tc>
          <w:tcPr>
            <w:tcW w:w="1200" w:type="dxa"/>
            <w:vAlign w:val="bottom"/>
            <w:tcBorders>
              <w:bottom w:val="single" w:sz="8" w:color="888B8D"/>
            </w:tcBorders>
          </w:tcPr>
          <w:p>
            <w:pPr>
              <w:ind w:left="200"/>
              <w:spacing w:after="0"/>
              <w:rPr>
                <w:sz w:val="20"/>
                <w:szCs w:val="20"/>
                <w:color w:val="auto"/>
              </w:rPr>
            </w:pPr>
            <w:r>
              <w:rPr>
                <w:rFonts w:ascii="Arial" w:cs="Arial" w:eastAsia="Arial" w:hAnsi="Arial"/>
                <w:sz w:val="16"/>
                <w:szCs w:val="16"/>
                <w:b w:val="1"/>
                <w:bCs w:val="1"/>
                <w:color w:val="auto"/>
              </w:rPr>
              <w:t>ITEM 14</w:t>
            </w:r>
          </w:p>
        </w:tc>
        <w:tc>
          <w:tcPr>
            <w:tcW w:w="8580" w:type="dxa"/>
            <w:vAlign w:val="bottom"/>
            <w:tcBorders>
              <w:bottom w:val="single" w:sz="8" w:color="888B8D"/>
            </w:tcBorders>
          </w:tcPr>
          <w:p>
            <w:pPr>
              <w:ind w:left="320"/>
              <w:spacing w:after="0"/>
              <w:rPr>
                <w:sz w:val="20"/>
                <w:szCs w:val="20"/>
                <w:color w:val="auto"/>
              </w:rPr>
            </w:pPr>
            <w:r>
              <w:rPr>
                <w:rFonts w:ascii="Arial" w:cs="Arial" w:eastAsia="Arial" w:hAnsi="Arial"/>
                <w:sz w:val="16"/>
                <w:szCs w:val="16"/>
                <w:color w:val="auto"/>
              </w:rPr>
              <w:t>Principal Accounting Fees and Services</w:t>
            </w:r>
          </w:p>
        </w:tc>
      </w:tr>
      <w:tr>
        <w:trPr>
          <w:trHeight w:val="236"/>
        </w:trPr>
        <w:tc>
          <w:tcPr>
            <w:tcW w:w="1460" w:type="dxa"/>
            <w:vAlign w:val="bottom"/>
            <w:tcBorders>
              <w:bottom w:val="single" w:sz="8" w:color="888B8D"/>
            </w:tcBorders>
          </w:tcPr>
          <w:p>
            <w:pPr>
              <w:spacing w:after="0"/>
              <w:rPr>
                <w:sz w:val="20"/>
                <w:szCs w:val="20"/>
                <w:color w:val="auto"/>
              </w:rPr>
            </w:pPr>
          </w:p>
        </w:tc>
        <w:tc>
          <w:tcPr>
            <w:tcW w:w="1200" w:type="dxa"/>
            <w:vAlign w:val="bottom"/>
            <w:tcBorders>
              <w:bottom w:val="single" w:sz="8" w:color="888B8D"/>
            </w:tcBorders>
          </w:tcPr>
          <w:p>
            <w:pPr>
              <w:spacing w:after="0"/>
              <w:rPr>
                <w:sz w:val="20"/>
                <w:szCs w:val="20"/>
                <w:color w:val="auto"/>
              </w:rPr>
            </w:pPr>
          </w:p>
        </w:tc>
        <w:tc>
          <w:tcPr>
            <w:tcW w:w="8580" w:type="dxa"/>
            <w:vAlign w:val="bottom"/>
            <w:tcBorders>
              <w:bottom w:val="single" w:sz="8" w:color="888B8D"/>
            </w:tcBorders>
          </w:tcPr>
          <w:p>
            <w:pPr>
              <w:spacing w:after="0"/>
              <w:rPr>
                <w:sz w:val="20"/>
                <w:szCs w:val="20"/>
                <w:color w:val="auto"/>
              </w:rPr>
            </w:pPr>
          </w:p>
        </w:tc>
      </w:tr>
      <w:tr>
        <w:trPr>
          <w:trHeight w:val="210"/>
        </w:trPr>
        <w:tc>
          <w:tcPr>
            <w:tcW w:w="1460" w:type="dxa"/>
            <w:vAlign w:val="bottom"/>
            <w:tcBorders>
              <w:bottom w:val="single" w:sz="8" w:color="888B8D"/>
            </w:tcBorders>
          </w:tcPr>
          <w:p>
            <w:pPr>
              <w:spacing w:after="0"/>
              <w:rPr>
                <w:sz w:val="18"/>
                <w:szCs w:val="18"/>
                <w:color w:val="auto"/>
              </w:rPr>
            </w:pPr>
          </w:p>
        </w:tc>
        <w:tc>
          <w:tcPr>
            <w:tcW w:w="1200" w:type="dxa"/>
            <w:vAlign w:val="bottom"/>
            <w:tcBorders>
              <w:bottom w:val="single" w:sz="8" w:color="888B8D"/>
            </w:tcBorders>
          </w:tcPr>
          <w:p>
            <w:pPr>
              <w:ind w:left="200"/>
              <w:spacing w:after="0"/>
              <w:rPr>
                <w:sz w:val="20"/>
                <w:szCs w:val="20"/>
                <w:color w:val="auto"/>
              </w:rPr>
            </w:pPr>
            <w:r>
              <w:rPr>
                <w:rFonts w:ascii="Arial" w:cs="Arial" w:eastAsia="Arial" w:hAnsi="Arial"/>
                <w:sz w:val="16"/>
                <w:szCs w:val="16"/>
                <w:b w:val="1"/>
                <w:bCs w:val="1"/>
                <w:color w:val="DC202E"/>
              </w:rPr>
              <w:t>Part IV.</w:t>
            </w:r>
          </w:p>
        </w:tc>
        <w:tc>
          <w:tcPr>
            <w:tcW w:w="8580" w:type="dxa"/>
            <w:vAlign w:val="bottom"/>
            <w:tcBorders>
              <w:bottom w:val="single" w:sz="8" w:color="888B8D"/>
            </w:tcBorders>
          </w:tcPr>
          <w:p>
            <w:pPr>
              <w:spacing w:after="0"/>
              <w:rPr>
                <w:sz w:val="18"/>
                <w:szCs w:val="18"/>
                <w:color w:val="auto"/>
              </w:rPr>
            </w:pPr>
          </w:p>
        </w:tc>
      </w:tr>
      <w:tr>
        <w:trPr>
          <w:trHeight w:val="210"/>
        </w:trPr>
        <w:tc>
          <w:tcPr>
            <w:tcW w:w="1460" w:type="dxa"/>
            <w:vAlign w:val="bottom"/>
            <w:tcBorders>
              <w:bottom w:val="single" w:sz="8" w:color="888B8D"/>
            </w:tcBorders>
          </w:tcPr>
          <w:p>
            <w:pPr>
              <w:jc w:val="right"/>
              <w:ind w:right="99"/>
              <w:spacing w:after="0"/>
              <w:rPr>
                <w:sz w:val="20"/>
                <w:szCs w:val="20"/>
                <w:color w:val="auto"/>
              </w:rPr>
            </w:pPr>
            <w:r>
              <w:rPr>
                <w:rFonts w:ascii="Arial" w:cs="Arial" w:eastAsia="Arial" w:hAnsi="Arial"/>
                <w:sz w:val="16"/>
                <w:szCs w:val="16"/>
                <w:b w:val="1"/>
                <w:bCs w:val="1"/>
                <w:color w:val="D7282F"/>
              </w:rPr>
              <w:t>119</w:t>
            </w:r>
          </w:p>
        </w:tc>
        <w:tc>
          <w:tcPr>
            <w:tcW w:w="1200" w:type="dxa"/>
            <w:vAlign w:val="bottom"/>
            <w:tcBorders>
              <w:bottom w:val="single" w:sz="8" w:color="888B8D"/>
            </w:tcBorders>
          </w:tcPr>
          <w:p>
            <w:pPr>
              <w:ind w:left="200"/>
              <w:spacing w:after="0"/>
              <w:rPr>
                <w:sz w:val="20"/>
                <w:szCs w:val="20"/>
                <w:color w:val="auto"/>
              </w:rPr>
            </w:pPr>
            <w:r>
              <w:rPr>
                <w:rFonts w:ascii="Arial" w:cs="Arial" w:eastAsia="Arial" w:hAnsi="Arial"/>
                <w:sz w:val="16"/>
                <w:szCs w:val="16"/>
                <w:b w:val="1"/>
                <w:bCs w:val="1"/>
                <w:color w:val="auto"/>
              </w:rPr>
              <w:t>ITEM 15</w:t>
            </w:r>
          </w:p>
        </w:tc>
        <w:tc>
          <w:tcPr>
            <w:tcW w:w="8580" w:type="dxa"/>
            <w:vAlign w:val="bottom"/>
            <w:tcBorders>
              <w:bottom w:val="single" w:sz="8" w:color="888B8D"/>
            </w:tcBorders>
          </w:tcPr>
          <w:p>
            <w:pPr>
              <w:ind w:left="320"/>
              <w:spacing w:after="0"/>
              <w:rPr>
                <w:sz w:val="20"/>
                <w:szCs w:val="20"/>
                <w:color w:val="auto"/>
              </w:rPr>
            </w:pPr>
            <w:r>
              <w:rPr>
                <w:rFonts w:ascii="Arial" w:cs="Arial" w:eastAsia="Arial" w:hAnsi="Arial"/>
                <w:sz w:val="16"/>
                <w:szCs w:val="16"/>
                <w:color w:val="auto"/>
              </w:rPr>
              <w:t>Exhibits and Financial Statement Schedules</w:t>
            </w:r>
          </w:p>
        </w:tc>
      </w:tr>
      <w:tr>
        <w:trPr>
          <w:trHeight w:val="210"/>
        </w:trPr>
        <w:tc>
          <w:tcPr>
            <w:tcW w:w="1460" w:type="dxa"/>
            <w:vAlign w:val="bottom"/>
            <w:tcBorders>
              <w:bottom w:val="single" w:sz="8" w:color="888B8D"/>
            </w:tcBorders>
          </w:tcPr>
          <w:p>
            <w:pPr>
              <w:jc w:val="right"/>
              <w:ind w:right="99"/>
              <w:spacing w:after="0"/>
              <w:rPr>
                <w:sz w:val="20"/>
                <w:szCs w:val="20"/>
                <w:color w:val="auto"/>
              </w:rPr>
            </w:pPr>
            <w:r>
              <w:rPr>
                <w:rFonts w:ascii="Arial" w:cs="Arial" w:eastAsia="Arial" w:hAnsi="Arial"/>
                <w:sz w:val="16"/>
                <w:szCs w:val="16"/>
                <w:b w:val="1"/>
                <w:bCs w:val="1"/>
                <w:color w:val="D7282F"/>
              </w:rPr>
              <w:t>119</w:t>
            </w:r>
          </w:p>
        </w:tc>
        <w:tc>
          <w:tcPr>
            <w:tcW w:w="1200" w:type="dxa"/>
            <w:vAlign w:val="bottom"/>
            <w:tcBorders>
              <w:bottom w:val="single" w:sz="8" w:color="888B8D"/>
            </w:tcBorders>
          </w:tcPr>
          <w:p>
            <w:pPr>
              <w:ind w:left="200"/>
              <w:spacing w:after="0"/>
              <w:rPr>
                <w:sz w:val="20"/>
                <w:szCs w:val="20"/>
                <w:color w:val="auto"/>
              </w:rPr>
            </w:pPr>
            <w:r>
              <w:rPr>
                <w:rFonts w:ascii="Arial" w:cs="Arial" w:eastAsia="Arial" w:hAnsi="Arial"/>
                <w:sz w:val="16"/>
                <w:szCs w:val="16"/>
                <w:b w:val="1"/>
                <w:bCs w:val="1"/>
                <w:color w:val="auto"/>
              </w:rPr>
              <w:t>ITEM 16</w:t>
            </w:r>
          </w:p>
        </w:tc>
        <w:tc>
          <w:tcPr>
            <w:tcW w:w="8580" w:type="dxa"/>
            <w:vAlign w:val="bottom"/>
            <w:tcBorders>
              <w:bottom w:val="single" w:sz="8" w:color="888B8D"/>
            </w:tcBorders>
          </w:tcPr>
          <w:p>
            <w:pPr>
              <w:ind w:left="320"/>
              <w:spacing w:after="0"/>
              <w:rPr>
                <w:sz w:val="20"/>
                <w:szCs w:val="20"/>
                <w:color w:val="auto"/>
              </w:rPr>
            </w:pPr>
            <w:r>
              <w:rPr>
                <w:rFonts w:ascii="Arial" w:cs="Arial" w:eastAsia="Arial" w:hAnsi="Arial"/>
                <w:sz w:val="16"/>
                <w:szCs w:val="16"/>
                <w:color w:val="auto"/>
              </w:rPr>
              <w:t>Form 10-K Summary</w:t>
            </w:r>
          </w:p>
        </w:tc>
      </w:tr>
      <w:tr>
        <w:trPr>
          <w:trHeight w:val="209"/>
        </w:trPr>
        <w:tc>
          <w:tcPr>
            <w:tcW w:w="1460" w:type="dxa"/>
            <w:vAlign w:val="bottom"/>
            <w:tcBorders>
              <w:bottom w:val="single" w:sz="8" w:color="61656A"/>
            </w:tcBorders>
          </w:tcPr>
          <w:p>
            <w:pPr>
              <w:jc w:val="right"/>
              <w:ind w:right="99"/>
              <w:spacing w:after="0"/>
              <w:rPr>
                <w:sz w:val="20"/>
                <w:szCs w:val="20"/>
                <w:color w:val="auto"/>
              </w:rPr>
            </w:pPr>
            <w:r>
              <w:rPr>
                <w:rFonts w:ascii="Arial" w:cs="Arial" w:eastAsia="Arial" w:hAnsi="Arial"/>
                <w:sz w:val="16"/>
                <w:szCs w:val="16"/>
                <w:b w:val="1"/>
                <w:bCs w:val="1"/>
                <w:color w:val="D7282F"/>
              </w:rPr>
              <w:t>124</w:t>
            </w:r>
          </w:p>
        </w:tc>
        <w:tc>
          <w:tcPr>
            <w:tcW w:w="1200" w:type="dxa"/>
            <w:vAlign w:val="bottom"/>
            <w:tcBorders>
              <w:bottom w:val="single" w:sz="8" w:color="61656A"/>
            </w:tcBorders>
          </w:tcPr>
          <w:p>
            <w:pPr>
              <w:spacing w:after="0"/>
              <w:rPr>
                <w:sz w:val="18"/>
                <w:szCs w:val="18"/>
                <w:color w:val="auto"/>
              </w:rPr>
            </w:pPr>
          </w:p>
        </w:tc>
        <w:tc>
          <w:tcPr>
            <w:tcW w:w="8580" w:type="dxa"/>
            <w:vAlign w:val="bottom"/>
            <w:tcBorders>
              <w:bottom w:val="single" w:sz="8" w:color="61656A"/>
            </w:tcBorders>
          </w:tcPr>
          <w:p>
            <w:pPr>
              <w:ind w:left="320"/>
              <w:spacing w:after="0"/>
              <w:rPr>
                <w:sz w:val="20"/>
                <w:szCs w:val="20"/>
                <w:color w:val="auto"/>
              </w:rPr>
            </w:pPr>
            <w:r>
              <w:rPr>
                <w:rFonts w:ascii="Arial" w:cs="Arial" w:eastAsia="Arial" w:hAnsi="Arial"/>
                <w:sz w:val="16"/>
                <w:szCs w:val="16"/>
                <w:color w:val="auto"/>
              </w:rPr>
              <w:t>Signatures</w:t>
            </w:r>
          </w:p>
        </w:tc>
      </w:tr>
    </w:tbl>
    <w:p>
      <w:pPr>
        <w:spacing w:after="0" w:line="200" w:lineRule="exact"/>
        <w:rPr>
          <w:sz w:val="20"/>
          <w:szCs w:val="20"/>
          <w:color w:val="auto"/>
        </w:rPr>
      </w:pPr>
    </w:p>
    <w:p>
      <w:pPr>
        <w:spacing w:after="0" w:line="314" w:lineRule="exact"/>
        <w:rPr>
          <w:sz w:val="20"/>
          <w:szCs w:val="20"/>
          <w:color w:val="auto"/>
        </w:rPr>
      </w:pPr>
    </w:p>
    <w:p>
      <w:pPr>
        <w:ind w:left="500" w:hanging="492"/>
        <w:spacing w:after="0"/>
        <w:tabs>
          <w:tab w:leader="none" w:pos="500" w:val="left"/>
        </w:tabs>
        <w:numPr>
          <w:ilvl w:val="0"/>
          <w:numId w:val="208"/>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ectPr>
          <w:pgSz w:w="11900" w:h="16838" w:orient="portrait"/>
          <w:cols w:equalWidth="0" w:num="1">
            <w:col w:w="11240"/>
          </w:cols>
          <w:pgMar w:left="320" w:top="270" w:right="3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auto"/>
        </w:rPr>
        <w:t>EXHIBIT 4.2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REGISTRANT’S SECURITIES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PURSUANT TO SECTION 12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9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of December 31, 2024, Honeywell International Inc. (“Honeywell,” “we,” “our” or “us”) had eight classes of securities registered under Section 12 of the Securities Exchange Act of 1934, as amended (the “Exchange Act”): (1) our Common Stock, par value $1.00 per share; (2) our 3.500% Senior Notes due 2027; (3) our 2.250% Senior Notes due 2028; (4) our 3.375% Senior Notes due 2030; (5) our 0.750% Senior Notes due 2032; (6) our 3.750% Senior Notes due 2032; (7) our 4.125% Senior Notes due 2034; and (8) our 3.750% Senior Notes due 2036.</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Common Stock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17" w:lineRule="exact"/>
        <w:rPr>
          <w:sz w:val="20"/>
          <w:szCs w:val="20"/>
          <w:color w:val="auto"/>
        </w:rPr>
      </w:pPr>
    </w:p>
    <w:p>
      <w:pPr>
        <w:jc w:val="both"/>
        <w:ind w:firstLine="432"/>
        <w:spacing w:after="0" w:line="262" w:lineRule="auto"/>
        <w:rPr>
          <w:sz w:val="20"/>
          <w:szCs w:val="20"/>
          <w:color w:val="auto"/>
        </w:rPr>
      </w:pPr>
      <w:r>
        <w:rPr>
          <w:rFonts w:ascii="Arial" w:cs="Arial" w:eastAsia="Arial" w:hAnsi="Arial"/>
          <w:sz w:val="18"/>
          <w:szCs w:val="18"/>
          <w:color w:val="auto"/>
        </w:rPr>
        <w:t>As of the date of this filing, we are authorized to issue up to 2,000,000,000 shares of common stock. As of December 31, 2024, we had approximately 958 million shares of common stock issued (including approximately 308 million shares held in treasury). EQ Shareowner Services, a division of Equiniti Trust Company, is the transfer agent and registrar for our common stock. Shares of common stock are listed on The Nasdaq Stock Market LLC (“Nasdaq”) under the symbol “HON.”</w:t>
      </w:r>
    </w:p>
    <w:p>
      <w:pPr>
        <w:spacing w:after="0" w:line="68" w:lineRule="exact"/>
        <w:rPr>
          <w:sz w:val="20"/>
          <w:szCs w:val="20"/>
          <w:color w:val="auto"/>
        </w:rPr>
      </w:pPr>
    </w:p>
    <w:p>
      <w:pPr>
        <w:jc w:val="both"/>
        <w:ind w:firstLine="432"/>
        <w:spacing w:after="0" w:line="268" w:lineRule="auto"/>
        <w:rPr>
          <w:sz w:val="20"/>
          <w:szCs w:val="20"/>
          <w:color w:val="auto"/>
        </w:rPr>
      </w:pPr>
      <w:r>
        <w:rPr>
          <w:rFonts w:ascii="Arial" w:cs="Arial" w:eastAsia="Arial" w:hAnsi="Arial"/>
          <w:sz w:val="18"/>
          <w:szCs w:val="18"/>
          <w:color w:val="auto"/>
        </w:rPr>
        <w:t>The following summary is not complete. You should refer to the applicable provision of Honeywell’s charter and by-laws, each of which are incorporated by reference as an exhibit to the Annual Report on Form 10-K of which this Exhibit 4.2 is a part, and to Delaware corporate law for a complete statement of the terms and rights of our common stock.</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17" w:lineRule="exact"/>
        <w:rPr>
          <w:sz w:val="20"/>
          <w:szCs w:val="20"/>
          <w:color w:val="auto"/>
        </w:rPr>
      </w:pPr>
    </w:p>
    <w:p>
      <w:pPr>
        <w:jc w:val="both"/>
        <w:ind w:firstLine="432"/>
        <w:spacing w:after="0" w:line="287" w:lineRule="auto"/>
        <w:rPr>
          <w:sz w:val="20"/>
          <w:szCs w:val="20"/>
          <w:color w:val="auto"/>
        </w:rPr>
      </w:pPr>
      <w:r>
        <w:rPr>
          <w:rFonts w:ascii="Arial" w:cs="Arial" w:eastAsia="Arial" w:hAnsi="Arial"/>
          <w:sz w:val="18"/>
          <w:szCs w:val="18"/>
          <w:color w:val="auto"/>
        </w:rPr>
        <w:t>Holders of common stock are entitled to receive dividends when, as and if declared by the board of directors, out of funds legally available for their payment, subject to the rights of holders of any preferred stock outstanding.</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11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Each holder of common stock is entitled to one vote per share. Subject to any rights of the holders of any series of preferred stock pursuant to applicable law or the provision of the certificate of designations creating that series, all voting rights are vested in the holders of shares of common stock. Holders of shares of common stock have noncumulative voting rights, which means that the holders of more than 50% of the shares voting for the election of directors can elect 100% of the directors, and the holders of the remaining shares voting for the election of directors will not be able to elect any directors.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Rights Upon Liquidation</w:t>
      </w:r>
    </w:p>
    <w:p>
      <w:pPr>
        <w:spacing w:after="0" w:line="117" w:lineRule="exact"/>
        <w:rPr>
          <w:sz w:val="20"/>
          <w:szCs w:val="20"/>
          <w:color w:val="auto"/>
        </w:rPr>
      </w:pPr>
    </w:p>
    <w:p>
      <w:pPr>
        <w:jc w:val="both"/>
        <w:ind w:firstLine="432"/>
        <w:spacing w:after="0" w:line="268" w:lineRule="auto"/>
        <w:rPr>
          <w:sz w:val="20"/>
          <w:szCs w:val="20"/>
          <w:color w:val="auto"/>
        </w:rPr>
      </w:pPr>
      <w:r>
        <w:rPr>
          <w:rFonts w:ascii="Arial" w:cs="Arial" w:eastAsia="Arial" w:hAnsi="Arial"/>
          <w:sz w:val="18"/>
          <w:szCs w:val="18"/>
          <w:color w:val="auto"/>
        </w:rPr>
        <w:t>In the event of Honeywell’s voluntary or involuntary liquidation, dissolution or winding up, the holders of common stock will be entitled to share equally in any of Honeywell’s assets available for distribution after the payment in full of all debts and distributions and after the holders of any series of outstanding preferred stock have received their liquidation preferences in full.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Rights</w:t>
      </w:r>
    </w:p>
    <w:p>
      <w:pPr>
        <w:spacing w:after="0" w:line="117" w:lineRule="exact"/>
        <w:rPr>
          <w:sz w:val="20"/>
          <w:szCs w:val="20"/>
          <w:color w:val="auto"/>
        </w:rPr>
      </w:pPr>
    </w:p>
    <w:p>
      <w:pPr>
        <w:jc w:val="both"/>
        <w:ind w:firstLine="432"/>
        <w:spacing w:after="0" w:line="262" w:lineRule="auto"/>
        <w:rPr>
          <w:sz w:val="20"/>
          <w:szCs w:val="20"/>
          <w:color w:val="auto"/>
        </w:rPr>
      </w:pPr>
      <w:r>
        <w:rPr>
          <w:rFonts w:ascii="Arial" w:cs="Arial" w:eastAsia="Arial" w:hAnsi="Arial"/>
          <w:sz w:val="18"/>
          <w:szCs w:val="18"/>
          <w:color w:val="auto"/>
        </w:rPr>
        <w:t>Holders of shares of common stock are not entitled to preemptive rights. Shares of common stock are not convertible into shares of any other class of capital stock. If we merge or consolidate with or into another company and as a result our common stock is converted into or exchangeable for shares of stock, other securities or property (including cash), all holders of common stock will be entitled to receive the same kind and amount of consideration per share of common stock.</w:t>
      </w:r>
    </w:p>
    <w:p>
      <w:pPr>
        <w:sectPr>
          <w:pgSz w:w="11900" w:h="16838" w:orient="portrait"/>
          <w:cols w:equalWidth="0" w:num="1">
            <w:col w:w="11240"/>
          </w:cols>
          <w:pgMar w:left="320" w:top="1417" w:right="33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b w:val="1"/>
          <w:bCs w:val="1"/>
          <w:color w:val="auto"/>
        </w:rPr>
        <w:t>Possible Anti-Takeover Provisions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Honeywell’s charter and by-laws provide:</w:t>
      </w:r>
    </w:p>
    <w:p>
      <w:pPr>
        <w:spacing w:after="0" w:line="117" w:lineRule="exact"/>
        <w:rPr>
          <w:sz w:val="20"/>
          <w:szCs w:val="20"/>
          <w:color w:val="auto"/>
        </w:rPr>
      </w:pPr>
    </w:p>
    <w:p>
      <w:pPr>
        <w:ind w:left="980" w:right="120" w:hanging="324"/>
        <w:spacing w:after="0" w:line="268" w:lineRule="auto"/>
        <w:tabs>
          <w:tab w:leader="none" w:pos="975" w:val="left"/>
        </w:tabs>
        <w:numPr>
          <w:ilvl w:val="0"/>
          <w:numId w:val="209"/>
        </w:numPr>
        <w:rPr>
          <w:rFonts w:ascii="Times New Roman" w:cs="Times New Roman" w:eastAsia="Times New Roman" w:hAnsi="Times New Roman"/>
          <w:sz w:val="18"/>
          <w:szCs w:val="18"/>
          <w:color w:val="auto"/>
        </w:rPr>
      </w:pPr>
      <w:r>
        <w:rPr>
          <w:rFonts w:ascii="Arial" w:cs="Arial" w:eastAsia="Arial" w:hAnsi="Arial"/>
          <w:sz w:val="18"/>
          <w:szCs w:val="18"/>
          <w:color w:val="auto"/>
        </w:rPr>
        <w:t>that the board of directors may establish the number of seats on the board, subject to the right of preferred stockholders to elect directors in certain circumstances and shareowners’ rights to set the number of seats upon the vote of holders of a majority of the outstanding shares of common stock;</w:t>
      </w:r>
    </w:p>
    <w:p>
      <w:pPr>
        <w:spacing w:after="0" w:line="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9"/>
        </w:numPr>
        <w:rPr>
          <w:rFonts w:ascii="Times New Roman" w:cs="Times New Roman" w:eastAsia="Times New Roman" w:hAnsi="Times New Roman"/>
          <w:sz w:val="18"/>
          <w:szCs w:val="18"/>
          <w:color w:val="auto"/>
        </w:rPr>
      </w:pPr>
      <w:r>
        <w:rPr>
          <w:rFonts w:ascii="Arial" w:cs="Arial" w:eastAsia="Arial" w:hAnsi="Arial"/>
          <w:sz w:val="18"/>
          <w:szCs w:val="18"/>
          <w:color w:val="auto"/>
        </w:rPr>
        <w:t>that vacancies on the board of directors other than at the annual meeting are filled by a vote of the remaining directors;</w:t>
      </w:r>
    </w:p>
    <w:p>
      <w:pPr>
        <w:spacing w:after="0" w:line="116" w:lineRule="exact"/>
        <w:rPr>
          <w:rFonts w:ascii="Times New Roman" w:cs="Times New Roman" w:eastAsia="Times New Roman" w:hAnsi="Times New Roman"/>
          <w:sz w:val="18"/>
          <w:szCs w:val="18"/>
          <w:color w:val="auto"/>
        </w:rPr>
      </w:pPr>
    </w:p>
    <w:p>
      <w:pPr>
        <w:ind w:left="980" w:right="160" w:hanging="324"/>
        <w:spacing w:after="0" w:line="268" w:lineRule="auto"/>
        <w:tabs>
          <w:tab w:leader="none" w:pos="975" w:val="left"/>
        </w:tabs>
        <w:numPr>
          <w:ilvl w:val="0"/>
          <w:numId w:val="209"/>
        </w:numPr>
        <w:rPr>
          <w:rFonts w:ascii="Times New Roman" w:cs="Times New Roman" w:eastAsia="Times New Roman" w:hAnsi="Times New Roman"/>
          <w:sz w:val="18"/>
          <w:szCs w:val="18"/>
          <w:color w:val="auto"/>
        </w:rPr>
      </w:pPr>
      <w:r>
        <w:rPr>
          <w:rFonts w:ascii="Arial" w:cs="Arial" w:eastAsia="Arial" w:hAnsi="Arial"/>
          <w:sz w:val="18"/>
          <w:szCs w:val="18"/>
          <w:color w:val="auto"/>
        </w:rPr>
        <w:t>that special meetings of shareowners generally may be called only by the chief executive officer, by a majority of the authorized number of directors, or by the holders of not less than fifteen percent of the outstanding shares of Honeywell’s common stock (excluding derivatives);</w:t>
      </w:r>
    </w:p>
    <w:p>
      <w:pPr>
        <w:spacing w:after="0" w:line="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9"/>
        </w:numPr>
        <w:rPr>
          <w:rFonts w:ascii="Times New Roman" w:cs="Times New Roman" w:eastAsia="Times New Roman" w:hAnsi="Times New Roman"/>
          <w:sz w:val="18"/>
          <w:szCs w:val="18"/>
          <w:color w:val="auto"/>
        </w:rPr>
      </w:pPr>
      <w:r>
        <w:rPr>
          <w:rFonts w:ascii="Arial" w:cs="Arial" w:eastAsia="Arial" w:hAnsi="Arial"/>
          <w:sz w:val="18"/>
          <w:szCs w:val="18"/>
          <w:color w:val="auto"/>
        </w:rPr>
        <w:t>that action may be taken by shareowners only at annual or special meetings and not by written consent;</w:t>
      </w:r>
    </w:p>
    <w:p>
      <w:pPr>
        <w:spacing w:after="0" w:line="116" w:lineRule="exact"/>
        <w:rPr>
          <w:rFonts w:ascii="Times New Roman" w:cs="Times New Roman" w:eastAsia="Times New Roman" w:hAnsi="Times New Roman"/>
          <w:sz w:val="18"/>
          <w:szCs w:val="18"/>
          <w:color w:val="auto"/>
        </w:rPr>
      </w:pPr>
    </w:p>
    <w:p>
      <w:pPr>
        <w:jc w:val="both"/>
        <w:ind w:left="980" w:right="300" w:hanging="324"/>
        <w:spacing w:after="0" w:line="268" w:lineRule="auto"/>
        <w:tabs>
          <w:tab w:leader="none" w:pos="975" w:val="left"/>
        </w:tabs>
        <w:numPr>
          <w:ilvl w:val="0"/>
          <w:numId w:val="209"/>
        </w:numPr>
        <w:rPr>
          <w:rFonts w:ascii="Times New Roman" w:cs="Times New Roman" w:eastAsia="Times New Roman" w:hAnsi="Times New Roman"/>
          <w:sz w:val="18"/>
          <w:szCs w:val="18"/>
          <w:color w:val="auto"/>
        </w:rPr>
      </w:pPr>
      <w:r>
        <w:rPr>
          <w:rFonts w:ascii="Arial" w:cs="Arial" w:eastAsia="Arial" w:hAnsi="Arial"/>
          <w:sz w:val="18"/>
          <w:szCs w:val="18"/>
          <w:color w:val="auto"/>
        </w:rPr>
        <w:t>that advance notice must be given to Honeywell for a shareowner to nominate directors for election at a shareowner meeting, including for director election contests subject to the U.S. Securities and Exchange Commission’s (the “SEC”) universal proxy rules; and</w:t>
      </w:r>
    </w:p>
    <w:p>
      <w:pPr>
        <w:spacing w:after="0" w:line="61" w:lineRule="exact"/>
        <w:rPr>
          <w:rFonts w:ascii="Times New Roman" w:cs="Times New Roman" w:eastAsia="Times New Roman" w:hAnsi="Times New Roman"/>
          <w:sz w:val="18"/>
          <w:szCs w:val="18"/>
          <w:color w:val="auto"/>
        </w:rPr>
      </w:pPr>
    </w:p>
    <w:p>
      <w:pPr>
        <w:ind w:left="980" w:right="60" w:hanging="324"/>
        <w:spacing w:after="0" w:line="291" w:lineRule="auto"/>
        <w:tabs>
          <w:tab w:leader="none" w:pos="975" w:val="left"/>
        </w:tabs>
        <w:numPr>
          <w:ilvl w:val="0"/>
          <w:numId w:val="209"/>
        </w:numPr>
        <w:rPr>
          <w:rFonts w:ascii="Times New Roman" w:cs="Times New Roman" w:eastAsia="Times New Roman" w:hAnsi="Times New Roman"/>
          <w:sz w:val="17"/>
          <w:szCs w:val="17"/>
          <w:color w:val="auto"/>
        </w:rPr>
      </w:pPr>
      <w:r>
        <w:rPr>
          <w:rFonts w:ascii="Arial" w:cs="Arial" w:eastAsia="Arial" w:hAnsi="Arial"/>
          <w:sz w:val="17"/>
          <w:szCs w:val="17"/>
          <w:color w:val="auto"/>
        </w:rPr>
        <w:t>that the board of directors may in limited circumstances, without shareowner approval, adopt a plan to provide for the distribution to shareowners of preferred stock or certain other securities upon the occurrence of certain triggering events (but any such plan adopted without shareowner approval must expire within one year of adoption unless ratified by the shareowners).</w:t>
      </w:r>
    </w:p>
    <w:p>
      <w:pPr>
        <w:spacing w:after="0" w:line="4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Any of these provisions could delay, deter or prevent a tender offer for or attempted takeover of Honeywell.</w:t>
      </w:r>
    </w:p>
    <w:p>
      <w:pPr>
        <w:spacing w:after="0" w:line="117" w:lineRule="exact"/>
        <w:rPr>
          <w:sz w:val="20"/>
          <w:szCs w:val="20"/>
          <w:color w:val="auto"/>
        </w:rPr>
      </w:pPr>
    </w:p>
    <w:p>
      <w:pPr>
        <w:jc w:val="both"/>
        <w:ind w:firstLine="432"/>
        <w:spacing w:after="0" w:line="268" w:lineRule="auto"/>
        <w:rPr>
          <w:sz w:val="20"/>
          <w:szCs w:val="20"/>
          <w:color w:val="auto"/>
        </w:rPr>
      </w:pPr>
      <w:r>
        <w:rPr>
          <w:rFonts w:ascii="Arial" w:cs="Arial" w:eastAsia="Arial" w:hAnsi="Arial"/>
          <w:sz w:val="18"/>
          <w:szCs w:val="18"/>
          <w:color w:val="auto"/>
        </w:rPr>
        <w:t>Our charter permits us to issue up to 40,000,000 shares of preferred stock with terms that may be set by our board of directors or a committee of the board. That preferred stock could have terms that could delay, deter or prevent a tender offer or takeover attempt of Honeywell.</w:t>
      </w:r>
    </w:p>
    <w:p>
      <w:pPr>
        <w:spacing w:after="0" w:line="63" w:lineRule="exact"/>
        <w:rPr>
          <w:sz w:val="20"/>
          <w:szCs w:val="20"/>
          <w:color w:val="auto"/>
        </w:rPr>
      </w:pPr>
    </w:p>
    <w:p>
      <w:pPr>
        <w:jc w:val="both"/>
        <w:ind w:right="20" w:firstLine="432"/>
        <w:spacing w:after="0" w:line="287" w:lineRule="auto"/>
        <w:rPr>
          <w:sz w:val="20"/>
          <w:szCs w:val="20"/>
          <w:color w:val="auto"/>
        </w:rPr>
      </w:pPr>
      <w:r>
        <w:rPr>
          <w:rFonts w:ascii="Arial" w:cs="Arial" w:eastAsia="Arial" w:hAnsi="Arial"/>
          <w:sz w:val="18"/>
          <w:szCs w:val="18"/>
          <w:color w:val="auto"/>
        </w:rPr>
        <w:t>Under Delaware law, an acquirer of 15% or more of our shares of stock must wait three years before engaging in a business combination with us unless one of the following exceptions is available:</w:t>
      </w:r>
    </w:p>
    <w:p>
      <w:pPr>
        <w:spacing w:after="0" w:line="45" w:lineRule="exact"/>
        <w:rPr>
          <w:sz w:val="20"/>
          <w:szCs w:val="20"/>
          <w:color w:val="auto"/>
        </w:rPr>
      </w:pPr>
    </w:p>
    <w:p>
      <w:pPr>
        <w:ind w:left="980" w:hanging="324"/>
        <w:spacing w:after="0"/>
        <w:tabs>
          <w:tab w:leader="none" w:pos="980" w:val="left"/>
        </w:tabs>
        <w:numPr>
          <w:ilvl w:val="0"/>
          <w:numId w:val="210"/>
        </w:numPr>
        <w:rPr>
          <w:rFonts w:ascii="Times New Roman" w:cs="Times New Roman" w:eastAsia="Times New Roman" w:hAnsi="Times New Roman"/>
          <w:sz w:val="18"/>
          <w:szCs w:val="18"/>
          <w:color w:val="auto"/>
        </w:rPr>
      </w:pPr>
      <w:r>
        <w:rPr>
          <w:rFonts w:ascii="Arial" w:cs="Arial" w:eastAsia="Arial" w:hAnsi="Arial"/>
          <w:sz w:val="18"/>
          <w:szCs w:val="18"/>
          <w:color w:val="auto"/>
        </w:rPr>
        <w:t>approval by our board of directors prior to the time the acquirer became a 15% shareowner of Honeywell;</w:t>
      </w:r>
    </w:p>
    <w:p>
      <w:pPr>
        <w:spacing w:after="0" w:line="116" w:lineRule="exact"/>
        <w:rPr>
          <w:rFonts w:ascii="Times New Roman" w:cs="Times New Roman" w:eastAsia="Times New Roman" w:hAnsi="Times New Roman"/>
          <w:sz w:val="18"/>
          <w:szCs w:val="18"/>
          <w:color w:val="auto"/>
        </w:rPr>
      </w:pPr>
    </w:p>
    <w:p>
      <w:pPr>
        <w:ind w:left="980" w:right="20" w:hanging="324"/>
        <w:spacing w:after="0" w:line="286" w:lineRule="auto"/>
        <w:tabs>
          <w:tab w:leader="none" w:pos="975" w:val="left"/>
        </w:tabs>
        <w:numPr>
          <w:ilvl w:val="0"/>
          <w:numId w:val="210"/>
        </w:numPr>
        <w:rPr>
          <w:rFonts w:ascii="Times New Roman" w:cs="Times New Roman" w:eastAsia="Times New Roman" w:hAnsi="Times New Roman"/>
          <w:sz w:val="18"/>
          <w:szCs w:val="18"/>
          <w:color w:val="auto"/>
        </w:rPr>
      </w:pPr>
      <w:r>
        <w:rPr>
          <w:rFonts w:ascii="Arial" w:cs="Arial" w:eastAsia="Arial" w:hAnsi="Arial"/>
          <w:sz w:val="18"/>
          <w:szCs w:val="18"/>
          <w:color w:val="auto"/>
        </w:rPr>
        <w:t>acquisition of at least 85% of our voting stock in the transaction in which the acquirer became a 15% shareowner of Honeywell; or</w:t>
      </w:r>
    </w:p>
    <w:p>
      <w:pPr>
        <w:spacing w:after="0" w:line="4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0"/>
        </w:numPr>
        <w:rPr>
          <w:rFonts w:ascii="Times New Roman" w:cs="Times New Roman" w:eastAsia="Times New Roman" w:hAnsi="Times New Roman"/>
          <w:sz w:val="18"/>
          <w:szCs w:val="18"/>
          <w:color w:val="auto"/>
        </w:rPr>
      </w:pPr>
      <w:r>
        <w:rPr>
          <w:rFonts w:ascii="Arial" w:cs="Arial" w:eastAsia="Arial" w:hAnsi="Arial"/>
          <w:sz w:val="18"/>
          <w:szCs w:val="18"/>
          <w:color w:val="auto"/>
        </w:rPr>
        <w:t>approval of the business combination by our board of directors and two-thirds of our disinterested shareowners.</w:t>
      </w:r>
    </w:p>
    <w:p>
      <w:pPr>
        <w:spacing w:after="0" w:line="116"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8"/>
          <w:szCs w:val="18"/>
          <w:color w:val="auto"/>
        </w:rPr>
        <w:t>Honeywell’s by-laws provide that, unless Honeywell consents in writing to the selection of an alternative forum, a state or federal court located within the State of Delaware will be the sole and exclusive forum for (i) any derivative action or proceeding brought on behalf of Honeywell, (ii) any action asserting a claim of breach of a fiduciary duty owed by any director, officer or other employee of Honeywell to Honeywell or Honeywell’s shareowners, (iii) any action asserting a claim arising pursuant to any provision of the Delaware General Corporation Law or (iv) any action asserting a claim governed by the internal affairs doctrine. Honeywell’s by-laws further provide that any person or entity purchasing or otherwise acquiring any interest in shares of capital stock of Honeywell will be deemed to have notice of and consented to the exclusive forum provisions described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17" w:right="339" w:bottom="1440" w:gutter="0" w:footer="0" w:header="0"/>
        </w:sectPr>
      </w:pPr>
    </w:p>
    <w:bookmarkStart w:id="130" w:name="page131"/>
    <w:bookmarkEnd w:id="130"/>
    <w:p>
      <w:pPr>
        <w:jc w:val="center"/>
        <w:spacing w:after="0"/>
        <w:rPr>
          <w:sz w:val="20"/>
          <w:szCs w:val="20"/>
          <w:color w:val="auto"/>
        </w:rPr>
      </w:pPr>
      <w:r>
        <w:rPr>
          <w:rFonts w:ascii="Arial" w:cs="Arial" w:eastAsia="Arial" w:hAnsi="Arial"/>
          <w:sz w:val="18"/>
          <w:szCs w:val="18"/>
          <w:b w:val="1"/>
          <w:bCs w:val="1"/>
          <w:color w:val="auto"/>
        </w:rPr>
        <w:t>Description of Debt Securities</w:t>
      </w:r>
    </w:p>
    <w:p>
      <w:pPr>
        <w:spacing w:after="0" w:line="119" w:lineRule="exact"/>
        <w:rPr>
          <w:sz w:val="20"/>
          <w:szCs w:val="20"/>
          <w:color w:val="auto"/>
        </w:rPr>
      </w:pPr>
    </w:p>
    <w:p>
      <w:pPr>
        <w:jc w:val="both"/>
        <w:ind w:firstLine="342"/>
        <w:spacing w:after="0" w:line="256" w:lineRule="auto"/>
        <w:rPr>
          <w:sz w:val="20"/>
          <w:szCs w:val="20"/>
          <w:color w:val="auto"/>
        </w:rPr>
      </w:pPr>
      <w:r>
        <w:rPr>
          <w:rFonts w:ascii="Arial" w:cs="Arial" w:eastAsia="Arial" w:hAnsi="Arial"/>
          <w:sz w:val="18"/>
          <w:szCs w:val="18"/>
          <w:i w:val="1"/>
          <w:iCs w:val="1"/>
          <w:color w:val="auto"/>
        </w:rPr>
        <w:t>The following description of certain material terms of our 3.500% Senior Notes due 2027 (the “2027 notes”), our 2.250% Senior Notes due 2028 (the “2028 notes”), our 3.375% Senior Notes due 2030 (the “2030 notes”), our 0.750% Senior Notes due 2032 (the “0.750% 2032 notes”), our 3.750% Senior Notes due 2032 (the “3.750% 2032 notes”), our 4.125% Senior Notes due 2034 (the “2034 notes”) and our 3.750% Senior Notes due 2036 (the “2036 notes”) (collectively referred to in this exhibit as the “debt securities”) does not purport to be complete. The following description is subject to, and is qualified in its entirety by reference to, the debt securities and the indenture between us and Deutsche Bank Trust Company Americas, as trustee, dated March 1, 2007 (as may be amended, supplemented or amended and restated from time to time) (the “indenture”). Terms used that are otherwise not defined have the meanings given to them in the indenture.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17" w:lineRule="exact"/>
        <w:rPr>
          <w:sz w:val="20"/>
          <w:szCs w:val="20"/>
          <w:color w:val="auto"/>
        </w:rPr>
      </w:pPr>
    </w:p>
    <w:p>
      <w:pPr>
        <w:jc w:val="both"/>
        <w:ind w:firstLine="342"/>
        <w:spacing w:after="0" w:line="259" w:lineRule="auto"/>
        <w:rPr>
          <w:sz w:val="20"/>
          <w:szCs w:val="20"/>
          <w:color w:val="auto"/>
        </w:rPr>
      </w:pPr>
      <w:r>
        <w:rPr>
          <w:rFonts w:ascii="Arial" w:cs="Arial" w:eastAsia="Arial" w:hAnsi="Arial"/>
          <w:sz w:val="18"/>
          <w:szCs w:val="18"/>
          <w:color w:val="auto"/>
        </w:rPr>
        <w:t>We have listed on Nasdaq, outstanding €650 million aggregate principal amount of our 3.500% Senior Notes due 2027, €750 million aggregate principal amount of our 2.250% Senior Notes due 2028, €750,000,000 aggregate principal amount of our 3.375% Senior Notes due 2030, €500 million aggregate principal amount of our 0.750% Senior Notes due 2032, €500 million aggregate principal amount of our 3.750% Senior Notes due 2032, €1.0 billion aggregate principal amount of our 4.125% Senior Notes due 2034, and €750,000,000 aggregate principal amount of our 3.750% Senior Notes due 2036.</w:t>
      </w:r>
    </w:p>
    <w:p>
      <w:pPr>
        <w:spacing w:after="0" w:line="71" w:lineRule="exact"/>
        <w:rPr>
          <w:sz w:val="20"/>
          <w:szCs w:val="20"/>
          <w:color w:val="auto"/>
        </w:rPr>
      </w:pPr>
    </w:p>
    <w:p>
      <w:pPr>
        <w:jc w:val="both"/>
        <w:ind w:firstLine="342"/>
        <w:spacing w:after="0" w:line="262" w:lineRule="auto"/>
        <w:rPr>
          <w:sz w:val="20"/>
          <w:szCs w:val="20"/>
          <w:color w:val="auto"/>
        </w:rPr>
      </w:pPr>
      <w:r>
        <w:rPr>
          <w:rFonts w:ascii="Arial" w:cs="Arial" w:eastAsia="Arial" w:hAnsi="Arial"/>
          <w:sz w:val="18"/>
          <w:szCs w:val="18"/>
          <w:color w:val="auto"/>
        </w:rPr>
        <w:t>Each series of the debt securities was issued as separate series under the indenture. The 2027 notes will mature on May 17, 2027, the 2028 notes will mature on February 22, 2028, the 2030 notes will mature on March 1, 2030, the 0.750% 2032 notes will mature on March 10, 2032, the 3.750% 2032 notes will mature on May 17, 2032, the 2034 notes will mature on November 2, 2034, and the 2036 notes will mature on March 1, 2036.</w:t>
      </w:r>
    </w:p>
    <w:p>
      <w:pPr>
        <w:spacing w:after="0" w:line="68" w:lineRule="exact"/>
        <w:rPr>
          <w:sz w:val="20"/>
          <w:szCs w:val="20"/>
          <w:color w:val="auto"/>
        </w:rPr>
      </w:pPr>
    </w:p>
    <w:p>
      <w:pPr>
        <w:jc w:val="both"/>
        <w:ind w:firstLine="342"/>
        <w:spacing w:after="0" w:line="287" w:lineRule="auto"/>
        <w:rPr>
          <w:sz w:val="20"/>
          <w:szCs w:val="20"/>
          <w:color w:val="auto"/>
        </w:rPr>
      </w:pPr>
      <w:r>
        <w:rPr>
          <w:rFonts w:ascii="Arial" w:cs="Arial" w:eastAsia="Arial" w:hAnsi="Arial"/>
          <w:sz w:val="18"/>
          <w:szCs w:val="18"/>
          <w:color w:val="auto"/>
        </w:rPr>
        <w:t>The debt securities are issued only in registered, book-entry form without interest coupons in minimum denominations of €100,000 and integral multiples of €1,000 in excess thereof.</w:t>
      </w:r>
    </w:p>
    <w:p>
      <w:pPr>
        <w:spacing w:after="0" w:line="4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debt securities are not subject to a sinking fund.</w:t>
      </w:r>
    </w:p>
    <w:p>
      <w:pPr>
        <w:spacing w:after="0" w:line="117" w:lineRule="exact"/>
        <w:rPr>
          <w:sz w:val="20"/>
          <w:szCs w:val="20"/>
          <w:color w:val="auto"/>
        </w:rPr>
      </w:pPr>
    </w:p>
    <w:p>
      <w:pPr>
        <w:jc w:val="both"/>
        <w:ind w:firstLine="342"/>
        <w:spacing w:after="0" w:line="268" w:lineRule="auto"/>
        <w:rPr>
          <w:sz w:val="20"/>
          <w:szCs w:val="20"/>
          <w:color w:val="auto"/>
        </w:rPr>
      </w:pPr>
      <w:r>
        <w:rPr>
          <w:rFonts w:ascii="Arial" w:cs="Arial" w:eastAsia="Arial" w:hAnsi="Arial"/>
          <w:sz w:val="18"/>
          <w:szCs w:val="18"/>
          <w:color w:val="auto"/>
        </w:rPr>
        <w:t>The term “business day” means any day, other than a Saturday or Sunday, (1) which is not a day on which banking institutions in The City of New York or The City of London are authorized or required by law or executive order to close and (2) on which the Trans-European Automated Real-time Gross Settlement Express Transfer system (the TARGET2 system), or any successor thereto, operates.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117" w:lineRule="exact"/>
        <w:rPr>
          <w:sz w:val="20"/>
          <w:szCs w:val="20"/>
          <w:color w:val="auto"/>
        </w:rPr>
      </w:pPr>
    </w:p>
    <w:p>
      <w:pPr>
        <w:jc w:val="both"/>
        <w:ind w:firstLine="342"/>
        <w:spacing w:after="0" w:line="256" w:lineRule="auto"/>
        <w:rPr>
          <w:sz w:val="20"/>
          <w:szCs w:val="20"/>
          <w:color w:val="auto"/>
        </w:rPr>
      </w:pPr>
      <w:r>
        <w:rPr>
          <w:rFonts w:ascii="Arial" w:cs="Arial" w:eastAsia="Arial" w:hAnsi="Arial"/>
          <w:sz w:val="18"/>
          <w:szCs w:val="18"/>
          <w:color w:val="auto"/>
        </w:rPr>
        <w:t>Except as described below with respect to any series of debt securities, we are not restricted by the indenture from incurring, assuming or becoming liable for any type of debt or other obligations, from paying dividends or making distributions on our capital stock or purchasing or redeeming our capital stock. The indenture does not require the maintenance of any financial ratios or specified levels of net worth or liquidity. In addition, with certain exceptions, the indenture does not contain any covenants or other provisions that would limit our right to incur additional indebtedness. The indenture does not contain any provisions that would require us to repurchase or redeem or otherwise modify the terms of any of the debt securities upon a change in control or other events that may adversely affect the creditworthiness of the debt securities, such as, for example, a highly leveraged transaction.</w:t>
      </w:r>
    </w:p>
    <w:p>
      <w:pPr>
        <w:spacing w:after="0" w:line="75" w:lineRule="exact"/>
        <w:rPr>
          <w:sz w:val="20"/>
          <w:szCs w:val="20"/>
          <w:color w:val="auto"/>
        </w:rPr>
      </w:pPr>
    </w:p>
    <w:p>
      <w:pPr>
        <w:jc w:val="both"/>
        <w:ind w:firstLine="342"/>
        <w:spacing w:after="0" w:line="287" w:lineRule="auto"/>
        <w:rPr>
          <w:sz w:val="20"/>
          <w:szCs w:val="20"/>
          <w:color w:val="auto"/>
        </w:rPr>
      </w:pPr>
      <w:r>
        <w:rPr>
          <w:rFonts w:ascii="Arial" w:cs="Arial" w:eastAsia="Arial" w:hAnsi="Arial"/>
          <w:sz w:val="18"/>
          <w:szCs w:val="18"/>
          <w:color w:val="auto"/>
        </w:rPr>
        <w:t>Covenants contained in the indenture, which are summarized below, are applicable to each series of debt securities so long as any of the debt securities of that series are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417" w:right="339" w:bottom="1440" w:gutter="0" w:footer="0" w:header="0"/>
        </w:sectPr>
      </w:pPr>
    </w:p>
    <w:bookmarkStart w:id="131" w:name="page132"/>
    <w:bookmarkEnd w:id="131"/>
    <w:p>
      <w:pPr>
        <w:ind w:firstLine="342"/>
        <w:spacing w:after="0" w:line="287" w:lineRule="auto"/>
        <w:rPr>
          <w:sz w:val="20"/>
          <w:szCs w:val="20"/>
          <w:color w:val="auto"/>
        </w:rPr>
      </w:pPr>
      <w:r>
        <w:rPr>
          <w:rFonts w:ascii="Arial" w:cs="Arial" w:eastAsia="Arial" w:hAnsi="Arial"/>
          <w:sz w:val="18"/>
          <w:szCs w:val="18"/>
          <w:i w:val="1"/>
          <w:iCs w:val="1"/>
          <w:color w:val="auto"/>
        </w:rPr>
        <w:t xml:space="preserve">Limitation on Mortgages. </w:t>
      </w:r>
      <w:r>
        <w:rPr>
          <w:rFonts w:ascii="Arial" w:cs="Arial" w:eastAsia="Arial" w:hAnsi="Arial"/>
          <w:sz w:val="18"/>
          <w:szCs w:val="18"/>
          <w:color w:val="auto"/>
        </w:rPr>
        <w:t>In the indenture, we covenant not to issue, assume or guarantee any indebtedness for borrowed money</w:t>
      </w:r>
      <w:r>
        <w:rPr>
          <w:rFonts w:ascii="Arial" w:cs="Arial" w:eastAsia="Arial" w:hAnsi="Arial"/>
          <w:sz w:val="18"/>
          <w:szCs w:val="18"/>
          <w:i w:val="1"/>
          <w:iCs w:val="1"/>
          <w:color w:val="auto"/>
        </w:rPr>
        <w:t xml:space="preserve"> </w:t>
      </w:r>
      <w:r>
        <w:rPr>
          <w:rFonts w:ascii="Arial" w:cs="Arial" w:eastAsia="Arial" w:hAnsi="Arial"/>
          <w:sz w:val="18"/>
          <w:szCs w:val="18"/>
          <w:color w:val="auto"/>
        </w:rPr>
        <w:t>secured by liens on:</w:t>
      </w:r>
    </w:p>
    <w:p>
      <w:pPr>
        <w:spacing w:after="0" w:line="45" w:lineRule="exact"/>
        <w:rPr>
          <w:sz w:val="20"/>
          <w:szCs w:val="20"/>
          <w:color w:val="auto"/>
        </w:rPr>
      </w:pPr>
    </w:p>
    <w:p>
      <w:pPr>
        <w:ind w:left="980" w:hanging="324"/>
        <w:spacing w:after="0"/>
        <w:tabs>
          <w:tab w:leader="none" w:pos="980" w:val="left"/>
        </w:tabs>
        <w:numPr>
          <w:ilvl w:val="0"/>
          <w:numId w:val="211"/>
        </w:numPr>
        <w:rPr>
          <w:rFonts w:ascii="Times New Roman" w:cs="Times New Roman" w:eastAsia="Times New Roman" w:hAnsi="Times New Roman"/>
          <w:sz w:val="18"/>
          <w:szCs w:val="18"/>
          <w:color w:val="auto"/>
        </w:rPr>
      </w:pPr>
      <w:r>
        <w:rPr>
          <w:rFonts w:ascii="Arial" w:cs="Arial" w:eastAsia="Arial" w:hAnsi="Arial"/>
          <w:sz w:val="18"/>
          <w:szCs w:val="18"/>
          <w:color w:val="auto"/>
        </w:rPr>
        <w:t>any property located in the United States which is, in the opinion of our board of directors, a principal manufacturing property; or</w:t>
      </w:r>
    </w:p>
    <w:p>
      <w:pPr>
        <w:spacing w:after="0" w:line="11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1"/>
        </w:numPr>
        <w:rPr>
          <w:rFonts w:ascii="Times New Roman" w:cs="Times New Roman" w:eastAsia="Times New Roman" w:hAnsi="Times New Roman"/>
          <w:sz w:val="18"/>
          <w:szCs w:val="18"/>
          <w:color w:val="auto"/>
        </w:rPr>
      </w:pPr>
      <w:r>
        <w:rPr>
          <w:rFonts w:ascii="Arial" w:cs="Arial" w:eastAsia="Arial" w:hAnsi="Arial"/>
          <w:sz w:val="18"/>
          <w:szCs w:val="18"/>
          <w:color w:val="auto"/>
        </w:rPr>
        <w:t>any shares of capital stock or indebtedness of any subsidiary owning such property,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without equally and ratably securing the debt securities, subject to exceptions specified in the indenture. These exceptions include:</w:t>
      </w:r>
    </w:p>
    <w:p>
      <w:pPr>
        <w:spacing w:after="0" w:line="117" w:lineRule="exact"/>
        <w:rPr>
          <w:sz w:val="20"/>
          <w:szCs w:val="20"/>
          <w:color w:val="auto"/>
        </w:rPr>
      </w:pPr>
    </w:p>
    <w:p>
      <w:pPr>
        <w:ind w:left="980" w:hanging="324"/>
        <w:spacing w:after="0" w:line="286" w:lineRule="auto"/>
        <w:tabs>
          <w:tab w:leader="none" w:pos="975" w:val="left"/>
        </w:tabs>
        <w:numPr>
          <w:ilvl w:val="0"/>
          <w:numId w:val="212"/>
        </w:numPr>
        <w:rPr>
          <w:rFonts w:ascii="Times New Roman" w:cs="Times New Roman" w:eastAsia="Times New Roman" w:hAnsi="Times New Roman"/>
          <w:sz w:val="18"/>
          <w:szCs w:val="18"/>
          <w:color w:val="auto"/>
        </w:rPr>
      </w:pPr>
      <w:r>
        <w:rPr>
          <w:rFonts w:ascii="Arial" w:cs="Arial" w:eastAsia="Arial" w:hAnsi="Arial"/>
          <w:sz w:val="18"/>
          <w:szCs w:val="18"/>
          <w:color w:val="auto"/>
        </w:rPr>
        <w:t>existing liens on our property or liens on property of corporations at the time those corporations become our subsidiaries or are merged with us;</w:t>
      </w:r>
    </w:p>
    <w:p>
      <w:pPr>
        <w:spacing w:after="0" w:line="4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2"/>
        </w:numPr>
        <w:rPr>
          <w:rFonts w:ascii="Times New Roman" w:cs="Times New Roman" w:eastAsia="Times New Roman" w:hAnsi="Times New Roman"/>
          <w:sz w:val="18"/>
          <w:szCs w:val="18"/>
          <w:color w:val="auto"/>
        </w:rPr>
      </w:pPr>
      <w:r>
        <w:rPr>
          <w:rFonts w:ascii="Arial" w:cs="Arial" w:eastAsia="Arial" w:hAnsi="Arial"/>
          <w:sz w:val="18"/>
          <w:szCs w:val="18"/>
          <w:color w:val="auto"/>
        </w:rPr>
        <w:t>liens existing on property when acquired, or incurred to finance the purchase price of that property;</w:t>
      </w:r>
    </w:p>
    <w:p>
      <w:pPr>
        <w:spacing w:after="0" w:line="11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2"/>
        </w:numPr>
        <w:rPr>
          <w:rFonts w:ascii="Times New Roman" w:cs="Times New Roman" w:eastAsia="Times New Roman" w:hAnsi="Times New Roman"/>
          <w:sz w:val="18"/>
          <w:szCs w:val="18"/>
          <w:color w:val="auto"/>
        </w:rPr>
      </w:pPr>
      <w:r>
        <w:rPr>
          <w:rFonts w:ascii="Arial" w:cs="Arial" w:eastAsia="Arial" w:hAnsi="Arial"/>
          <w:sz w:val="18"/>
          <w:szCs w:val="18"/>
          <w:color w:val="auto"/>
        </w:rPr>
        <w:t>certain liens on property to secure the cost of development of, or improvements on, that property;</w:t>
      </w:r>
    </w:p>
    <w:p>
      <w:pPr>
        <w:spacing w:after="0" w:line="11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2"/>
        </w:numPr>
        <w:rPr>
          <w:rFonts w:ascii="Times New Roman" w:cs="Times New Roman" w:eastAsia="Times New Roman" w:hAnsi="Times New Roman"/>
          <w:sz w:val="18"/>
          <w:szCs w:val="18"/>
          <w:color w:val="auto"/>
        </w:rPr>
      </w:pPr>
      <w:r>
        <w:rPr>
          <w:rFonts w:ascii="Arial" w:cs="Arial" w:eastAsia="Arial" w:hAnsi="Arial"/>
          <w:sz w:val="18"/>
          <w:szCs w:val="18"/>
          <w:color w:val="auto"/>
        </w:rPr>
        <w:t>certain liens in favor of or required by contracts with governmental entities; and</w:t>
      </w:r>
    </w:p>
    <w:p>
      <w:pPr>
        <w:spacing w:after="0" w:line="116" w:lineRule="exact"/>
        <w:rPr>
          <w:rFonts w:ascii="Times New Roman" w:cs="Times New Roman" w:eastAsia="Times New Roman" w:hAnsi="Times New Roman"/>
          <w:sz w:val="18"/>
          <w:szCs w:val="18"/>
          <w:color w:val="auto"/>
        </w:rPr>
      </w:pPr>
    </w:p>
    <w:p>
      <w:pPr>
        <w:ind w:left="980" w:hanging="324"/>
        <w:spacing w:after="0" w:line="286" w:lineRule="auto"/>
        <w:tabs>
          <w:tab w:leader="none" w:pos="975" w:val="left"/>
        </w:tabs>
        <w:numPr>
          <w:ilvl w:val="0"/>
          <w:numId w:val="212"/>
        </w:numPr>
        <w:rPr>
          <w:rFonts w:ascii="Times New Roman" w:cs="Times New Roman" w:eastAsia="Times New Roman" w:hAnsi="Times New Roman"/>
          <w:sz w:val="18"/>
          <w:szCs w:val="18"/>
          <w:color w:val="auto"/>
        </w:rPr>
      </w:pPr>
      <w:r>
        <w:rPr>
          <w:rFonts w:ascii="Arial" w:cs="Arial" w:eastAsia="Arial" w:hAnsi="Arial"/>
          <w:sz w:val="18"/>
          <w:szCs w:val="18"/>
          <w:color w:val="auto"/>
        </w:rPr>
        <w:t>indebtedness secured by liens otherwise prohibited by the covenant not exceeding 10% of the consolidated net tangible assets of Honeywell and our consolidated subsidiaries.</w:t>
      </w:r>
    </w:p>
    <w:p>
      <w:pPr>
        <w:spacing w:after="0" w:line="46" w:lineRule="exact"/>
        <w:rPr>
          <w:sz w:val="20"/>
          <w:szCs w:val="20"/>
          <w:color w:val="auto"/>
        </w:rPr>
      </w:pPr>
    </w:p>
    <w:p>
      <w:pPr>
        <w:ind w:firstLine="342"/>
        <w:spacing w:after="0" w:line="287" w:lineRule="auto"/>
        <w:rPr>
          <w:sz w:val="20"/>
          <w:szCs w:val="20"/>
          <w:color w:val="auto"/>
        </w:rPr>
      </w:pPr>
      <w:r>
        <w:rPr>
          <w:rFonts w:ascii="Arial" w:cs="Arial" w:eastAsia="Arial" w:hAnsi="Arial"/>
          <w:sz w:val="18"/>
          <w:szCs w:val="18"/>
          <w:i w:val="1"/>
          <w:iCs w:val="1"/>
          <w:color w:val="auto"/>
        </w:rPr>
        <w:t xml:space="preserve">Limitation on Sale and Lease-Back. </w:t>
      </w:r>
      <w:r>
        <w:rPr>
          <w:rFonts w:ascii="Arial" w:cs="Arial" w:eastAsia="Arial" w:hAnsi="Arial"/>
          <w:sz w:val="18"/>
          <w:szCs w:val="18"/>
          <w:color w:val="auto"/>
        </w:rPr>
        <w:t>We also covenant not to enter into any sale and lease-back transaction covering any property</w:t>
      </w:r>
      <w:r>
        <w:rPr>
          <w:rFonts w:ascii="Arial" w:cs="Arial" w:eastAsia="Arial" w:hAnsi="Arial"/>
          <w:sz w:val="18"/>
          <w:szCs w:val="18"/>
          <w:i w:val="1"/>
          <w:iCs w:val="1"/>
          <w:color w:val="auto"/>
        </w:rPr>
        <w:t xml:space="preserve"> </w:t>
      </w:r>
      <w:r>
        <w:rPr>
          <w:rFonts w:ascii="Arial" w:cs="Arial" w:eastAsia="Arial" w:hAnsi="Arial"/>
          <w:sz w:val="18"/>
          <w:szCs w:val="18"/>
          <w:color w:val="auto"/>
        </w:rPr>
        <w:t>located in the United States which is, in the opinion of our board of directors, a principal manufacturing property, unless:</w:t>
      </w:r>
    </w:p>
    <w:p>
      <w:pPr>
        <w:spacing w:after="0" w:line="45" w:lineRule="exact"/>
        <w:rPr>
          <w:sz w:val="20"/>
          <w:szCs w:val="20"/>
          <w:color w:val="auto"/>
        </w:rPr>
      </w:pPr>
    </w:p>
    <w:p>
      <w:pPr>
        <w:jc w:val="both"/>
        <w:ind w:left="980" w:hanging="324"/>
        <w:spacing w:after="0" w:line="268" w:lineRule="auto"/>
        <w:tabs>
          <w:tab w:leader="none" w:pos="975" w:val="left"/>
        </w:tabs>
        <w:numPr>
          <w:ilvl w:val="0"/>
          <w:numId w:val="213"/>
        </w:numPr>
        <w:rPr>
          <w:rFonts w:ascii="Times New Roman" w:cs="Times New Roman" w:eastAsia="Times New Roman" w:hAnsi="Times New Roman"/>
          <w:sz w:val="18"/>
          <w:szCs w:val="18"/>
          <w:color w:val="auto"/>
        </w:rPr>
      </w:pPr>
      <w:r>
        <w:rPr>
          <w:rFonts w:ascii="Arial" w:cs="Arial" w:eastAsia="Arial" w:hAnsi="Arial"/>
          <w:sz w:val="18"/>
          <w:szCs w:val="18"/>
          <w:color w:val="auto"/>
        </w:rPr>
        <w:t>we would be entitled under the provisions described under “Limitation on Mortgages” to incur debt equal to or exceeding the value of such sale and lease-back transaction, secured by liens on the property to be leased, without equally securing the outstanding debt securities; or</w:t>
      </w:r>
    </w:p>
    <w:p>
      <w:pPr>
        <w:spacing w:after="0" w:line="61" w:lineRule="exact"/>
        <w:rPr>
          <w:rFonts w:ascii="Times New Roman" w:cs="Times New Roman" w:eastAsia="Times New Roman" w:hAnsi="Times New Roman"/>
          <w:sz w:val="18"/>
          <w:szCs w:val="18"/>
          <w:color w:val="auto"/>
        </w:rPr>
      </w:pPr>
    </w:p>
    <w:p>
      <w:pPr>
        <w:jc w:val="both"/>
        <w:ind w:left="980" w:hanging="324"/>
        <w:spacing w:after="0" w:line="268" w:lineRule="auto"/>
        <w:tabs>
          <w:tab w:leader="none" w:pos="975" w:val="left"/>
        </w:tabs>
        <w:numPr>
          <w:ilvl w:val="0"/>
          <w:numId w:val="213"/>
        </w:numPr>
        <w:rPr>
          <w:rFonts w:ascii="Times New Roman" w:cs="Times New Roman" w:eastAsia="Times New Roman" w:hAnsi="Times New Roman"/>
          <w:sz w:val="18"/>
          <w:szCs w:val="18"/>
          <w:color w:val="auto"/>
        </w:rPr>
      </w:pPr>
      <w:r>
        <w:rPr>
          <w:rFonts w:ascii="Arial" w:cs="Arial" w:eastAsia="Arial" w:hAnsi="Arial"/>
          <w:sz w:val="18"/>
          <w:szCs w:val="18"/>
          <w:color w:val="auto"/>
        </w:rPr>
        <w:t>we, during the four months following the effective date of such sale and lease-back transaction, apply an amount equal to the value of such sale and lease-back transaction to the voluntary retirement of long-term indebtedness of Honeywell or our subsidiaries.</w:t>
      </w:r>
    </w:p>
    <w:p>
      <w:pPr>
        <w:spacing w:after="0" w:line="62" w:lineRule="exact"/>
        <w:rPr>
          <w:sz w:val="20"/>
          <w:szCs w:val="20"/>
          <w:color w:val="auto"/>
        </w:rPr>
      </w:pPr>
    </w:p>
    <w:p>
      <w:pPr>
        <w:ind w:firstLine="342"/>
        <w:spacing w:after="0" w:line="287" w:lineRule="auto"/>
        <w:rPr>
          <w:sz w:val="20"/>
          <w:szCs w:val="20"/>
          <w:color w:val="auto"/>
        </w:rPr>
      </w:pPr>
      <w:r>
        <w:rPr>
          <w:rFonts w:ascii="Arial" w:cs="Arial" w:eastAsia="Arial" w:hAnsi="Arial"/>
          <w:sz w:val="18"/>
          <w:szCs w:val="18"/>
          <w:i w:val="1"/>
          <w:iCs w:val="1"/>
          <w:color w:val="auto"/>
        </w:rPr>
        <w:t xml:space="preserve">Consolidation, Merger and Sale of Assets. </w:t>
      </w:r>
      <w:r>
        <w:rPr>
          <w:rFonts w:ascii="Arial" w:cs="Arial" w:eastAsia="Arial" w:hAnsi="Arial"/>
          <w:sz w:val="18"/>
          <w:szCs w:val="18"/>
          <w:color w:val="auto"/>
        </w:rPr>
        <w:t>The indenture provides that we may not consolidate with or merge into any other person or</w:t>
      </w:r>
      <w:r>
        <w:rPr>
          <w:rFonts w:ascii="Arial" w:cs="Arial" w:eastAsia="Arial" w:hAnsi="Arial"/>
          <w:sz w:val="18"/>
          <w:szCs w:val="18"/>
          <w:i w:val="1"/>
          <w:iCs w:val="1"/>
          <w:color w:val="auto"/>
        </w:rPr>
        <w:t xml:space="preserve"> </w:t>
      </w:r>
      <w:r>
        <w:rPr>
          <w:rFonts w:ascii="Arial" w:cs="Arial" w:eastAsia="Arial" w:hAnsi="Arial"/>
          <w:sz w:val="18"/>
          <w:szCs w:val="18"/>
          <w:color w:val="auto"/>
        </w:rPr>
        <w:t>sell our assets substantially as an entirety, unless:</w:t>
      </w:r>
    </w:p>
    <w:p>
      <w:pPr>
        <w:spacing w:after="0" w:line="45" w:lineRule="exact"/>
        <w:rPr>
          <w:sz w:val="20"/>
          <w:szCs w:val="20"/>
          <w:color w:val="auto"/>
        </w:rPr>
      </w:pPr>
    </w:p>
    <w:p>
      <w:pPr>
        <w:jc w:val="both"/>
        <w:ind w:left="980" w:hanging="324"/>
        <w:spacing w:after="0" w:line="268" w:lineRule="auto"/>
        <w:tabs>
          <w:tab w:leader="none" w:pos="975" w:val="left"/>
        </w:tabs>
        <w:numPr>
          <w:ilvl w:val="0"/>
          <w:numId w:val="214"/>
        </w:numPr>
        <w:rPr>
          <w:rFonts w:ascii="Times New Roman" w:cs="Times New Roman" w:eastAsia="Times New Roman" w:hAnsi="Times New Roman"/>
          <w:sz w:val="18"/>
          <w:szCs w:val="18"/>
          <w:color w:val="auto"/>
        </w:rPr>
      </w:pPr>
      <w:r>
        <w:rPr>
          <w:rFonts w:ascii="Arial" w:cs="Arial" w:eastAsia="Arial" w:hAnsi="Arial"/>
          <w:sz w:val="18"/>
          <w:szCs w:val="18"/>
          <w:color w:val="auto"/>
        </w:rPr>
        <w:t>the person formed by such consolidation or into which we are merged or the person which acquires our assets is a person organized in the United States of America and expressly assumes the due and punctual payment of the principal of and interest on all the debt securities and the performance of every covenant of the indenture on our part;</w:t>
      </w:r>
    </w:p>
    <w:p>
      <w:pPr>
        <w:spacing w:after="0" w:line="61" w:lineRule="exact"/>
        <w:rPr>
          <w:rFonts w:ascii="Times New Roman" w:cs="Times New Roman" w:eastAsia="Times New Roman" w:hAnsi="Times New Roman"/>
          <w:sz w:val="18"/>
          <w:szCs w:val="18"/>
          <w:color w:val="auto"/>
        </w:rPr>
      </w:pPr>
    </w:p>
    <w:p>
      <w:pPr>
        <w:ind w:left="980" w:hanging="324"/>
        <w:spacing w:after="0" w:line="286" w:lineRule="auto"/>
        <w:tabs>
          <w:tab w:leader="none" w:pos="975" w:val="left"/>
        </w:tabs>
        <w:numPr>
          <w:ilvl w:val="0"/>
          <w:numId w:val="214"/>
        </w:numPr>
        <w:rPr>
          <w:rFonts w:ascii="Times New Roman" w:cs="Times New Roman" w:eastAsia="Times New Roman" w:hAnsi="Times New Roman"/>
          <w:sz w:val="18"/>
          <w:szCs w:val="18"/>
          <w:color w:val="auto"/>
        </w:rPr>
      </w:pPr>
      <w:r>
        <w:rPr>
          <w:rFonts w:ascii="Arial" w:cs="Arial" w:eastAsia="Arial" w:hAnsi="Arial"/>
          <w:sz w:val="18"/>
          <w:szCs w:val="18"/>
          <w:color w:val="auto"/>
        </w:rPr>
        <w:t>immediately after giving effect to such transaction, no event of default, and no event which, after notice or lapse of time, or both, would become an event of default, shall have happened and be continuing; and</w:t>
      </w:r>
    </w:p>
    <w:p>
      <w:pPr>
        <w:spacing w:after="0" w:line="45" w:lineRule="exact"/>
        <w:rPr>
          <w:rFonts w:ascii="Times New Roman" w:cs="Times New Roman" w:eastAsia="Times New Roman" w:hAnsi="Times New Roman"/>
          <w:sz w:val="18"/>
          <w:szCs w:val="18"/>
          <w:color w:val="auto"/>
        </w:rPr>
      </w:pPr>
    </w:p>
    <w:p>
      <w:pPr>
        <w:jc w:val="both"/>
        <w:ind w:left="980" w:hanging="324"/>
        <w:spacing w:after="0" w:line="268" w:lineRule="auto"/>
        <w:tabs>
          <w:tab w:leader="none" w:pos="975" w:val="left"/>
        </w:tabs>
        <w:numPr>
          <w:ilvl w:val="0"/>
          <w:numId w:val="214"/>
        </w:numPr>
        <w:rPr>
          <w:rFonts w:ascii="Times New Roman" w:cs="Times New Roman" w:eastAsia="Times New Roman" w:hAnsi="Times New Roman"/>
          <w:sz w:val="18"/>
          <w:szCs w:val="18"/>
          <w:color w:val="auto"/>
        </w:rPr>
      </w:pPr>
      <w:r>
        <w:rPr>
          <w:rFonts w:ascii="Arial" w:cs="Arial" w:eastAsia="Arial" w:hAnsi="Arial"/>
          <w:sz w:val="18"/>
          <w:szCs w:val="18"/>
          <w:color w:val="auto"/>
        </w:rPr>
        <w:t>we have delivered to the trustee an officers’ certificate and an opinion of counsel each stating that such consolidation or transfer and a supplemental indenture, if applicable, comply with the indenture and that all conditions precedent provided for in the indenture relating to such transaction have been complied with.</w:t>
      </w:r>
    </w:p>
    <w:p>
      <w:pPr>
        <w:spacing w:after="0" w:line="62" w:lineRule="exact"/>
        <w:rPr>
          <w:sz w:val="20"/>
          <w:szCs w:val="20"/>
          <w:color w:val="auto"/>
        </w:rPr>
      </w:pPr>
    </w:p>
    <w:p>
      <w:pPr>
        <w:jc w:val="both"/>
        <w:ind w:firstLine="342"/>
        <w:spacing w:after="0" w:line="268" w:lineRule="auto"/>
        <w:rPr>
          <w:sz w:val="20"/>
          <w:szCs w:val="20"/>
          <w:color w:val="auto"/>
        </w:rPr>
      </w:pPr>
      <w:r>
        <w:rPr>
          <w:rFonts w:ascii="Arial" w:cs="Arial" w:eastAsia="Arial" w:hAnsi="Arial"/>
          <w:sz w:val="18"/>
          <w:szCs w:val="18"/>
          <w:color w:val="auto"/>
        </w:rPr>
        <w:t>Upon such consolidation, merger or sale, the successor corporation formed by such consolidation or into which we are merged or to which such sale is made will succeed to, and be substituted for, us under the indenture, and the predecessor corporation shall be released from all obligations and covenants under the indenture and the debt securities.</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indenture does not restrict, or require us to redeem or permit holders to cause redemption of debt securities in the event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417" w:right="339" w:bottom="1440" w:gutter="0" w:footer="0" w:header="0"/>
        </w:sectPr>
      </w:pPr>
    </w:p>
    <w:bookmarkStart w:id="132" w:name="page133"/>
    <w:bookmarkEnd w:id="132"/>
    <w:p>
      <w:pPr>
        <w:ind w:left="980" w:hanging="324"/>
        <w:spacing w:after="0" w:line="286" w:lineRule="auto"/>
        <w:tabs>
          <w:tab w:leader="none" w:pos="975" w:val="left"/>
        </w:tabs>
        <w:numPr>
          <w:ilvl w:val="0"/>
          <w:numId w:val="215"/>
        </w:numPr>
        <w:rPr>
          <w:rFonts w:ascii="Times New Roman" w:cs="Times New Roman" w:eastAsia="Times New Roman" w:hAnsi="Times New Roman"/>
          <w:sz w:val="18"/>
          <w:szCs w:val="18"/>
          <w:color w:val="auto"/>
        </w:rPr>
      </w:pPr>
      <w:r>
        <w:rPr>
          <w:rFonts w:ascii="Arial" w:cs="Arial" w:eastAsia="Arial" w:hAnsi="Arial"/>
          <w:sz w:val="18"/>
          <w:szCs w:val="18"/>
          <w:color w:val="auto"/>
        </w:rPr>
        <w:t>a consolidation, merger, sale of assets or other similar transaction that may adversely affect our creditworthiness or the successor or combined entity;</w:t>
      </w:r>
    </w:p>
    <w:p>
      <w:pPr>
        <w:spacing w:after="0" w:line="4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5"/>
        </w:numPr>
        <w:rPr>
          <w:rFonts w:ascii="Times New Roman" w:cs="Times New Roman" w:eastAsia="Times New Roman" w:hAnsi="Times New Roman"/>
          <w:sz w:val="18"/>
          <w:szCs w:val="18"/>
          <w:color w:val="auto"/>
        </w:rPr>
      </w:pPr>
      <w:r>
        <w:rPr>
          <w:rFonts w:ascii="Arial" w:cs="Arial" w:eastAsia="Arial" w:hAnsi="Arial"/>
          <w:sz w:val="18"/>
          <w:szCs w:val="18"/>
          <w:color w:val="auto"/>
        </w:rPr>
        <w:t>a change in control of us; or</w:t>
      </w:r>
    </w:p>
    <w:p>
      <w:pPr>
        <w:spacing w:after="0" w:line="11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5"/>
        </w:numPr>
        <w:rPr>
          <w:rFonts w:ascii="Times New Roman" w:cs="Times New Roman" w:eastAsia="Times New Roman" w:hAnsi="Times New Roman"/>
          <w:sz w:val="18"/>
          <w:szCs w:val="18"/>
          <w:color w:val="auto"/>
        </w:rPr>
      </w:pPr>
      <w:r>
        <w:rPr>
          <w:rFonts w:ascii="Arial" w:cs="Arial" w:eastAsia="Arial" w:hAnsi="Arial"/>
          <w:sz w:val="18"/>
          <w:szCs w:val="18"/>
          <w:color w:val="auto"/>
        </w:rPr>
        <w:t>a highly leveraged transaction involving us whether or not involving a change in control.</w:t>
      </w:r>
    </w:p>
    <w:p>
      <w:pPr>
        <w:spacing w:after="0" w:line="116" w:lineRule="exact"/>
        <w:rPr>
          <w:sz w:val="20"/>
          <w:szCs w:val="20"/>
          <w:color w:val="auto"/>
        </w:rPr>
      </w:pPr>
    </w:p>
    <w:p>
      <w:pPr>
        <w:jc w:val="both"/>
        <w:ind w:firstLine="342"/>
        <w:spacing w:after="0" w:line="262" w:lineRule="auto"/>
        <w:rPr>
          <w:sz w:val="20"/>
          <w:szCs w:val="20"/>
          <w:color w:val="auto"/>
        </w:rPr>
      </w:pPr>
      <w:r>
        <w:rPr>
          <w:rFonts w:ascii="Arial" w:cs="Arial" w:eastAsia="Arial" w:hAnsi="Arial"/>
          <w:sz w:val="18"/>
          <w:szCs w:val="18"/>
          <w:color w:val="auto"/>
        </w:rPr>
        <w:t>Accordingly, the holders of debt securities would not have protection in the event of a highly leveraged transaction, reorganization, restructuring, merger or similar transaction involving us that may adversely affect the holders. The existing protective covenants applicable to the debt securities would continue to apply to us in the event of a leveraged buyout initiated or supported by us, our management, or any of our affiliates or their management, but may not prevent such a transaction from taking place.</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 Notice and Waiver</w:t>
      </w:r>
    </w:p>
    <w:p>
      <w:pPr>
        <w:spacing w:after="0" w:line="117" w:lineRule="exact"/>
        <w:rPr>
          <w:sz w:val="20"/>
          <w:szCs w:val="20"/>
          <w:color w:val="auto"/>
        </w:rPr>
      </w:pPr>
    </w:p>
    <w:p>
      <w:pPr>
        <w:jc w:val="both"/>
        <w:ind w:firstLine="342"/>
        <w:spacing w:after="0" w:line="257" w:lineRule="auto"/>
        <w:rPr>
          <w:sz w:val="20"/>
          <w:szCs w:val="20"/>
          <w:color w:val="auto"/>
        </w:rPr>
      </w:pPr>
      <w:r>
        <w:rPr>
          <w:rFonts w:ascii="Arial" w:cs="Arial" w:eastAsia="Arial" w:hAnsi="Arial"/>
          <w:sz w:val="18"/>
          <w:szCs w:val="18"/>
          <w:color w:val="auto"/>
        </w:rPr>
        <w:t xml:space="preserve">The indenture provides that if an event of default shall have occurred and be continuing with respect to any series of debt securities, then either the trustee or the holders of not less than 25% in outstanding principal amount of the debt securities of that series may declare to be due and payable immediately the outstanding principal amount of the debt securities of the affected series, together with interest, if any, accrued thereon;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if the event of default is any of certain events of bankruptcy, insolvency or reorganization, all the debt securities, together with interest, if any, accrued thereon, will become immediately due and payable without further action or notice on the part of the trustee or the holders.</w:t>
      </w:r>
    </w:p>
    <w:p>
      <w:pPr>
        <w:spacing w:after="0" w:line="74" w:lineRule="exact"/>
        <w:rPr>
          <w:sz w:val="20"/>
          <w:szCs w:val="20"/>
          <w:color w:val="auto"/>
        </w:rPr>
      </w:pPr>
    </w:p>
    <w:p>
      <w:pPr>
        <w:jc w:val="both"/>
        <w:ind w:right="20" w:firstLine="342"/>
        <w:spacing w:after="0" w:line="263" w:lineRule="auto"/>
        <w:rPr>
          <w:sz w:val="20"/>
          <w:szCs w:val="20"/>
          <w:color w:val="auto"/>
        </w:rPr>
      </w:pPr>
      <w:r>
        <w:rPr>
          <w:rFonts w:ascii="Arial" w:cs="Arial" w:eastAsia="Arial" w:hAnsi="Arial"/>
          <w:sz w:val="18"/>
          <w:szCs w:val="18"/>
          <w:color w:val="auto"/>
        </w:rPr>
        <w:t>Under the indenture, an event of default with respect to the debt securities of any series is any one of the following events:</w:t>
      </w:r>
    </w:p>
    <w:p>
      <w:pPr>
        <w:spacing w:after="0" w:line="313" w:lineRule="exact"/>
        <w:rPr>
          <w:sz w:val="20"/>
          <w:szCs w:val="20"/>
          <w:color w:val="auto"/>
        </w:rPr>
      </w:pPr>
    </w:p>
    <w:p>
      <w:pPr>
        <w:ind w:left="980" w:hanging="324"/>
        <w:spacing w:after="0"/>
        <w:tabs>
          <w:tab w:leader="none" w:pos="98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default for 30 days in payment when due of any interest due with respect to the debt securities of such series;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default in payment when due of principal of or of premium, if any, on the debt securities of such series;</w:t>
      </w:r>
    </w:p>
    <w:p>
      <w:pPr>
        <w:spacing w:after="0" w:line="117" w:lineRule="exact"/>
        <w:rPr>
          <w:rFonts w:ascii="Arial" w:cs="Arial" w:eastAsia="Arial" w:hAnsi="Arial"/>
          <w:sz w:val="18"/>
          <w:szCs w:val="18"/>
          <w:color w:val="auto"/>
        </w:rPr>
      </w:pPr>
    </w:p>
    <w:p>
      <w:pPr>
        <w:jc w:val="both"/>
        <w:ind w:left="980" w:hanging="324"/>
        <w:spacing w:after="0" w:line="253" w:lineRule="auto"/>
        <w:tabs>
          <w:tab w:leader="none" w:pos="97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default in the observance or performance of any other covenant or agreement contained in the indenture which default continues for a period of 90 days after we receive written notice specifying the default (and demanding that such default be remedied) from the trustee or the holders of at least 25% of the principal amount of securities of that series then outstanding (with a copy to the trustee if given by holders) (except in the case of a default with respect to certain consolidations, mergers, or sales of assets as set forth in Section 10.01 of the indenture, which will constitute an event of default with such notice requirement but without such passage of time requirement), provided, however, that the sole remedy of holders of the securities for an event of default relating to the failure to file any documents or reports that Honeywell is required to file with the SEC pursuant to Section 13 or 15(d) of the Securities Exchange Act of 1934, as amended, and for any failure to comply with the requirements of Section 314(a)(1) of the Trust Indenture Act of 1939, as amended (the “Trust Indenture Act”), to provide such documents or reports, within 30 days after filing with the SEC, to the trustee pursuant to Section 14.04 of the indenture, will, for the first 60 days after the occurrence of such an event of default, or such shorter period until such event of default has been cured or waived, consist exclusively of the right to receive additional interest on the securities at an annual rate equal to 0.25% of the outstanding principal amount of the securities, and that, on the 61st day after such event of default (if such event of default is not cured or waived prior to such 61st day), the securities will be subject to acceleration as provided in the indenture;</w:t>
      </w:r>
    </w:p>
    <w:p>
      <w:pPr>
        <w:spacing w:after="0" w:line="77" w:lineRule="exact"/>
        <w:rPr>
          <w:rFonts w:ascii="Arial" w:cs="Arial" w:eastAsia="Arial" w:hAnsi="Arial"/>
          <w:sz w:val="18"/>
          <w:szCs w:val="18"/>
          <w:color w:val="auto"/>
        </w:rPr>
      </w:pPr>
    </w:p>
    <w:p>
      <w:pPr>
        <w:ind w:left="980" w:hanging="324"/>
        <w:spacing w:after="0"/>
        <w:tabs>
          <w:tab w:leader="none" w:pos="98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certain events of bankruptcy, insolvency and reorganization;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any other event of default provided with respect to debt securities of that series.</w:t>
      </w:r>
    </w:p>
    <w:p>
      <w:pPr>
        <w:spacing w:after="0" w:line="117" w:lineRule="exact"/>
        <w:rPr>
          <w:sz w:val="20"/>
          <w:szCs w:val="20"/>
          <w:color w:val="auto"/>
        </w:rPr>
      </w:pPr>
    </w:p>
    <w:p>
      <w:pPr>
        <w:jc w:val="both"/>
        <w:ind w:firstLine="342"/>
        <w:spacing w:after="0" w:line="268" w:lineRule="auto"/>
        <w:rPr>
          <w:sz w:val="20"/>
          <w:szCs w:val="20"/>
          <w:color w:val="auto"/>
        </w:rPr>
      </w:pPr>
      <w:r>
        <w:rPr>
          <w:rFonts w:ascii="Arial" w:cs="Arial" w:eastAsia="Arial" w:hAnsi="Arial"/>
          <w:sz w:val="18"/>
          <w:szCs w:val="18"/>
          <w:color w:val="auto"/>
        </w:rPr>
        <w:t xml:space="preserve">The indenture provides that the trustee will, within 90 days after the occurrence of a default with respect to the debt securities of any series, give to the holders of debt securities of such series notice of such default known to it, unless cured or waived;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except in the case of default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417" w:right="339" w:bottom="1440" w:gutter="0" w:footer="0" w:header="0"/>
        </w:sectPr>
      </w:pPr>
    </w:p>
    <w:bookmarkStart w:id="133" w:name="page134"/>
    <w:bookmarkEnd w:id="133"/>
    <w:p>
      <w:pPr>
        <w:jc w:val="both"/>
        <w:spacing w:after="0" w:line="259" w:lineRule="auto"/>
        <w:rPr>
          <w:sz w:val="20"/>
          <w:szCs w:val="20"/>
          <w:color w:val="auto"/>
        </w:rPr>
      </w:pPr>
      <w:r>
        <w:rPr>
          <w:rFonts w:ascii="Arial" w:cs="Arial" w:eastAsia="Arial" w:hAnsi="Arial"/>
          <w:sz w:val="18"/>
          <w:szCs w:val="18"/>
          <w:color w:val="auto"/>
        </w:rPr>
        <w:t>payment of principal, or interest or premium, if any, on any debt security of such series or in the payment of any sinking fund installment with respect to debt securities of such series, the trustee will be protected in withholding such notice if and so long as the board of directors, the executive committee or a trust committee of directors and/or specified officers of the trustee in good faith determine that the withholding of such notice is in the interests of the holders of debt securities of such series. The term “default” for the purpose of this provision means any event that is, or after notice or lapse of time, or both, would become, an event of default.</w:t>
      </w:r>
    </w:p>
    <w:p>
      <w:pPr>
        <w:spacing w:after="0" w:line="71" w:lineRule="exact"/>
        <w:rPr>
          <w:sz w:val="20"/>
          <w:szCs w:val="20"/>
          <w:color w:val="auto"/>
        </w:rPr>
      </w:pPr>
    </w:p>
    <w:p>
      <w:pPr>
        <w:jc w:val="both"/>
        <w:ind w:firstLine="342"/>
        <w:spacing w:after="0" w:line="259" w:lineRule="auto"/>
        <w:rPr>
          <w:sz w:val="20"/>
          <w:szCs w:val="20"/>
          <w:color w:val="auto"/>
        </w:rPr>
      </w:pPr>
      <w:r>
        <w:rPr>
          <w:rFonts w:ascii="Arial" w:cs="Arial" w:eastAsia="Arial" w:hAnsi="Arial"/>
          <w:sz w:val="18"/>
          <w:szCs w:val="18"/>
          <w:color w:val="auto"/>
        </w:rPr>
        <w:t>The indenture contains a provision entitling the trustee, subject to the duty of the trustee during the continuance of an event of default to act with the required standard of care, to be indemnified by the holders before proceeding to exercise any right or power under the indenture at the request of such holders. The indenture provides that the holders of a majority in outstanding principal amount of the debt securities of any series may, subject to certain exceptions, on behalf of the holders of debt securities of such series, direct the time, method and place of conducting proceedings for remedies available to the trustee, or exercising any trust or power conferred on the trustee.</w:t>
      </w:r>
    </w:p>
    <w:p>
      <w:pPr>
        <w:spacing w:after="0" w:line="71" w:lineRule="exact"/>
        <w:rPr>
          <w:sz w:val="20"/>
          <w:szCs w:val="20"/>
          <w:color w:val="auto"/>
        </w:rPr>
      </w:pPr>
    </w:p>
    <w:p>
      <w:pPr>
        <w:jc w:val="both"/>
        <w:ind w:right="20" w:firstLine="342"/>
        <w:spacing w:after="0" w:line="287" w:lineRule="auto"/>
        <w:rPr>
          <w:sz w:val="20"/>
          <w:szCs w:val="20"/>
          <w:color w:val="auto"/>
        </w:rPr>
      </w:pPr>
      <w:r>
        <w:rPr>
          <w:rFonts w:ascii="Arial" w:cs="Arial" w:eastAsia="Arial" w:hAnsi="Arial"/>
          <w:sz w:val="18"/>
          <w:szCs w:val="18"/>
          <w:color w:val="auto"/>
        </w:rPr>
        <w:t>The indenture includes a covenant that we will file annually with the trustee a certificate of no default, or specifying any default that exists.</w:t>
      </w:r>
    </w:p>
    <w:p>
      <w:pPr>
        <w:spacing w:after="0" w:line="45" w:lineRule="exact"/>
        <w:rPr>
          <w:sz w:val="20"/>
          <w:szCs w:val="20"/>
          <w:color w:val="auto"/>
        </w:rPr>
      </w:pPr>
    </w:p>
    <w:p>
      <w:pPr>
        <w:jc w:val="both"/>
        <w:ind w:firstLine="342"/>
        <w:spacing w:after="0" w:line="259" w:lineRule="auto"/>
        <w:rPr>
          <w:sz w:val="20"/>
          <w:szCs w:val="20"/>
          <w:color w:val="auto"/>
        </w:rPr>
      </w:pPr>
      <w:r>
        <w:rPr>
          <w:rFonts w:ascii="Arial" w:cs="Arial" w:eastAsia="Arial" w:hAnsi="Arial"/>
          <w:sz w:val="18"/>
          <w:szCs w:val="18"/>
          <w:color w:val="auto"/>
        </w:rPr>
        <w:t>In certain cases, the holders of a majority in outstanding principal amount of the debt securities of any series may, on behalf of the holders of debt securities of such series, rescind a declaration of acceleration or waive any past default or event of default with respect to the debt securities of that series, except a default not theretofore cured in payment of the principal of, or interest or premium, if any, on, any debt security of such series or in respect of a provision which under the indenture cannot be modified or amended without the consent of the holder of each such debt security.</w:t>
      </w:r>
    </w:p>
    <w:p>
      <w:pPr>
        <w:spacing w:after="0" w:line="71" w:lineRule="exact"/>
        <w:rPr>
          <w:sz w:val="20"/>
          <w:szCs w:val="20"/>
          <w:color w:val="auto"/>
        </w:rPr>
      </w:pPr>
    </w:p>
    <w:p>
      <w:pPr>
        <w:jc w:val="both"/>
        <w:ind w:firstLine="342"/>
        <w:spacing w:after="0" w:line="287" w:lineRule="auto"/>
        <w:rPr>
          <w:sz w:val="20"/>
          <w:szCs w:val="20"/>
          <w:color w:val="auto"/>
        </w:rPr>
      </w:pPr>
      <w:r>
        <w:rPr>
          <w:rFonts w:ascii="Arial" w:cs="Arial" w:eastAsia="Arial" w:hAnsi="Arial"/>
          <w:sz w:val="18"/>
          <w:szCs w:val="18"/>
          <w:color w:val="auto"/>
        </w:rPr>
        <w:t>No holder of a debt security of any series has any right to institute any proceeding with respect to the indenture or the debt securities of any series or for any remedy thereunder unless:</w:t>
      </w:r>
    </w:p>
    <w:p>
      <w:pPr>
        <w:spacing w:after="0" w:line="45" w:lineRule="exact"/>
        <w:rPr>
          <w:sz w:val="20"/>
          <w:szCs w:val="20"/>
          <w:color w:val="auto"/>
        </w:rPr>
      </w:pPr>
    </w:p>
    <w:p>
      <w:pPr>
        <w:ind w:left="980" w:hanging="324"/>
        <w:spacing w:after="0"/>
        <w:tabs>
          <w:tab w:leader="none" w:pos="980" w:val="left"/>
        </w:tabs>
        <w:numPr>
          <w:ilvl w:val="0"/>
          <w:numId w:val="217"/>
        </w:numPr>
        <w:rPr>
          <w:rFonts w:ascii="Times New Roman" w:cs="Times New Roman" w:eastAsia="Times New Roman" w:hAnsi="Times New Roman"/>
          <w:sz w:val="18"/>
          <w:szCs w:val="18"/>
          <w:color w:val="auto"/>
        </w:rPr>
      </w:pPr>
      <w:r>
        <w:rPr>
          <w:rFonts w:ascii="Arial" w:cs="Arial" w:eastAsia="Arial" w:hAnsi="Arial"/>
          <w:sz w:val="18"/>
          <w:szCs w:val="18"/>
          <w:color w:val="auto"/>
        </w:rPr>
        <w:t>such holder shall have previously given to the trustee written notice of a continuing event of default;</w:t>
      </w:r>
    </w:p>
    <w:p>
      <w:pPr>
        <w:spacing w:after="0" w:line="116" w:lineRule="exact"/>
        <w:rPr>
          <w:rFonts w:ascii="Times New Roman" w:cs="Times New Roman" w:eastAsia="Times New Roman" w:hAnsi="Times New Roman"/>
          <w:sz w:val="18"/>
          <w:szCs w:val="18"/>
          <w:color w:val="auto"/>
        </w:rPr>
      </w:pPr>
    </w:p>
    <w:p>
      <w:pPr>
        <w:ind w:left="980" w:right="120" w:hanging="324"/>
        <w:spacing w:after="0" w:line="286" w:lineRule="auto"/>
        <w:tabs>
          <w:tab w:leader="none" w:pos="975" w:val="left"/>
        </w:tabs>
        <w:numPr>
          <w:ilvl w:val="0"/>
          <w:numId w:val="217"/>
        </w:numPr>
        <w:rPr>
          <w:rFonts w:ascii="Times New Roman" w:cs="Times New Roman" w:eastAsia="Times New Roman" w:hAnsi="Times New Roman"/>
          <w:sz w:val="18"/>
          <w:szCs w:val="18"/>
          <w:color w:val="auto"/>
        </w:rPr>
      </w:pPr>
      <w:r>
        <w:rPr>
          <w:rFonts w:ascii="Arial" w:cs="Arial" w:eastAsia="Arial" w:hAnsi="Arial"/>
          <w:sz w:val="18"/>
          <w:szCs w:val="18"/>
          <w:color w:val="auto"/>
        </w:rPr>
        <w:t>the holders of at least 25% in aggregate principal amount of the outstanding debt securities of such series have also made such a written request;</w:t>
      </w:r>
    </w:p>
    <w:p>
      <w:pPr>
        <w:spacing w:after="0" w:line="4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7"/>
        </w:numPr>
        <w:rPr>
          <w:rFonts w:ascii="Times New Roman" w:cs="Times New Roman" w:eastAsia="Times New Roman" w:hAnsi="Times New Roman"/>
          <w:sz w:val="18"/>
          <w:szCs w:val="18"/>
          <w:color w:val="auto"/>
        </w:rPr>
      </w:pPr>
      <w:r>
        <w:rPr>
          <w:rFonts w:ascii="Arial" w:cs="Arial" w:eastAsia="Arial" w:hAnsi="Arial"/>
          <w:sz w:val="18"/>
          <w:szCs w:val="18"/>
          <w:color w:val="auto"/>
        </w:rPr>
        <w:t>such holder or holders have provided indemnity satisfactory to the trustee to institute such proceeding as trustee;</w:t>
      </w:r>
    </w:p>
    <w:p>
      <w:pPr>
        <w:spacing w:after="0" w:line="116" w:lineRule="exact"/>
        <w:rPr>
          <w:rFonts w:ascii="Times New Roman" w:cs="Times New Roman" w:eastAsia="Times New Roman" w:hAnsi="Times New Roman"/>
          <w:sz w:val="18"/>
          <w:szCs w:val="18"/>
          <w:color w:val="auto"/>
        </w:rPr>
      </w:pPr>
    </w:p>
    <w:p>
      <w:pPr>
        <w:ind w:left="980" w:right="100" w:hanging="324"/>
        <w:spacing w:after="0" w:line="286" w:lineRule="auto"/>
        <w:tabs>
          <w:tab w:leader="none" w:pos="975" w:val="left"/>
        </w:tabs>
        <w:numPr>
          <w:ilvl w:val="0"/>
          <w:numId w:val="217"/>
        </w:numPr>
        <w:rPr>
          <w:rFonts w:ascii="Times New Roman" w:cs="Times New Roman" w:eastAsia="Times New Roman" w:hAnsi="Times New Roman"/>
          <w:sz w:val="18"/>
          <w:szCs w:val="18"/>
          <w:color w:val="auto"/>
        </w:rPr>
      </w:pPr>
      <w:r>
        <w:rPr>
          <w:rFonts w:ascii="Arial" w:cs="Arial" w:eastAsia="Arial" w:hAnsi="Arial"/>
          <w:sz w:val="18"/>
          <w:szCs w:val="18"/>
          <w:color w:val="auto"/>
        </w:rPr>
        <w:t>the trustee has not received from the holders of a majority in outstanding principal amount of the debt securities of such series a direction inconsistent with such request; and</w:t>
      </w:r>
    </w:p>
    <w:p>
      <w:pPr>
        <w:spacing w:after="0" w:line="4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7"/>
        </w:numPr>
        <w:rPr>
          <w:rFonts w:ascii="Times New Roman" w:cs="Times New Roman" w:eastAsia="Times New Roman" w:hAnsi="Times New Roman"/>
          <w:sz w:val="18"/>
          <w:szCs w:val="18"/>
          <w:color w:val="auto"/>
        </w:rPr>
      </w:pPr>
      <w:r>
        <w:rPr>
          <w:rFonts w:ascii="Arial" w:cs="Arial" w:eastAsia="Arial" w:hAnsi="Arial"/>
          <w:sz w:val="18"/>
          <w:szCs w:val="18"/>
          <w:color w:val="auto"/>
        </w:rPr>
        <w:t>the trustee has failed to institute such proceeding within 90 calendar days of such notice.</w:t>
      </w:r>
    </w:p>
    <w:p>
      <w:pPr>
        <w:spacing w:after="0" w:line="116" w:lineRule="exact"/>
        <w:rPr>
          <w:sz w:val="20"/>
          <w:szCs w:val="20"/>
          <w:color w:val="auto"/>
        </w:rPr>
      </w:pPr>
    </w:p>
    <w:p>
      <w:pPr>
        <w:jc w:val="both"/>
        <w:ind w:firstLine="342"/>
        <w:spacing w:after="0" w:line="268" w:lineRule="auto"/>
        <w:rPr>
          <w:sz w:val="20"/>
          <w:szCs w:val="20"/>
          <w:color w:val="auto"/>
        </w:rPr>
      </w:pPr>
      <w:r>
        <w:rPr>
          <w:rFonts w:ascii="Arial" w:cs="Arial" w:eastAsia="Arial" w:hAnsi="Arial"/>
          <w:sz w:val="18"/>
          <w:szCs w:val="18"/>
          <w:color w:val="auto"/>
        </w:rPr>
        <w:t>However, such limitations do not apply to a suit instituted by a holder of debt securities for enforcement of payment of the principal of, or premium or interest, if any, on, such debt securities on or after the respective due dates expressed in such debt securities after any applicable grace periods have expired.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and Waiver</w:t>
      </w:r>
    </w:p>
    <w:p>
      <w:pPr>
        <w:spacing w:after="0" w:line="117" w:lineRule="exact"/>
        <w:rPr>
          <w:sz w:val="20"/>
          <w:szCs w:val="20"/>
          <w:color w:val="auto"/>
        </w:rPr>
      </w:pPr>
    </w:p>
    <w:p>
      <w:pPr>
        <w:jc w:val="both"/>
        <w:ind w:firstLine="342"/>
        <w:spacing w:after="0" w:line="287" w:lineRule="auto"/>
        <w:rPr>
          <w:sz w:val="20"/>
          <w:szCs w:val="20"/>
          <w:color w:val="auto"/>
        </w:rPr>
      </w:pPr>
      <w:r>
        <w:rPr>
          <w:rFonts w:ascii="Arial" w:cs="Arial" w:eastAsia="Arial" w:hAnsi="Arial"/>
          <w:sz w:val="18"/>
          <w:szCs w:val="18"/>
          <w:color w:val="auto"/>
        </w:rPr>
        <w:t>The trustee and we may amend or supplement the indenture or the debt securities of any series without the consent of any holder, in order to:</w:t>
      </w:r>
    </w:p>
    <w:p>
      <w:pPr>
        <w:spacing w:after="0" w:line="45" w:lineRule="exact"/>
        <w:rPr>
          <w:sz w:val="20"/>
          <w:szCs w:val="20"/>
          <w:color w:val="auto"/>
        </w:rPr>
      </w:pPr>
    </w:p>
    <w:p>
      <w:pPr>
        <w:ind w:left="980" w:hanging="324"/>
        <w:spacing w:after="0"/>
        <w:tabs>
          <w:tab w:leader="none" w:pos="980" w:val="left"/>
        </w:tabs>
        <w:numPr>
          <w:ilvl w:val="0"/>
          <w:numId w:val="218"/>
        </w:numPr>
        <w:rPr>
          <w:rFonts w:ascii="Times New Roman" w:cs="Times New Roman" w:eastAsia="Times New Roman" w:hAnsi="Times New Roman"/>
          <w:sz w:val="18"/>
          <w:szCs w:val="18"/>
          <w:color w:val="auto"/>
        </w:rPr>
      </w:pPr>
      <w:r>
        <w:rPr>
          <w:rFonts w:ascii="Arial" w:cs="Arial" w:eastAsia="Arial" w:hAnsi="Arial"/>
          <w:sz w:val="18"/>
          <w:szCs w:val="18"/>
          <w:color w:val="auto"/>
        </w:rPr>
        <w:t>cure any ambiguity, defect or inconsistency;</w:t>
      </w:r>
    </w:p>
    <w:p>
      <w:pPr>
        <w:spacing w:after="0" w:line="11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8"/>
        </w:numPr>
        <w:rPr>
          <w:rFonts w:ascii="Times New Roman" w:cs="Times New Roman" w:eastAsia="Times New Roman" w:hAnsi="Times New Roman"/>
          <w:sz w:val="18"/>
          <w:szCs w:val="18"/>
          <w:color w:val="auto"/>
        </w:rPr>
      </w:pPr>
      <w:r>
        <w:rPr>
          <w:rFonts w:ascii="Arial" w:cs="Arial" w:eastAsia="Arial" w:hAnsi="Arial"/>
          <w:sz w:val="18"/>
          <w:szCs w:val="18"/>
          <w:color w:val="auto"/>
        </w:rPr>
        <w:t>provide for uncertificated debt securities in addition to or in place of certificated debt securities;</w:t>
      </w:r>
    </w:p>
    <w:p>
      <w:pPr>
        <w:spacing w:after="0" w:line="116" w:lineRule="exact"/>
        <w:rPr>
          <w:rFonts w:ascii="Times New Roman" w:cs="Times New Roman" w:eastAsia="Times New Roman" w:hAnsi="Times New Roman"/>
          <w:sz w:val="18"/>
          <w:szCs w:val="18"/>
          <w:color w:val="auto"/>
        </w:rPr>
      </w:pPr>
    </w:p>
    <w:p>
      <w:pPr>
        <w:ind w:left="980" w:right="20" w:hanging="324"/>
        <w:spacing w:after="0" w:line="286" w:lineRule="auto"/>
        <w:tabs>
          <w:tab w:leader="none" w:pos="975" w:val="left"/>
        </w:tabs>
        <w:numPr>
          <w:ilvl w:val="0"/>
          <w:numId w:val="218"/>
        </w:numPr>
        <w:rPr>
          <w:rFonts w:ascii="Times New Roman" w:cs="Times New Roman" w:eastAsia="Times New Roman" w:hAnsi="Times New Roman"/>
          <w:sz w:val="18"/>
          <w:szCs w:val="18"/>
          <w:color w:val="auto"/>
        </w:rPr>
      </w:pPr>
      <w:r>
        <w:rPr>
          <w:rFonts w:ascii="Arial" w:cs="Arial" w:eastAsia="Arial" w:hAnsi="Arial"/>
          <w:sz w:val="18"/>
          <w:szCs w:val="18"/>
          <w:color w:val="auto"/>
        </w:rPr>
        <w:t>provide for the assumption of our obligations to the holders in the case of a merger or consolidation of us as permitted by the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417" w:right="339" w:bottom="1440" w:gutter="0" w:footer="0" w:header="0"/>
        </w:sectPr>
      </w:pPr>
    </w:p>
    <w:bookmarkStart w:id="134" w:name="page135"/>
    <w:bookmarkEnd w:id="134"/>
    <w:p>
      <w:pPr>
        <w:ind w:left="980" w:hanging="324"/>
        <w:spacing w:after="0" w:line="286" w:lineRule="auto"/>
        <w:tabs>
          <w:tab w:leader="none" w:pos="975" w:val="left"/>
        </w:tabs>
        <w:numPr>
          <w:ilvl w:val="0"/>
          <w:numId w:val="219"/>
        </w:numPr>
        <w:rPr>
          <w:rFonts w:ascii="Times New Roman" w:cs="Times New Roman" w:eastAsia="Times New Roman" w:hAnsi="Times New Roman"/>
          <w:sz w:val="18"/>
          <w:szCs w:val="18"/>
          <w:color w:val="auto"/>
        </w:rPr>
      </w:pPr>
      <w:r>
        <w:rPr>
          <w:rFonts w:ascii="Arial" w:cs="Arial" w:eastAsia="Arial" w:hAnsi="Arial"/>
          <w:sz w:val="18"/>
          <w:szCs w:val="18"/>
          <w:color w:val="auto"/>
        </w:rPr>
        <w:t>evidence and provide for the acceptance of appointment by a successor trustee and to add to or change any of the provisions of the indenture as are necessary to provide for or facilitate the administration of the trusts by more than one trustee;</w:t>
      </w:r>
    </w:p>
    <w:p>
      <w:pPr>
        <w:spacing w:after="0" w:line="45" w:lineRule="exact"/>
        <w:rPr>
          <w:rFonts w:ascii="Times New Roman" w:cs="Times New Roman" w:eastAsia="Times New Roman" w:hAnsi="Times New Roman"/>
          <w:sz w:val="18"/>
          <w:szCs w:val="18"/>
          <w:color w:val="auto"/>
        </w:rPr>
      </w:pPr>
    </w:p>
    <w:p>
      <w:pPr>
        <w:ind w:left="980" w:hanging="324"/>
        <w:spacing w:after="0" w:line="286" w:lineRule="auto"/>
        <w:tabs>
          <w:tab w:leader="none" w:pos="975" w:val="left"/>
        </w:tabs>
        <w:numPr>
          <w:ilvl w:val="0"/>
          <w:numId w:val="219"/>
        </w:numPr>
        <w:rPr>
          <w:rFonts w:ascii="Times New Roman" w:cs="Times New Roman" w:eastAsia="Times New Roman" w:hAnsi="Times New Roman"/>
          <w:sz w:val="18"/>
          <w:szCs w:val="18"/>
          <w:color w:val="auto"/>
        </w:rPr>
      </w:pPr>
      <w:r>
        <w:rPr>
          <w:rFonts w:ascii="Arial" w:cs="Arial" w:eastAsia="Arial" w:hAnsi="Arial"/>
          <w:sz w:val="18"/>
          <w:szCs w:val="18"/>
          <w:color w:val="auto"/>
        </w:rPr>
        <w:t>make any change that would provide any additional rights or benefits to the holders of all or any series of debt securities and that does not adversely affect any such holder; or</w:t>
      </w:r>
    </w:p>
    <w:p>
      <w:pPr>
        <w:spacing w:after="0" w:line="4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9"/>
        </w:numPr>
        <w:rPr>
          <w:rFonts w:ascii="Times New Roman" w:cs="Times New Roman" w:eastAsia="Times New Roman" w:hAnsi="Times New Roman"/>
          <w:sz w:val="18"/>
          <w:szCs w:val="18"/>
          <w:color w:val="auto"/>
        </w:rPr>
      </w:pPr>
      <w:r>
        <w:rPr>
          <w:rFonts w:ascii="Arial" w:cs="Arial" w:eastAsia="Arial" w:hAnsi="Arial"/>
          <w:sz w:val="18"/>
          <w:szCs w:val="18"/>
          <w:color w:val="auto"/>
        </w:rPr>
        <w:t>comply with SEC requirements in order to effect or maintain the qualification of the indenture under the Trust Indenture Act.</w:t>
      </w:r>
    </w:p>
    <w:p>
      <w:pPr>
        <w:spacing w:after="0" w:line="116" w:lineRule="exact"/>
        <w:rPr>
          <w:sz w:val="20"/>
          <w:szCs w:val="20"/>
          <w:color w:val="auto"/>
        </w:rPr>
      </w:pPr>
    </w:p>
    <w:p>
      <w:pPr>
        <w:jc w:val="both"/>
        <w:ind w:firstLine="342"/>
        <w:spacing w:after="0" w:line="268" w:lineRule="auto"/>
        <w:rPr>
          <w:sz w:val="20"/>
          <w:szCs w:val="20"/>
          <w:color w:val="auto"/>
        </w:rPr>
      </w:pPr>
      <w:r>
        <w:rPr>
          <w:rFonts w:ascii="Arial" w:cs="Arial" w:eastAsia="Arial" w:hAnsi="Arial"/>
          <w:sz w:val="18"/>
          <w:szCs w:val="18"/>
          <w:color w:val="auto"/>
        </w:rPr>
        <w:t>In addition, except as described below, modifications and amendments of the indenture or the debt securities of any series may be made by the trustee and us with the consent of the holders of a majority in outstanding principal amount of the debt securities affected by such modification or amendment. However, no such modification or amendment may, without the consent of each holder affected thereby:</w:t>
      </w:r>
    </w:p>
    <w:p>
      <w:pPr>
        <w:spacing w:after="0" w:line="63" w:lineRule="exact"/>
        <w:rPr>
          <w:sz w:val="20"/>
          <w:szCs w:val="20"/>
          <w:color w:val="auto"/>
        </w:rPr>
      </w:pPr>
    </w:p>
    <w:p>
      <w:pPr>
        <w:ind w:left="980" w:hanging="324"/>
        <w:spacing w:after="0"/>
        <w:tabs>
          <w:tab w:leader="none" w:pos="980" w:val="left"/>
        </w:tabs>
        <w:numPr>
          <w:ilvl w:val="0"/>
          <w:numId w:val="220"/>
        </w:numPr>
        <w:rPr>
          <w:rFonts w:ascii="Times New Roman" w:cs="Times New Roman" w:eastAsia="Times New Roman" w:hAnsi="Times New Roman"/>
          <w:sz w:val="18"/>
          <w:szCs w:val="18"/>
          <w:color w:val="auto"/>
        </w:rPr>
      </w:pPr>
      <w:r>
        <w:rPr>
          <w:rFonts w:ascii="Arial" w:cs="Arial" w:eastAsia="Arial" w:hAnsi="Arial"/>
          <w:sz w:val="18"/>
          <w:szCs w:val="18"/>
          <w:color w:val="auto"/>
        </w:rPr>
        <w:t>change the stated maturity of, or time for payment of interest on, any debt security;</w:t>
      </w:r>
    </w:p>
    <w:p>
      <w:pPr>
        <w:spacing w:after="0" w:line="11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0"/>
        </w:numPr>
        <w:rPr>
          <w:rFonts w:ascii="Times New Roman" w:cs="Times New Roman" w:eastAsia="Times New Roman" w:hAnsi="Times New Roman"/>
          <w:sz w:val="18"/>
          <w:szCs w:val="18"/>
          <w:color w:val="auto"/>
        </w:rPr>
      </w:pPr>
      <w:r>
        <w:rPr>
          <w:rFonts w:ascii="Arial" w:cs="Arial" w:eastAsia="Arial" w:hAnsi="Arial"/>
          <w:sz w:val="18"/>
          <w:szCs w:val="18"/>
          <w:color w:val="auto"/>
        </w:rPr>
        <w:t>reduce the principal amount of, or the rate of interest or the premium, if any, payable upon the redemption of any debt security;</w:t>
      </w:r>
    </w:p>
    <w:p>
      <w:pPr>
        <w:spacing w:after="0" w:line="11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0"/>
        </w:numPr>
        <w:rPr>
          <w:rFonts w:ascii="Times New Roman" w:cs="Times New Roman" w:eastAsia="Times New Roman" w:hAnsi="Times New Roman"/>
          <w:sz w:val="18"/>
          <w:szCs w:val="18"/>
          <w:color w:val="auto"/>
        </w:rPr>
      </w:pPr>
      <w:r>
        <w:rPr>
          <w:rFonts w:ascii="Arial" w:cs="Arial" w:eastAsia="Arial" w:hAnsi="Arial"/>
          <w:sz w:val="18"/>
          <w:szCs w:val="18"/>
          <w:color w:val="auto"/>
        </w:rPr>
        <w:t>change the place or currency of payment of principal of, or interest or premium, if any, on, any debt security;</w:t>
      </w:r>
    </w:p>
    <w:p>
      <w:pPr>
        <w:spacing w:after="0" w:line="116" w:lineRule="exact"/>
        <w:rPr>
          <w:rFonts w:ascii="Times New Roman" w:cs="Times New Roman" w:eastAsia="Times New Roman" w:hAnsi="Times New Roman"/>
          <w:sz w:val="18"/>
          <w:szCs w:val="18"/>
          <w:color w:val="auto"/>
        </w:rPr>
      </w:pPr>
    </w:p>
    <w:p>
      <w:pPr>
        <w:ind w:left="980" w:hanging="324"/>
        <w:spacing w:after="0" w:line="286" w:lineRule="auto"/>
        <w:tabs>
          <w:tab w:leader="none" w:pos="975" w:val="left"/>
        </w:tabs>
        <w:numPr>
          <w:ilvl w:val="0"/>
          <w:numId w:val="220"/>
        </w:numPr>
        <w:rPr>
          <w:rFonts w:ascii="Times New Roman" w:cs="Times New Roman" w:eastAsia="Times New Roman" w:hAnsi="Times New Roman"/>
          <w:sz w:val="18"/>
          <w:szCs w:val="18"/>
          <w:color w:val="auto"/>
        </w:rPr>
      </w:pPr>
      <w:r>
        <w:rPr>
          <w:rFonts w:ascii="Arial" w:cs="Arial" w:eastAsia="Arial" w:hAnsi="Arial"/>
          <w:sz w:val="18"/>
          <w:szCs w:val="18"/>
          <w:color w:val="auto"/>
        </w:rPr>
        <w:t>impair the right to institute suit for the enforcement of any payment on or with respect to such debt securities on or after the stated maturity or prepayment date thereof; or</w:t>
      </w:r>
    </w:p>
    <w:p>
      <w:pPr>
        <w:spacing w:after="0" w:line="45" w:lineRule="exact"/>
        <w:rPr>
          <w:rFonts w:ascii="Times New Roman" w:cs="Times New Roman" w:eastAsia="Times New Roman" w:hAnsi="Times New Roman"/>
          <w:sz w:val="18"/>
          <w:szCs w:val="18"/>
          <w:color w:val="auto"/>
        </w:rPr>
      </w:pPr>
    </w:p>
    <w:p>
      <w:pPr>
        <w:ind w:left="980" w:hanging="324"/>
        <w:spacing w:after="0" w:line="286" w:lineRule="auto"/>
        <w:tabs>
          <w:tab w:leader="none" w:pos="975" w:val="left"/>
        </w:tabs>
        <w:numPr>
          <w:ilvl w:val="0"/>
          <w:numId w:val="220"/>
        </w:numPr>
        <w:rPr>
          <w:rFonts w:ascii="Times New Roman" w:cs="Times New Roman" w:eastAsia="Times New Roman" w:hAnsi="Times New Roman"/>
          <w:sz w:val="18"/>
          <w:szCs w:val="18"/>
          <w:color w:val="auto"/>
        </w:rPr>
      </w:pPr>
      <w:r>
        <w:rPr>
          <w:rFonts w:ascii="Arial" w:cs="Arial" w:eastAsia="Arial" w:hAnsi="Arial"/>
          <w:sz w:val="18"/>
          <w:szCs w:val="18"/>
          <w:color w:val="auto"/>
        </w:rPr>
        <w:t>reduce the percentage in principal amount of debt securities of any series where holders must consent to an amendment, supplement or waiver.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w:t>
      </w:r>
    </w:p>
    <w:p>
      <w:pPr>
        <w:spacing w:after="0" w:line="117" w:lineRule="exact"/>
        <w:rPr>
          <w:sz w:val="20"/>
          <w:szCs w:val="20"/>
          <w:color w:val="auto"/>
        </w:rPr>
      </w:pPr>
    </w:p>
    <w:p>
      <w:pPr>
        <w:jc w:val="both"/>
        <w:ind w:firstLine="342"/>
        <w:spacing w:after="0" w:line="254" w:lineRule="auto"/>
        <w:rPr>
          <w:sz w:val="20"/>
          <w:szCs w:val="20"/>
          <w:color w:val="auto"/>
        </w:rPr>
      </w:pPr>
      <w:r>
        <w:rPr>
          <w:rFonts w:ascii="Arial" w:cs="Arial" w:eastAsia="Arial" w:hAnsi="Arial"/>
          <w:sz w:val="18"/>
          <w:szCs w:val="18"/>
          <w:color w:val="auto"/>
        </w:rPr>
        <w:t>The indenture provides that we will be discharged from any and all obligations in respect of the debt securities of any series (except for certain obligations to register the transfer or exchange of the debt securities, to replace stolen, lost or mutilated debt securities, to maintain paying agencies and hold monies for payment in trust and to pay the principal of and interest, if any, on such debt securities), upon the irrevocable deposit with the trustee, in trust, of money and/or U.S. government securities, which through the payment of interest and principal thereof in accordance with their terms provides money in an amount sufficient to pay the principal of (and premium, if any) and interest, if any, in respect of the debt securities of such series on the stated maturity date of such principal and any installment of principal, or interest or premium, if any. Also, the establishment of such a trust will be conditioned on the delivery by us to the trustee of an opinion of counsel reasonably satisfactory to the trustee to the effect that, based upon applicable U.S. federal income tax law or a ruling published by the United States Internal Revenue Service, such a defeasance and discharge will not be deemed, or result in, a taxable event with respect to the holders. For the avoidance of doubt, such an opinion would require a change in current U.S. tax law.</w:t>
      </w:r>
    </w:p>
    <w:p>
      <w:pPr>
        <w:spacing w:after="0" w:line="77" w:lineRule="exact"/>
        <w:rPr>
          <w:sz w:val="20"/>
          <w:szCs w:val="20"/>
          <w:color w:val="auto"/>
        </w:rPr>
      </w:pPr>
    </w:p>
    <w:p>
      <w:pPr>
        <w:jc w:val="both"/>
        <w:ind w:firstLine="342"/>
        <w:spacing w:after="0" w:line="255" w:lineRule="auto"/>
        <w:rPr>
          <w:sz w:val="20"/>
          <w:szCs w:val="20"/>
          <w:color w:val="auto"/>
        </w:rPr>
      </w:pPr>
      <w:r>
        <w:rPr>
          <w:rFonts w:ascii="Arial" w:cs="Arial" w:eastAsia="Arial" w:hAnsi="Arial"/>
          <w:sz w:val="18"/>
          <w:szCs w:val="18"/>
          <w:color w:val="auto"/>
        </w:rPr>
        <w:t>We may also omit to comply with the restrictive covenants, if any, of any particular series of debt securities, other than our covenant to pay the amounts due and owing with respect to such series of debt securities. Thereafter, any such omission shall not be an event of default with respect to the debt securities of such series, upon the deposit with the trustee, in trust, of money and/or U.S. government securities which through the payment of interest and principal in respect thereof in accordance with their terms provides money in an amount sufficient to pay any installment of principal of (and premium, if any) and interest, if any, in respect of debt securities of such series on the stated maturity date of such principal or installment of principal, or interest or premium, if any. Our obligations under the indenture and the debt securities of such series other than with respect to such covenants shall remain in full force and effect. Also, the establishment of such a trust will be conditioned on the delivery by us to the trustee of an opinion of counsel to the effect that such a defeasance and discharge will not be deemed, or result in, a taxable event with respect to the holders.</w:t>
      </w:r>
    </w:p>
    <w:p>
      <w:pPr>
        <w:spacing w:after="0" w:line="73" w:lineRule="exact"/>
        <w:rPr>
          <w:sz w:val="20"/>
          <w:szCs w:val="20"/>
          <w:color w:val="auto"/>
        </w:rPr>
      </w:pPr>
    </w:p>
    <w:p>
      <w:pPr>
        <w:jc w:val="both"/>
        <w:ind w:firstLine="342"/>
        <w:spacing w:after="0" w:line="287" w:lineRule="auto"/>
        <w:rPr>
          <w:sz w:val="20"/>
          <w:szCs w:val="20"/>
          <w:color w:val="auto"/>
        </w:rPr>
      </w:pPr>
      <w:r>
        <w:rPr>
          <w:rFonts w:ascii="Arial" w:cs="Arial" w:eastAsia="Arial" w:hAnsi="Arial"/>
          <w:sz w:val="18"/>
          <w:szCs w:val="18"/>
          <w:color w:val="auto"/>
        </w:rPr>
        <w:t>In the event we exercise our option to omit compliance with certain covenants as described in the preceding paragraph and the debt securities of such series are declared due and payable because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417" w:right="339" w:bottom="1440" w:gutter="0" w:footer="0" w:header="0"/>
        </w:sectPr>
      </w:pPr>
    </w:p>
    <w:bookmarkStart w:id="135" w:name="page136"/>
    <w:bookmarkEnd w:id="135"/>
    <w:p>
      <w:pPr>
        <w:jc w:val="both"/>
        <w:spacing w:after="0" w:line="268" w:lineRule="auto"/>
        <w:rPr>
          <w:sz w:val="20"/>
          <w:szCs w:val="20"/>
          <w:color w:val="auto"/>
        </w:rPr>
      </w:pPr>
      <w:r>
        <w:rPr>
          <w:rFonts w:ascii="Arial" w:cs="Arial" w:eastAsia="Arial" w:hAnsi="Arial"/>
          <w:sz w:val="18"/>
          <w:szCs w:val="18"/>
          <w:color w:val="auto"/>
        </w:rPr>
        <w:t>occurrence of any event of default, then the amount of monies and U.S. government securities on deposit with the trustee will be sufficient to pay amounts due on the debt securities of such series at the time of the acceleration resulting from such event of default. We will in any event remain liable for such payments as provided in the debt securities of such series.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Satisfaction and Discharge</w:t>
      </w:r>
    </w:p>
    <w:p>
      <w:pPr>
        <w:spacing w:after="0" w:line="117" w:lineRule="exact"/>
        <w:rPr>
          <w:sz w:val="20"/>
          <w:szCs w:val="20"/>
          <w:color w:val="auto"/>
        </w:rPr>
      </w:pPr>
    </w:p>
    <w:p>
      <w:pPr>
        <w:jc w:val="both"/>
        <w:ind w:firstLine="342"/>
        <w:spacing w:after="0" w:line="287" w:lineRule="auto"/>
        <w:rPr>
          <w:sz w:val="20"/>
          <w:szCs w:val="20"/>
          <w:color w:val="auto"/>
        </w:rPr>
      </w:pPr>
      <w:r>
        <w:rPr>
          <w:rFonts w:ascii="Arial" w:cs="Arial" w:eastAsia="Arial" w:hAnsi="Arial"/>
          <w:sz w:val="18"/>
          <w:szCs w:val="18"/>
          <w:color w:val="auto"/>
        </w:rPr>
        <w:t>At our option, we may satisfy and discharge the indenture with respect to the debt securities of any series (except for specified obligations of the trustee and ours, including, among others, the obligations to apply money held in trust) when:</w:t>
      </w:r>
    </w:p>
    <w:p>
      <w:pPr>
        <w:spacing w:after="0" w:line="45" w:lineRule="exact"/>
        <w:rPr>
          <w:sz w:val="20"/>
          <w:szCs w:val="20"/>
          <w:color w:val="auto"/>
        </w:rPr>
      </w:pPr>
    </w:p>
    <w:p>
      <w:pPr>
        <w:jc w:val="both"/>
        <w:ind w:left="980" w:hanging="324"/>
        <w:spacing w:after="0" w:line="257" w:lineRule="auto"/>
        <w:tabs>
          <w:tab w:leader="none" w:pos="975" w:val="left"/>
        </w:tabs>
        <w:numPr>
          <w:ilvl w:val="0"/>
          <w:numId w:val="221"/>
        </w:numPr>
        <w:rPr>
          <w:rFonts w:ascii="Times New Roman" w:cs="Times New Roman" w:eastAsia="Times New Roman" w:hAnsi="Times New Roman"/>
          <w:sz w:val="18"/>
          <w:szCs w:val="18"/>
          <w:color w:val="auto"/>
        </w:rPr>
      </w:pPr>
      <w:r>
        <w:rPr>
          <w:rFonts w:ascii="Arial" w:cs="Arial" w:eastAsia="Arial" w:hAnsi="Arial"/>
          <w:sz w:val="18"/>
          <w:szCs w:val="18"/>
          <w:color w:val="auto"/>
        </w:rPr>
        <w:t>either (a) all debt securities of such series previously authenticated and delivered under the indenture have been delivered to the trustee for cancellation or (b) all debt securities of such series not theretofore delivered to the trustee for cancellation have become due and payable, will become due and payable at their stated maturity within one year, or are to be called for redemption within one year under arrangements satisfactory to the trustee for the giving of notice of redemption by the trustee, and we have deposited or caused to be deposited with the trustee as trust funds in trust for such purpose an amount sufficient to pay and discharge the entire indebtedness on debt securities of such series;</w:t>
      </w:r>
    </w:p>
    <w:p>
      <w:pPr>
        <w:spacing w:after="0" w:line="73" w:lineRule="exact"/>
        <w:rPr>
          <w:rFonts w:ascii="Times New Roman" w:cs="Times New Roman" w:eastAsia="Times New Roman" w:hAnsi="Times New Roman"/>
          <w:sz w:val="18"/>
          <w:szCs w:val="18"/>
          <w:color w:val="auto"/>
        </w:rPr>
      </w:pPr>
    </w:p>
    <w:p>
      <w:pPr>
        <w:ind w:left="980" w:hanging="324"/>
        <w:spacing w:after="0" w:line="286" w:lineRule="auto"/>
        <w:tabs>
          <w:tab w:leader="none" w:pos="975" w:val="left"/>
        </w:tabs>
        <w:numPr>
          <w:ilvl w:val="0"/>
          <w:numId w:val="221"/>
        </w:numPr>
        <w:rPr>
          <w:rFonts w:ascii="Times New Roman" w:cs="Times New Roman" w:eastAsia="Times New Roman" w:hAnsi="Times New Roman"/>
          <w:sz w:val="18"/>
          <w:szCs w:val="18"/>
          <w:color w:val="auto"/>
        </w:rPr>
      </w:pPr>
      <w:r>
        <w:rPr>
          <w:rFonts w:ascii="Arial" w:cs="Arial" w:eastAsia="Arial" w:hAnsi="Arial"/>
          <w:sz w:val="18"/>
          <w:szCs w:val="18"/>
          <w:color w:val="auto"/>
        </w:rPr>
        <w:t>we have paid or caused to be paid all other sums payable under the indenture with respect to the debt securities of such series by us; and</w:t>
      </w:r>
    </w:p>
    <w:p>
      <w:pPr>
        <w:spacing w:after="0" w:line="45" w:lineRule="exact"/>
        <w:rPr>
          <w:rFonts w:ascii="Times New Roman" w:cs="Times New Roman" w:eastAsia="Times New Roman" w:hAnsi="Times New Roman"/>
          <w:sz w:val="18"/>
          <w:szCs w:val="18"/>
          <w:color w:val="auto"/>
        </w:rPr>
      </w:pPr>
    </w:p>
    <w:p>
      <w:pPr>
        <w:ind w:left="980" w:hanging="324"/>
        <w:spacing w:after="0" w:line="286" w:lineRule="auto"/>
        <w:tabs>
          <w:tab w:leader="none" w:pos="975" w:val="left"/>
        </w:tabs>
        <w:numPr>
          <w:ilvl w:val="0"/>
          <w:numId w:val="221"/>
        </w:numPr>
        <w:rPr>
          <w:rFonts w:ascii="Times New Roman" w:cs="Times New Roman" w:eastAsia="Times New Roman" w:hAnsi="Times New Roman"/>
          <w:sz w:val="18"/>
          <w:szCs w:val="18"/>
          <w:color w:val="auto"/>
        </w:rPr>
      </w:pPr>
      <w:r>
        <w:rPr>
          <w:rFonts w:ascii="Arial" w:cs="Arial" w:eastAsia="Arial" w:hAnsi="Arial"/>
          <w:sz w:val="18"/>
          <w:szCs w:val="18"/>
          <w:color w:val="auto"/>
        </w:rPr>
        <w:t>we have delivered to the trustee an officers’ certificate and an opinion of counsel, each to the effect that all conditions precedent relating to the satisfaction and discharge of the indenture as to such series have been satisfied.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on the Debt Securities</w:t>
      </w:r>
    </w:p>
    <w:p>
      <w:pPr>
        <w:spacing w:after="0" w:line="117" w:lineRule="exact"/>
        <w:rPr>
          <w:sz w:val="20"/>
          <w:szCs w:val="20"/>
          <w:color w:val="auto"/>
        </w:rPr>
      </w:pPr>
    </w:p>
    <w:p>
      <w:pPr>
        <w:jc w:val="both"/>
        <w:ind w:firstLine="342"/>
        <w:spacing w:after="0" w:line="254" w:lineRule="auto"/>
        <w:rPr>
          <w:sz w:val="20"/>
          <w:szCs w:val="20"/>
          <w:color w:val="auto"/>
        </w:rPr>
      </w:pPr>
      <w:r>
        <w:rPr>
          <w:rFonts w:ascii="Arial" w:cs="Arial" w:eastAsia="Arial" w:hAnsi="Arial"/>
          <w:sz w:val="18"/>
          <w:szCs w:val="18"/>
          <w:color w:val="auto"/>
        </w:rPr>
        <w:t xml:space="preserve">All payments on the debt securities are payable in euros; provided that if the euro is unavailable to us due to the imposition of exchange controls or other circumstances beyond our control or if the euro is no longer being used by the then member states of the European Monetary Union that have adopted the euro as their currency or for the settlement of transactions by public institutions of or within the international banking community, then all payments in respect of the debt securities will be made in U.S. dollars until the euro is again available to us or so used. The amount payable on any date in euros will be converted into U.S. dollars at the rate mandated by the U.S. Federal Reserve Board as of the close of business on the second business day prior to the relevant payment date or, in the event the U.S. Federal Reserve Board has not mandated a rate of conversion, on the basis of the most recent U.S. dollar/euro exchange rate published in </w:t>
      </w:r>
      <w:r>
        <w:rPr>
          <w:rFonts w:ascii="Arial" w:cs="Arial" w:eastAsia="Arial" w:hAnsi="Arial"/>
          <w:sz w:val="18"/>
          <w:szCs w:val="18"/>
          <w:i w:val="1"/>
          <w:iCs w:val="1"/>
          <w:color w:val="auto"/>
        </w:rPr>
        <w:t>The Wall Street Journal</w:t>
      </w:r>
      <w:r>
        <w:rPr>
          <w:rFonts w:ascii="Arial" w:cs="Arial" w:eastAsia="Arial" w:hAnsi="Arial"/>
          <w:sz w:val="18"/>
          <w:szCs w:val="18"/>
          <w:color w:val="auto"/>
        </w:rPr>
        <w:t xml:space="preserve"> on or prior to the second business day prior to the relevant payment date. Any payment in respect of the debt securities so made in U.S. dollars does not constitute an event of default under the debt securities or the indenture. Neither the trustee nor the paying agent will have any responsibility for any calculation or conversion in connection with the foregoing.</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Ranking</w:t>
      </w:r>
    </w:p>
    <w:p>
      <w:pPr>
        <w:spacing w:after="0" w:line="117" w:lineRule="exact"/>
        <w:rPr>
          <w:sz w:val="20"/>
          <w:szCs w:val="20"/>
          <w:color w:val="auto"/>
        </w:rPr>
      </w:pPr>
    </w:p>
    <w:p>
      <w:pPr>
        <w:jc w:val="both"/>
        <w:ind w:firstLine="342"/>
        <w:spacing w:after="0" w:line="287" w:lineRule="auto"/>
        <w:rPr>
          <w:sz w:val="20"/>
          <w:szCs w:val="20"/>
          <w:color w:val="auto"/>
        </w:rPr>
      </w:pPr>
      <w:r>
        <w:rPr>
          <w:rFonts w:ascii="Arial" w:cs="Arial" w:eastAsia="Arial" w:hAnsi="Arial"/>
          <w:sz w:val="18"/>
          <w:szCs w:val="18"/>
          <w:color w:val="auto"/>
        </w:rPr>
        <w:t>The debt securities are our senior unsecured and unsubordinated debt obligations and rank equally among themselves and with all of our other existing and future senior unsecured indebtedness and senior to all of our subordinated debt.</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w:t>
      </w:r>
    </w:p>
    <w:p>
      <w:pPr>
        <w:spacing w:after="0" w:line="117"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 2028 notes began bearing interest as of February 22, 2016; the 0.750% 2032 notes began bearing interest from March 10, 2020; the 2034 notes began bearing interest from November 2, 2022; the 2027 notes and the 3.750% 2032 notes began bearing interest from May 17, 2023; and the 2030 notes and the 2036 notes began bearing interest from March 1, 2024.</w:t>
      </w:r>
    </w:p>
    <w:p>
      <w:pPr>
        <w:spacing w:after="0" w:line="63" w:lineRule="exact"/>
        <w:rPr>
          <w:sz w:val="20"/>
          <w:szCs w:val="20"/>
          <w:color w:val="auto"/>
        </w:rPr>
      </w:pPr>
    </w:p>
    <w:p>
      <w:pPr>
        <w:jc w:val="both"/>
        <w:ind w:right="20" w:firstLine="342"/>
        <w:spacing w:after="0" w:line="268" w:lineRule="auto"/>
        <w:rPr>
          <w:sz w:val="20"/>
          <w:szCs w:val="20"/>
          <w:color w:val="auto"/>
        </w:rPr>
      </w:pPr>
      <w:r>
        <w:rPr>
          <w:rFonts w:ascii="Arial" w:cs="Arial" w:eastAsia="Arial" w:hAnsi="Arial"/>
          <w:sz w:val="18"/>
          <w:szCs w:val="18"/>
          <w:color w:val="auto"/>
        </w:rPr>
        <w:t>The debt securities bear interest at fixed rates. The 2027 notes bear interest at a fixed rate of 3.500% per annum, the 2028 notes bear interest at a fixed rate of 2.250% per annum, the 2030 notes bear interest at a fixed rate of 3.375% per annum, the 0.750% 2032 notes bear interest at a fixed rate of 0.750% per annum, the 3.750% 2032 notes bear interest at a fixed rate of 3.750% per annum, the 2034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417" w:right="339" w:bottom="1440" w:gutter="0" w:footer="0" w:header="0"/>
        </w:sectPr>
      </w:pPr>
    </w:p>
    <w:bookmarkStart w:id="136" w:name="page137"/>
    <w:bookmarkEnd w:id="136"/>
    <w:p>
      <w:pPr>
        <w:jc w:val="both"/>
        <w:spacing w:after="0" w:line="252" w:lineRule="auto"/>
        <w:rPr>
          <w:sz w:val="20"/>
          <w:szCs w:val="20"/>
          <w:color w:val="auto"/>
        </w:rPr>
      </w:pPr>
      <w:r>
        <w:rPr>
          <w:rFonts w:ascii="Arial" w:cs="Arial" w:eastAsia="Arial" w:hAnsi="Arial"/>
          <w:sz w:val="18"/>
          <w:szCs w:val="18"/>
          <w:color w:val="auto"/>
        </w:rPr>
        <w:t>notes bear interest at a fixed rate of 4.125% per annum, and the 2036 notes bear interest at a fixed rate of 3.750% per annum. Interest on the 2028 notes accrues from February 22, 2016, or from the most recent date to which interest has been paid or provided for; interest on the 0.750% 2032 notes accrues from March 10, 2020, or from the most recent date to which interest has been paid or provided for; interest on the 2027 notes and the 3.750% 2032 notes accrues from May 17, 2023, or from the most recent date to which interest has been paid or provided for; interest on the 2034 notes accrues from November 2, 2022, or from the most recent date to which interest has been paid or provided for; and interest on the 2030 notes and the 2036 notes accrues from March 1, 2024, or from the most recent date to which interest has been paid or provided for. In each case, interest is payable annually in arrears on February 22 of each year with respect to the 2028 notes, on March 10 of each year with respect to the 0.750% 2032 notes, on May 17 of each year with respect to the 2027 notes and the 3.750% 2032 notes, on November 2 of each year with respect to the 2034 notes, and on March 1 of each year with respect to the 2030 notes and the 2036 notes (each a “debt securities interest payment date”), commencing February 22, 2017 with respect to the 2028 notes, March 10, 2021 with respect to the 0.750% 2032 notes, May 17, 2024 with respect to the 2027 notes and the 3.750% 2032 notes, November 2, 2023 with respect to the 2034 notes, and March 1, 2025 with respect to the 2030 notes and the 2036 notes, to holders of record at the close of business on the 15th calendar day (whether or not a business day) immediately preceding the respective debt securities interest payment date or, if the debt securities are represented by one or more global notes, the close of business on the business day (for this purpose a day on which Clearstream Banking S.A. (“Clearstream”) and Euroclear Bank SA/NV (“Euroclear”) are open for business) immediately preceding the respective debt securities interest payment date; provided, however, that interest payable on the maturity date of the debt securities or any redemption date of the debt securities shall be payable to the person to whom the principal of such debt securities shall be payable.</w:t>
      </w:r>
    </w:p>
    <w:p>
      <w:pPr>
        <w:spacing w:after="0" w:line="85" w:lineRule="exact"/>
        <w:rPr>
          <w:sz w:val="20"/>
          <w:szCs w:val="20"/>
          <w:color w:val="auto"/>
        </w:rPr>
      </w:pPr>
    </w:p>
    <w:p>
      <w:pPr>
        <w:jc w:val="both"/>
        <w:ind w:firstLine="342"/>
        <w:spacing w:after="0" w:line="254" w:lineRule="auto"/>
        <w:rPr>
          <w:sz w:val="20"/>
          <w:szCs w:val="20"/>
          <w:color w:val="auto"/>
        </w:rPr>
      </w:pPr>
      <w:r>
        <w:rPr>
          <w:rFonts w:ascii="Arial" w:cs="Arial" w:eastAsia="Arial" w:hAnsi="Arial"/>
          <w:sz w:val="18"/>
          <w:szCs w:val="18"/>
          <w:color w:val="auto"/>
        </w:rPr>
        <w:t>Interest payable on the debt securities on any debt securities interest payment date, redemption date or maturity date is the amount of interest accrued from, and including, the next preceding debt securities interest payment date in respect of which interest has been paid or duly provided for to, but excluding, such debt securities interest payment date, redemption date or maturity date, as the case may be. This payment convention is referred to as ACTUAL/ACTUAL (ICMA) as defined in the rulebook of the International Capital Markets Association. If any debt securities interest payment date falls on a day that is not a business day, the interest payment will be made on the next succeeding day that is a business day, but no additional interest will accrue as a result of the delay in payment. If the maturity date or the redemption date of the debt securities falls on a day that is not a business day, the related payment of principal, premium, if any, and interest will be made on the next succeeding business day as if it were made on the date such payment was due, and no interest will accrue on the amounts so payable for the period from and after such date to the next succeeding business day. The rights of holders of beneficial interests of debt securities to receive the payments of interest on such notes are subject to the applicable procedures of Euroclear and Clearstream.</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 of the Debt Securities</w:t>
      </w:r>
    </w:p>
    <w:p>
      <w:pPr>
        <w:spacing w:after="0" w:line="117" w:lineRule="exact"/>
        <w:rPr>
          <w:sz w:val="20"/>
          <w:szCs w:val="20"/>
          <w:color w:val="auto"/>
        </w:rPr>
      </w:pPr>
    </w:p>
    <w:p>
      <w:pPr>
        <w:jc w:val="both"/>
        <w:ind w:firstLine="342"/>
        <w:spacing w:after="0" w:line="254" w:lineRule="auto"/>
        <w:rPr>
          <w:sz w:val="20"/>
          <w:szCs w:val="20"/>
          <w:color w:val="auto"/>
        </w:rPr>
      </w:pPr>
      <w:r>
        <w:rPr>
          <w:rFonts w:ascii="Arial" w:cs="Arial" w:eastAsia="Arial" w:hAnsi="Arial"/>
          <w:sz w:val="18"/>
          <w:szCs w:val="18"/>
          <w:color w:val="auto"/>
        </w:rPr>
        <w:t>The 2028 notes are redeemable, in whole or in part, at any time and from time to time at our option; the 2027 notes are redeemable at our option, in whole or in part, at any time prior to April 17, 2027; the 2030 notes are redeemable at our option, in whole or in part, at any time prior to January 1, 2030; the 0.750% 2032 notes are redeemable at our option, in whole or in part, at any time prior to December 10, 2031; the 3.750% 2032 notes are redeemable at our option, in whole or in part, at any time prior to February 17, 2032; the 2034 notes are redeemable at our option, in whole or in part, at any time prior to August 2, 2034; and the 2036 notes are redeemable at our option, in whole or in part, at any time prior to December 1, 2035, in each case, at a redemption price equal to the greater of (i) 100% of the principal amount of the debt securities to be redeemed and (ii) the sum of the present values of the remaining scheduled payments of principal and interest on the debt securities to be redeemed (exclusive of interest accrued to the date of redemption), discounted to the redemption date on an annual basis (ACTUAL/ACTUAL (ICMA)), at the applicable Comparable Government Bond Rate described below, plus 20 basis points for the 2027 notes and the 2030 notes, plus 30 basis points for the 2028 notes, plus 25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417" w:right="339" w:bottom="1440" w:gutter="0" w:footer="0" w:header="0"/>
        </w:sectPr>
      </w:pPr>
    </w:p>
    <w:bookmarkStart w:id="137" w:name="page138"/>
    <w:bookmarkEnd w:id="137"/>
    <w:p>
      <w:pPr>
        <w:jc w:val="both"/>
        <w:spacing w:after="0" w:line="268" w:lineRule="auto"/>
        <w:rPr>
          <w:sz w:val="20"/>
          <w:szCs w:val="20"/>
          <w:color w:val="auto"/>
        </w:rPr>
      </w:pPr>
      <w:r>
        <w:rPr>
          <w:rFonts w:ascii="Arial" w:cs="Arial" w:eastAsia="Arial" w:hAnsi="Arial"/>
          <w:sz w:val="18"/>
          <w:szCs w:val="18"/>
          <w:color w:val="auto"/>
        </w:rPr>
        <w:t>points for each of the 0.750% 2032 notes, 3.750% 2032 notes and 2036 notes, and plus 35 basis points for the 2034 notes, plus, in each case, accrued and unpaid interest on the principal amount of the debt securities to be redeemed to the date of redemption. We will calculate the redemption price.</w:t>
      </w:r>
    </w:p>
    <w:p>
      <w:pPr>
        <w:spacing w:after="0" w:line="63" w:lineRule="exact"/>
        <w:rPr>
          <w:sz w:val="20"/>
          <w:szCs w:val="20"/>
          <w:color w:val="auto"/>
        </w:rPr>
      </w:pPr>
    </w:p>
    <w:p>
      <w:pPr>
        <w:jc w:val="both"/>
        <w:ind w:firstLine="342"/>
        <w:spacing w:after="0" w:line="259" w:lineRule="auto"/>
        <w:rPr>
          <w:sz w:val="20"/>
          <w:szCs w:val="20"/>
          <w:color w:val="auto"/>
        </w:rPr>
      </w:pPr>
      <w:r>
        <w:rPr>
          <w:rFonts w:ascii="Arial" w:cs="Arial" w:eastAsia="Arial" w:hAnsi="Arial"/>
          <w:sz w:val="18"/>
          <w:szCs w:val="18"/>
          <w:color w:val="auto"/>
        </w:rPr>
        <w:t>At any time on or after April 17, 2027 with respect to the 2027 notes, January 1, 2030 with respect to the 2030 notes, December 10, 2031 with respect to the 0.750% 2032 notes, February 17, 2032 with respect to the 3.750% 2032 notes, August 2, 2034 with respect to the 2034 notes, and December 1, 2035 with respect to the 2036 notes, we may redeem the applicable debt securities, in whole or in part, at a redemption price equal to 100% of the principal amount of such debt securities of such series being redeemed, plus accrued and unpaid interest on the principal amount of such debt securities of such series to be redeemed to the date of redemption.</w:t>
      </w:r>
    </w:p>
    <w:p>
      <w:pPr>
        <w:spacing w:after="0" w:line="71" w:lineRule="exact"/>
        <w:rPr>
          <w:sz w:val="20"/>
          <w:szCs w:val="20"/>
          <w:color w:val="auto"/>
        </w:rPr>
      </w:pPr>
    </w:p>
    <w:p>
      <w:pPr>
        <w:jc w:val="both"/>
        <w:ind w:firstLine="342"/>
        <w:spacing w:after="0" w:line="257" w:lineRule="auto"/>
        <w:rPr>
          <w:sz w:val="20"/>
          <w:szCs w:val="20"/>
          <w:color w:val="auto"/>
        </w:rPr>
      </w:pPr>
      <w:r>
        <w:rPr>
          <w:rFonts w:ascii="Arial" w:cs="Arial" w:eastAsia="Arial" w:hAnsi="Arial"/>
          <w:sz w:val="18"/>
          <w:szCs w:val="18"/>
          <w:color w:val="auto"/>
        </w:rPr>
        <w:t>“Comparable Government Bond Rate” means, with respect to any redemption date, the rate per annum equal to the yield to maturity, expressed as a percentage (rounded to three decimal places, with 0.0005 being rounded upwards), on the third business day prior to the date fixed for redemption, calculated in accordance with customary financial practice in pricing new issues of comparable corporate debt securities paying interest on an annual basis (ACTUAL/ACTUAL (ICMA)) of the Comparable Government Bond (as defined below), assuming a price for the Comparable Government Bond (expressed as a percentage of its principal amount) equal to the Comparable Government Bond Price (as defined below) for such redemption date.</w:t>
      </w:r>
    </w:p>
    <w:p>
      <w:pPr>
        <w:spacing w:after="0" w:line="74" w:lineRule="exact"/>
        <w:rPr>
          <w:sz w:val="20"/>
          <w:szCs w:val="20"/>
          <w:color w:val="auto"/>
        </w:rPr>
      </w:pPr>
    </w:p>
    <w:p>
      <w:pPr>
        <w:jc w:val="both"/>
        <w:ind w:firstLine="342"/>
        <w:spacing w:after="0" w:line="259" w:lineRule="auto"/>
        <w:rPr>
          <w:sz w:val="20"/>
          <w:szCs w:val="20"/>
          <w:color w:val="auto"/>
        </w:rPr>
      </w:pPr>
      <w:r>
        <w:rPr>
          <w:rFonts w:ascii="Arial" w:cs="Arial" w:eastAsia="Arial" w:hAnsi="Arial"/>
          <w:sz w:val="18"/>
          <w:szCs w:val="18"/>
          <w:color w:val="auto"/>
        </w:rPr>
        <w:t>“Comparable Government Bond” means, in relation to any Comparable Government Bond Rate calculation, the German government bond (Bundesanleihe) selected by an Independent Investment Banker (as defined below) as having an actual or interpolated maturity comparable to the remaining term of the debt securities to be redeemed that would be utilized, at the time of selection and in accordance with customary financial practice, in pricing new issues of euro-denominated corporate debt securities of a comparable maturity to the remaining term of such debt securities.</w:t>
      </w:r>
    </w:p>
    <w:p>
      <w:pPr>
        <w:spacing w:after="0" w:line="7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“Independent Investment Banker” means one of the Reference Government Bond Dealers (as defined below) selected by us.</w:t>
      </w:r>
    </w:p>
    <w:p>
      <w:pPr>
        <w:spacing w:after="0" w:line="117" w:lineRule="exact"/>
        <w:rPr>
          <w:sz w:val="20"/>
          <w:szCs w:val="20"/>
          <w:color w:val="auto"/>
        </w:rPr>
      </w:pPr>
    </w:p>
    <w:p>
      <w:pPr>
        <w:jc w:val="both"/>
        <w:ind w:firstLine="342"/>
        <w:spacing w:after="0" w:line="262" w:lineRule="auto"/>
        <w:rPr>
          <w:sz w:val="20"/>
          <w:szCs w:val="20"/>
          <w:color w:val="auto"/>
        </w:rPr>
      </w:pPr>
      <w:r>
        <w:rPr>
          <w:rFonts w:ascii="Arial" w:cs="Arial" w:eastAsia="Arial" w:hAnsi="Arial"/>
          <w:sz w:val="18"/>
          <w:szCs w:val="18"/>
          <w:color w:val="auto"/>
        </w:rPr>
        <w:t>“Comparable Government Bond Price” means, with respect to any redemption date, (1) the arithmetic average of the Reference Government Bond Dealer Quotations (as defined below) for such redemption date, after excluding the highest and lowest such Reference Government Bond Dealer Quotations, or (2) if we obtain fewer than four such Reference Government Bond Dealer Quotations, the arithmetic average of all such quotations.</w:t>
      </w:r>
    </w:p>
    <w:p>
      <w:pPr>
        <w:spacing w:after="0" w:line="68" w:lineRule="exact"/>
        <w:rPr>
          <w:sz w:val="20"/>
          <w:szCs w:val="20"/>
          <w:color w:val="auto"/>
        </w:rPr>
      </w:pPr>
    </w:p>
    <w:p>
      <w:pPr>
        <w:jc w:val="both"/>
        <w:ind w:firstLine="342"/>
        <w:spacing w:after="0" w:line="253" w:lineRule="auto"/>
        <w:rPr>
          <w:sz w:val="20"/>
          <w:szCs w:val="20"/>
          <w:color w:val="auto"/>
        </w:rPr>
      </w:pPr>
      <w:r>
        <w:rPr>
          <w:rFonts w:ascii="Arial" w:cs="Arial" w:eastAsia="Arial" w:hAnsi="Arial"/>
          <w:sz w:val="18"/>
          <w:szCs w:val="18"/>
          <w:color w:val="auto"/>
        </w:rPr>
        <w:t>“Reference Government Bond Dealer” means each of (i) (A) with respect to the 2028 notes, Barclays Bank PLC, Citigroup Global Markets Limited, Goldman, Sachs &amp; Co. and Merrill Lynch International or any of their affiliates that are primary European government securities dealers, and their respective successors, (B) with respect to the 0.750% 2032 notes, Barclays Bank PLC, BNP Paribas, Goldman Sachs &amp; Co. LLC and UniCredit Bank AG or any of their affiliates that are primary European government securities dealers, and their respective successors, (C) with respect to the 2027 notes and the 3.750% 2032 notes, Deutsche Bank AG, London Branch, J.P. Morgan Securities plc, Morgan Stanley &amp; Co. International plc and UniCredit Bank AG or any of their affiliates that are primary European government securities dealers, and their respective successors, (D) with respect to the 2034 notes, BNP Paribas, Deutsche Bank AG, London Branch, Goldman Sachs &amp; Co. LLC and UniCredit Bank AG or any of their affiliates that are primary European government securities dealers, and their respective successors, and (E) with respect to the 2030 notes and the 2036 notes, BNP Paribas, Deutsche Bank AG, London Branch, J.P. Morgan Securities plc, Merrill Lynch International, UniCredit Bank GmbH or any of their affiliates that are primary European government securities dealers, and their respective successors; provided that if any of the foregoing or any of their affiliates shall cease to be a primary European government securities dealer (“Primary Dealer”), we shall substitute therefor another Primary Dealer and (ii) three other Primary Dealers selected by us.</w:t>
      </w:r>
    </w:p>
    <w:p>
      <w:pPr>
        <w:spacing w:after="0" w:line="79" w:lineRule="exact"/>
        <w:rPr>
          <w:sz w:val="20"/>
          <w:szCs w:val="20"/>
          <w:color w:val="auto"/>
        </w:rPr>
      </w:pPr>
    </w:p>
    <w:p>
      <w:pPr>
        <w:jc w:val="both"/>
        <w:ind w:firstLine="342"/>
        <w:spacing w:after="0" w:line="287" w:lineRule="auto"/>
        <w:rPr>
          <w:sz w:val="20"/>
          <w:szCs w:val="20"/>
          <w:color w:val="auto"/>
        </w:rPr>
      </w:pPr>
      <w:r>
        <w:rPr>
          <w:rFonts w:ascii="Arial" w:cs="Arial" w:eastAsia="Arial" w:hAnsi="Arial"/>
          <w:sz w:val="18"/>
          <w:szCs w:val="18"/>
          <w:color w:val="auto"/>
        </w:rPr>
        <w:t>“Reference Government Bond Dealer Quotations” means, with respect to each Reference Government Bond Dealer and any redemption date, the arithmetic average, as determined by us,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417" w:right="339" w:bottom="1440" w:gutter="0" w:footer="0" w:header="0"/>
        </w:sectPr>
      </w:pPr>
    </w:p>
    <w:bookmarkStart w:id="138" w:name="page139"/>
    <w:bookmarkEnd w:id="138"/>
    <w:p>
      <w:pPr>
        <w:jc w:val="both"/>
        <w:spacing w:after="0" w:line="268" w:lineRule="auto"/>
        <w:rPr>
          <w:sz w:val="20"/>
          <w:szCs w:val="20"/>
          <w:color w:val="auto"/>
        </w:rPr>
      </w:pPr>
      <w:r>
        <w:rPr>
          <w:rFonts w:ascii="Arial" w:cs="Arial" w:eastAsia="Arial" w:hAnsi="Arial"/>
          <w:sz w:val="18"/>
          <w:szCs w:val="18"/>
          <w:color w:val="auto"/>
        </w:rPr>
        <w:t>bid and asked prices for the Comparable Government Bond (expressed in each case as a percentage of its principal amount) quoted in writing to us by such Reference Government Bond Dealer at 11:00 a.m., Brussels time, on the third business day preceding such redemption date.</w:t>
      </w:r>
    </w:p>
    <w:p>
      <w:pPr>
        <w:spacing w:after="0" w:line="63" w:lineRule="exact"/>
        <w:rPr>
          <w:sz w:val="20"/>
          <w:szCs w:val="20"/>
          <w:color w:val="auto"/>
        </w:rPr>
      </w:pPr>
    </w:p>
    <w:p>
      <w:pPr>
        <w:jc w:val="both"/>
        <w:ind w:firstLine="342"/>
        <w:spacing w:after="0" w:line="255" w:lineRule="auto"/>
        <w:rPr>
          <w:sz w:val="20"/>
          <w:szCs w:val="20"/>
          <w:color w:val="auto"/>
        </w:rPr>
      </w:pPr>
      <w:r>
        <w:rPr>
          <w:rFonts w:ascii="Arial" w:cs="Arial" w:eastAsia="Arial" w:hAnsi="Arial"/>
          <w:sz w:val="18"/>
          <w:szCs w:val="18"/>
          <w:color w:val="auto"/>
        </w:rPr>
        <w:t>With respect to the 2028 notes, notice of any redemption will be mailed at least 30 days but not more than 60 days before the redemption date to each holder of the 2028 notes of such series to be redeemed. With respect to the 2027 notes, the 2030 notes, the 0.750% 2032 notes, the 3.750% 2032 notes, the 2034 notes, and the 2036 notes, notice of any redemption will be mailed at least 10 days but not more than 60 days before the redemption date to each holder of debt securities of such series to be redeemed. If we elect to redeem fewer than all the debt securities of such series, the trustee will select the particular debt securities of such series to be redeemed by such method that the trustee deems fair and appropriate; provided that if the debt securities of such series are represented by one or more global securities, beneficial interests therein will be selected for redemption by Clearstream and Euroclear in accordance with their respective applicable procedures therefor; and provided, further, that no debt securities of a principal amount of €100,000 or less will be redeemed in part.</w:t>
      </w:r>
    </w:p>
    <w:p>
      <w:pPr>
        <w:spacing w:after="0" w:line="73" w:lineRule="exact"/>
        <w:rPr>
          <w:sz w:val="20"/>
          <w:szCs w:val="20"/>
          <w:color w:val="auto"/>
        </w:rPr>
      </w:pPr>
    </w:p>
    <w:p>
      <w:pPr>
        <w:jc w:val="both"/>
        <w:ind w:right="20" w:firstLine="342"/>
        <w:spacing w:after="0" w:line="287" w:lineRule="auto"/>
        <w:rPr>
          <w:sz w:val="20"/>
          <w:szCs w:val="20"/>
          <w:color w:val="auto"/>
        </w:rPr>
      </w:pPr>
      <w:r>
        <w:rPr>
          <w:rFonts w:ascii="Arial" w:cs="Arial" w:eastAsia="Arial" w:hAnsi="Arial"/>
          <w:sz w:val="18"/>
          <w:szCs w:val="18"/>
          <w:color w:val="auto"/>
        </w:rPr>
        <w:t>Unless we default in payment of the redemption price, on and after the redemption date interest will cease to accrue on the debt securities or portions thereof called for redemption.</w:t>
      </w:r>
    </w:p>
    <w:p>
      <w:pPr>
        <w:spacing w:after="0" w:line="45" w:lineRule="exact"/>
        <w:rPr>
          <w:sz w:val="20"/>
          <w:szCs w:val="20"/>
          <w:color w:val="auto"/>
        </w:rPr>
      </w:pPr>
    </w:p>
    <w:p>
      <w:pPr>
        <w:jc w:val="both"/>
        <w:ind w:firstLine="342"/>
        <w:spacing w:after="0" w:line="268" w:lineRule="auto"/>
        <w:rPr>
          <w:sz w:val="20"/>
          <w:szCs w:val="20"/>
          <w:color w:val="auto"/>
        </w:rPr>
      </w:pPr>
      <w:r>
        <w:rPr>
          <w:rFonts w:ascii="Arial" w:cs="Arial" w:eastAsia="Arial" w:hAnsi="Arial"/>
          <w:sz w:val="18"/>
          <w:szCs w:val="18"/>
          <w:color w:val="auto"/>
        </w:rPr>
        <w:t>The debt securities are also subject to redemption prior to maturity if certain changes in U.S. tax law occur. If such changes occur, the debt securities may be redeemed at a redemption price of 100% of their principal amount plus accrued and unpaid interest to the date of redemption. See “Redemption for Tax Reasons.”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Additional Amounts</w:t>
      </w:r>
    </w:p>
    <w:p>
      <w:pPr>
        <w:spacing w:after="0" w:line="117" w:lineRule="exact"/>
        <w:rPr>
          <w:sz w:val="20"/>
          <w:szCs w:val="20"/>
          <w:color w:val="auto"/>
        </w:rPr>
      </w:pPr>
    </w:p>
    <w:p>
      <w:pPr>
        <w:jc w:val="both"/>
        <w:ind w:firstLine="342"/>
        <w:spacing w:after="0" w:line="257" w:lineRule="auto"/>
        <w:rPr>
          <w:sz w:val="20"/>
          <w:szCs w:val="20"/>
          <w:color w:val="auto"/>
        </w:rPr>
      </w:pPr>
      <w:r>
        <w:rPr>
          <w:rFonts w:ascii="Arial" w:cs="Arial" w:eastAsia="Arial" w:hAnsi="Arial"/>
          <w:sz w:val="18"/>
          <w:szCs w:val="18"/>
          <w:color w:val="auto"/>
        </w:rPr>
        <w:t>We will, subject to the exceptions and limitations set forth below, pay as additional interest on the debt securities such additional amounts as are necessary in order that the net payment by us or a paying agent of the principal, premium and interest with respect to the debt securities to a holder that is not a United States person (as defined below), after withholding or deduction for any present or future tax, assessment or other governmental charge imposed by the United States or a taxing authority in the United States, will not be less than the amount provided in the debt securities to be then due and payable; provided, however, that the foregoing obligation to pay additional amounts will not apply:</w:t>
      </w:r>
    </w:p>
    <w:p>
      <w:pPr>
        <w:spacing w:after="0" w:line="74" w:lineRule="exact"/>
        <w:rPr>
          <w:sz w:val="20"/>
          <w:szCs w:val="20"/>
          <w:color w:val="auto"/>
        </w:rPr>
      </w:pPr>
    </w:p>
    <w:p>
      <w:pPr>
        <w:jc w:val="both"/>
        <w:ind w:left="980" w:hanging="324"/>
        <w:spacing w:after="0" w:line="268" w:lineRule="auto"/>
        <w:tabs>
          <w:tab w:leader="none" w:pos="97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to any tax, assessment or other governmental charge that would not have been imposed but for the holder, a fiduciary, settlor, beneficiary, member or shareholder of the holder, or a person holding a power over an estate or trust administered by a fiduciary holder, being treated as:</w:t>
      </w:r>
    </w:p>
    <w:p>
      <w:pPr>
        <w:spacing w:after="0" w:line="62" w:lineRule="exact"/>
        <w:rPr>
          <w:rFonts w:ascii="Arial" w:cs="Arial" w:eastAsia="Arial" w:hAnsi="Arial"/>
          <w:sz w:val="18"/>
          <w:szCs w:val="18"/>
          <w:color w:val="auto"/>
        </w:rPr>
      </w:pPr>
    </w:p>
    <w:p>
      <w:pPr>
        <w:jc w:val="both"/>
        <w:ind w:left="1300" w:hanging="320"/>
        <w:spacing w:after="0" w:line="268" w:lineRule="auto"/>
        <w:tabs>
          <w:tab w:leader="none" w:pos="1288" w:val="left"/>
        </w:tabs>
        <w:numPr>
          <w:ilvl w:val="1"/>
          <w:numId w:val="222"/>
        </w:numPr>
        <w:rPr>
          <w:rFonts w:ascii="Arial" w:cs="Arial" w:eastAsia="Arial" w:hAnsi="Arial"/>
          <w:sz w:val="18"/>
          <w:szCs w:val="18"/>
          <w:color w:val="auto"/>
        </w:rPr>
      </w:pPr>
      <w:r>
        <w:rPr>
          <w:rFonts w:ascii="Arial" w:cs="Arial" w:eastAsia="Arial" w:hAnsi="Arial"/>
          <w:sz w:val="18"/>
          <w:szCs w:val="18"/>
          <w:color w:val="auto"/>
        </w:rPr>
        <w:t>being or having been present in, or engaged in a trade or business in, the United States, being treated as having been present in, or engaged in a trade or business in, the United States, or having or having had a permanent establishment in the United States;</w:t>
      </w:r>
    </w:p>
    <w:p>
      <w:pPr>
        <w:spacing w:after="0" w:line="62" w:lineRule="exact"/>
        <w:rPr>
          <w:rFonts w:ascii="Arial" w:cs="Arial" w:eastAsia="Arial" w:hAnsi="Arial"/>
          <w:sz w:val="18"/>
          <w:szCs w:val="18"/>
          <w:color w:val="auto"/>
        </w:rPr>
      </w:pPr>
    </w:p>
    <w:p>
      <w:pPr>
        <w:jc w:val="both"/>
        <w:ind w:left="1300" w:hanging="320"/>
        <w:spacing w:after="0" w:line="262" w:lineRule="auto"/>
        <w:tabs>
          <w:tab w:leader="none" w:pos="1288" w:val="left"/>
        </w:tabs>
        <w:numPr>
          <w:ilvl w:val="1"/>
          <w:numId w:val="222"/>
        </w:numPr>
        <w:rPr>
          <w:rFonts w:ascii="Arial" w:cs="Arial" w:eastAsia="Arial" w:hAnsi="Arial"/>
          <w:sz w:val="18"/>
          <w:szCs w:val="18"/>
          <w:color w:val="auto"/>
        </w:rPr>
      </w:pPr>
      <w:r>
        <w:rPr>
          <w:rFonts w:ascii="Arial" w:cs="Arial" w:eastAsia="Arial" w:hAnsi="Arial"/>
          <w:sz w:val="18"/>
          <w:szCs w:val="18"/>
          <w:color w:val="auto"/>
        </w:rPr>
        <w:t>having a current or former connection with the United States (other than a connection arising solely as a result of the ownership of the debt securities, the receipt of any payment in respect of the debt securities or the enforcement of any rights under the indenture), including being or having been a citizen or resident of the United States or treated as being or having been a resident thereof;</w:t>
      </w:r>
    </w:p>
    <w:p>
      <w:pPr>
        <w:spacing w:after="0" w:line="68" w:lineRule="exact"/>
        <w:rPr>
          <w:rFonts w:ascii="Arial" w:cs="Arial" w:eastAsia="Arial" w:hAnsi="Arial"/>
          <w:sz w:val="18"/>
          <w:szCs w:val="18"/>
          <w:color w:val="auto"/>
        </w:rPr>
      </w:pPr>
    </w:p>
    <w:p>
      <w:pPr>
        <w:jc w:val="both"/>
        <w:ind w:left="1300" w:hanging="320"/>
        <w:spacing w:after="0" w:line="268" w:lineRule="auto"/>
        <w:tabs>
          <w:tab w:leader="none" w:pos="1291" w:val="left"/>
        </w:tabs>
        <w:numPr>
          <w:ilvl w:val="1"/>
          <w:numId w:val="222"/>
        </w:numPr>
        <w:rPr>
          <w:rFonts w:ascii="Arial" w:cs="Arial" w:eastAsia="Arial" w:hAnsi="Arial"/>
          <w:sz w:val="18"/>
          <w:szCs w:val="18"/>
          <w:color w:val="auto"/>
        </w:rPr>
      </w:pPr>
      <w:r>
        <w:rPr>
          <w:rFonts w:ascii="Arial" w:cs="Arial" w:eastAsia="Arial" w:hAnsi="Arial"/>
          <w:sz w:val="18"/>
          <w:szCs w:val="18"/>
          <w:color w:val="auto"/>
        </w:rPr>
        <w:t>being or having been a personal holding company, a passive foreign investment company or a controlled foreign corporation for U.S. federal income tax purposes, a foreign tax exempt organization, or a corporation that has accumulated earnings to avoid United States federal income tax;</w:t>
      </w:r>
    </w:p>
    <w:p>
      <w:pPr>
        <w:spacing w:after="0" w:line="62" w:lineRule="exact"/>
        <w:rPr>
          <w:rFonts w:ascii="Arial" w:cs="Arial" w:eastAsia="Arial" w:hAnsi="Arial"/>
          <w:sz w:val="18"/>
          <w:szCs w:val="18"/>
          <w:color w:val="auto"/>
        </w:rPr>
      </w:pPr>
    </w:p>
    <w:p>
      <w:pPr>
        <w:ind w:left="1300" w:right="20" w:hanging="320"/>
        <w:spacing w:after="0" w:line="287" w:lineRule="auto"/>
        <w:tabs>
          <w:tab w:leader="none" w:pos="1288" w:val="left"/>
        </w:tabs>
        <w:numPr>
          <w:ilvl w:val="1"/>
          <w:numId w:val="222"/>
        </w:numPr>
        <w:rPr>
          <w:rFonts w:ascii="Arial" w:cs="Arial" w:eastAsia="Arial" w:hAnsi="Arial"/>
          <w:sz w:val="18"/>
          <w:szCs w:val="18"/>
          <w:color w:val="auto"/>
        </w:rPr>
      </w:pPr>
      <w:r>
        <w:rPr>
          <w:rFonts w:ascii="Arial" w:cs="Arial" w:eastAsia="Arial" w:hAnsi="Arial"/>
          <w:sz w:val="18"/>
          <w:szCs w:val="18"/>
          <w:color w:val="auto"/>
        </w:rPr>
        <w:t>being or having been a “10-percent shareholder,” as defined in Section 871(h)(3) of the United States Internal Revenue Code of 1986, as amended (the “Code”), or any successor provision, of us;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417" w:right="339" w:bottom="1440" w:gutter="0" w:footer="0" w:header="0"/>
        </w:sectPr>
      </w:pPr>
    </w:p>
    <w:bookmarkStart w:id="139" w:name="page140"/>
    <w:bookmarkEnd w:id="139"/>
    <w:p>
      <w:pPr>
        <w:ind w:left="1300" w:right="20" w:hanging="320"/>
        <w:spacing w:after="0" w:line="287" w:lineRule="auto"/>
        <w:tabs>
          <w:tab w:leader="none" w:pos="1288" w:val="left"/>
        </w:tabs>
        <w:numPr>
          <w:ilvl w:val="1"/>
          <w:numId w:val="223"/>
        </w:numPr>
        <w:rPr>
          <w:rFonts w:ascii="Arial" w:cs="Arial" w:eastAsia="Arial" w:hAnsi="Arial"/>
          <w:sz w:val="18"/>
          <w:szCs w:val="18"/>
          <w:color w:val="auto"/>
        </w:rPr>
      </w:pPr>
      <w:r>
        <w:rPr>
          <w:rFonts w:ascii="Arial" w:cs="Arial" w:eastAsia="Arial" w:hAnsi="Arial"/>
          <w:sz w:val="18"/>
          <w:szCs w:val="18"/>
          <w:color w:val="auto"/>
        </w:rPr>
        <w:t>being a bank receiving payments on an extension of credit made pursuant to a loan agreement entered into in the ordinary course of its trade or business, within the meaning of Section 881(c)(3) of the Code or any successor provision;</w:t>
      </w:r>
    </w:p>
    <w:p>
      <w:pPr>
        <w:spacing w:after="0" w:line="44" w:lineRule="exact"/>
        <w:rPr>
          <w:rFonts w:ascii="Arial" w:cs="Arial" w:eastAsia="Arial" w:hAnsi="Arial"/>
          <w:sz w:val="18"/>
          <w:szCs w:val="18"/>
          <w:color w:val="auto"/>
        </w:rPr>
      </w:pPr>
    </w:p>
    <w:p>
      <w:pPr>
        <w:jc w:val="both"/>
        <w:ind w:left="980" w:hanging="324"/>
        <w:spacing w:after="0" w:line="259" w:lineRule="auto"/>
        <w:tabs>
          <w:tab w:leader="none" w:pos="97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to any holder that is not the sole beneficial owner of the debt securities, or a portion of the debt securities, or that is a fiduciary, partnership or limited liability company, but only to the extent that a beneficiary or settlor with respect to the fiduciary, a beneficial owner or member of the partnership or limited liability company would not have been entitled to the payment of an additional amount had the beneficiary, settlor, beneficial owner or member received directly its beneficial or distributive share of the payment;</w:t>
      </w:r>
    </w:p>
    <w:p>
      <w:pPr>
        <w:spacing w:after="0" w:line="71" w:lineRule="exact"/>
        <w:rPr>
          <w:rFonts w:ascii="Arial" w:cs="Arial" w:eastAsia="Arial" w:hAnsi="Arial"/>
          <w:sz w:val="18"/>
          <w:szCs w:val="18"/>
          <w:color w:val="auto"/>
        </w:rPr>
      </w:pPr>
    </w:p>
    <w:p>
      <w:pPr>
        <w:jc w:val="both"/>
        <w:ind w:left="980" w:hanging="324"/>
        <w:spacing w:after="0" w:line="259" w:lineRule="auto"/>
        <w:tabs>
          <w:tab w:leader="none" w:pos="97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to any tax, assessment or other governmental charge that would not have been imposed but for the failure of the holder or any other person to comply with certification, identification or information reporting requirements concerning the nationality, residence, identity or connection with the United States of the holder or beneficial owner of the debt securities, if compliance is required by statute, by regulation of the United States or any taxing authority therein or by an applicable income tax treaty to which the United States is a party as a precondition to exemption from such tax, assessment or other governmental charge;</w:t>
      </w:r>
    </w:p>
    <w:p>
      <w:pPr>
        <w:spacing w:after="0" w:line="71" w:lineRule="exact"/>
        <w:rPr>
          <w:rFonts w:ascii="Arial" w:cs="Arial" w:eastAsia="Arial" w:hAnsi="Arial"/>
          <w:sz w:val="18"/>
          <w:szCs w:val="18"/>
          <w:color w:val="auto"/>
        </w:rPr>
      </w:pPr>
    </w:p>
    <w:p>
      <w:pPr>
        <w:ind w:left="980" w:hanging="324"/>
        <w:spacing w:after="0" w:line="287" w:lineRule="auto"/>
        <w:tabs>
          <w:tab w:leader="none" w:pos="97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to any tax, assessment or other governmental charge that is imposed otherwise than by withholding by us or a paying agent from the payment;</w:t>
      </w:r>
    </w:p>
    <w:p>
      <w:pPr>
        <w:spacing w:after="0" w:line="44" w:lineRule="exact"/>
        <w:rPr>
          <w:rFonts w:ascii="Arial" w:cs="Arial" w:eastAsia="Arial" w:hAnsi="Arial"/>
          <w:sz w:val="18"/>
          <w:szCs w:val="18"/>
          <w:color w:val="auto"/>
        </w:rPr>
      </w:pPr>
    </w:p>
    <w:p>
      <w:pPr>
        <w:ind w:left="980" w:right="20" w:hanging="324"/>
        <w:spacing w:after="0" w:line="287" w:lineRule="auto"/>
        <w:tabs>
          <w:tab w:leader="none" w:pos="97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to any estate, inheritance, gift, sales, excise, transfer, wealth, capital gains or personal property tax or similar tax, assessment or other governmental charge;</w:t>
      </w:r>
    </w:p>
    <w:p>
      <w:pPr>
        <w:spacing w:after="0" w:line="44" w:lineRule="exact"/>
        <w:rPr>
          <w:rFonts w:ascii="Arial" w:cs="Arial" w:eastAsia="Arial" w:hAnsi="Arial"/>
          <w:sz w:val="18"/>
          <w:szCs w:val="18"/>
          <w:color w:val="auto"/>
        </w:rPr>
      </w:pPr>
    </w:p>
    <w:p>
      <w:pPr>
        <w:jc w:val="both"/>
        <w:ind w:left="980" w:hanging="324"/>
        <w:spacing w:after="0" w:line="268" w:lineRule="auto"/>
        <w:tabs>
          <w:tab w:leader="none" w:pos="97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to any tax, assessment or other governmental charge that would not have been imposed but for the presentation by the holder of any debt securities, where presentation is required, for payment on a date more than 30 days after the date on which payment became due and payable or the date on which payment thereof is duly provided for, whichever occurs later;</w:t>
      </w:r>
    </w:p>
    <w:p>
      <w:pPr>
        <w:spacing w:after="0" w:line="62" w:lineRule="exact"/>
        <w:rPr>
          <w:rFonts w:ascii="Arial" w:cs="Arial" w:eastAsia="Arial" w:hAnsi="Arial"/>
          <w:sz w:val="18"/>
          <w:szCs w:val="18"/>
          <w:color w:val="auto"/>
        </w:rPr>
      </w:pPr>
    </w:p>
    <w:p>
      <w:pPr>
        <w:jc w:val="both"/>
        <w:ind w:left="980" w:hanging="324"/>
        <w:spacing w:after="0" w:line="257" w:lineRule="auto"/>
        <w:tabs>
          <w:tab w:leader="none" w:pos="97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to any tax, assessment or other governmental charge required to be withheld or deducted that is imposed on a payment pursuant to Sections 1471 through 1474 of the Code (or any amended or successor version of such sections that is substantively comparable and not materially more onerous to comply with), any Treasury regulations promulgated thereunder, or any other official interpretations thereof (collectively, “FATCA”), any agreement (including any intergovernmental agreement) entered into in connection therewith, or any law, regulation or other official guidance enacted in any jurisdiction implementing FATCA or an intergovernmental agreement in respect of FATCA;</w:t>
      </w:r>
    </w:p>
    <w:p>
      <w:pPr>
        <w:spacing w:after="0" w:line="74" w:lineRule="exact"/>
        <w:rPr>
          <w:rFonts w:ascii="Arial" w:cs="Arial" w:eastAsia="Arial" w:hAnsi="Arial"/>
          <w:sz w:val="18"/>
          <w:szCs w:val="18"/>
          <w:color w:val="auto"/>
        </w:rPr>
      </w:pPr>
    </w:p>
    <w:p>
      <w:pPr>
        <w:jc w:val="both"/>
        <w:ind w:left="980" w:hanging="324"/>
        <w:spacing w:after="0" w:line="268" w:lineRule="auto"/>
        <w:tabs>
          <w:tab w:leader="none" w:pos="97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any tax, assessment or other governmental charge that is imposed or withheld solely by reason of a change in law, regulation, or administrative or judicial interpretation that becomes effective more than 15 days after the payment becomes due or is duly provided for, whichever occurs later;</w:t>
      </w:r>
    </w:p>
    <w:p>
      <w:pPr>
        <w:spacing w:after="0" w:line="62" w:lineRule="exact"/>
        <w:rPr>
          <w:rFonts w:ascii="Arial" w:cs="Arial" w:eastAsia="Arial" w:hAnsi="Arial"/>
          <w:sz w:val="18"/>
          <w:szCs w:val="18"/>
          <w:color w:val="auto"/>
        </w:rPr>
      </w:pPr>
    </w:p>
    <w:p>
      <w:pPr>
        <w:ind w:left="980" w:right="20" w:hanging="324"/>
        <w:spacing w:after="0" w:line="287" w:lineRule="auto"/>
        <w:tabs>
          <w:tab w:leader="none" w:pos="97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any tax, assessment or other governmental charge imposed by reason of the failure of the beneficial owner to fulfill the statement requirements of Section 871(h) or Section 881(c) of the Code;</w:t>
      </w:r>
    </w:p>
    <w:p>
      <w:pPr>
        <w:spacing w:after="0" w:line="4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(10)any tax imposed pursuant to Section 871(h)(6) or 881(c)(6) of the Code (or any amended or successor provisions); or</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(11)in the case of any combination of items (1) through (10).</w:t>
      </w:r>
    </w:p>
    <w:p>
      <w:pPr>
        <w:spacing w:after="0" w:line="117" w:lineRule="exact"/>
        <w:rPr>
          <w:sz w:val="20"/>
          <w:szCs w:val="20"/>
          <w:color w:val="auto"/>
        </w:rPr>
      </w:pPr>
    </w:p>
    <w:p>
      <w:pPr>
        <w:jc w:val="both"/>
        <w:ind w:firstLine="342"/>
        <w:spacing w:after="0" w:line="268" w:lineRule="auto"/>
        <w:rPr>
          <w:sz w:val="20"/>
          <w:szCs w:val="20"/>
          <w:color w:val="auto"/>
        </w:rPr>
      </w:pPr>
      <w:r>
        <w:rPr>
          <w:rFonts w:ascii="Arial" w:cs="Arial" w:eastAsia="Arial" w:hAnsi="Arial"/>
          <w:sz w:val="18"/>
          <w:szCs w:val="18"/>
          <w:color w:val="auto"/>
        </w:rPr>
        <w:t>Except as specifically provided under this heading “Payment of Additional Amounts,” we are not required to pay additional amounts in respect of any tax, assessment or other governmental charge. References to any payment on the debt securities include the related payment of additional amounts, as applicable.</w:t>
      </w:r>
    </w:p>
    <w:p>
      <w:pPr>
        <w:spacing w:after="0" w:line="63" w:lineRule="exact"/>
        <w:rPr>
          <w:sz w:val="20"/>
          <w:szCs w:val="20"/>
          <w:color w:val="auto"/>
        </w:rPr>
      </w:pPr>
    </w:p>
    <w:p>
      <w:pPr>
        <w:jc w:val="both"/>
        <w:ind w:firstLine="342"/>
        <w:spacing w:after="0" w:line="287" w:lineRule="auto"/>
        <w:rPr>
          <w:sz w:val="20"/>
          <w:szCs w:val="20"/>
          <w:color w:val="auto"/>
        </w:rPr>
      </w:pPr>
      <w:r>
        <w:rPr>
          <w:rFonts w:ascii="Arial" w:cs="Arial" w:eastAsia="Arial" w:hAnsi="Arial"/>
          <w:sz w:val="18"/>
          <w:szCs w:val="18"/>
          <w:color w:val="auto"/>
        </w:rPr>
        <w:t>As used under this heading “Payment of Additional Amounts” and under the heading “Redemption for Tax Reasons,” the term “United States” means the United States of America, any state thereof,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417" w:right="339" w:bottom="1440" w:gutter="0" w:footer="0" w:header="0"/>
        </w:sectPr>
      </w:pPr>
    </w:p>
    <w:bookmarkStart w:id="140" w:name="page141"/>
    <w:bookmarkEnd w:id="140"/>
    <w:p>
      <w:pPr>
        <w:jc w:val="both"/>
        <w:spacing w:after="0" w:line="257" w:lineRule="auto"/>
        <w:rPr>
          <w:sz w:val="20"/>
          <w:szCs w:val="20"/>
          <w:color w:val="auto"/>
        </w:rPr>
      </w:pPr>
      <w:r>
        <w:rPr>
          <w:rFonts w:ascii="Arial" w:cs="Arial" w:eastAsia="Arial" w:hAnsi="Arial"/>
          <w:sz w:val="18"/>
          <w:szCs w:val="18"/>
          <w:color w:val="auto"/>
        </w:rPr>
        <w:t>District of Columbia, and the term “United States person” means (i) any individual who is a citizen or resident of the United States for U.S. federal income tax purposes, (ii) a corporation, partnership or other entity created or organized in or under the laws of the United States, any state thereof or the District of Columbia (other than a partnership that is not treated as a United States person for U.S. federal income tax purposes), (iii) any estate the income of which is subject to U.S. federal income taxation regardless of its source, or (iv) any trust if a U.S. court can exercise primary supervision over the administration of the trust and one or more United States persons can control all substantial trust decisions, or if a valid election is in place to treat the trust as a United States person.</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for Tax Reasons</w:t>
      </w:r>
    </w:p>
    <w:p>
      <w:pPr>
        <w:spacing w:after="0" w:line="117" w:lineRule="exact"/>
        <w:rPr>
          <w:sz w:val="20"/>
          <w:szCs w:val="20"/>
          <w:color w:val="auto"/>
        </w:rPr>
      </w:pPr>
    </w:p>
    <w:p>
      <w:pPr>
        <w:jc w:val="both"/>
        <w:ind w:firstLine="342"/>
        <w:spacing w:after="0" w:line="254" w:lineRule="auto"/>
        <w:rPr>
          <w:sz w:val="20"/>
          <w:szCs w:val="20"/>
          <w:color w:val="auto"/>
        </w:rPr>
      </w:pPr>
      <w:r>
        <w:rPr>
          <w:rFonts w:ascii="Arial" w:cs="Arial" w:eastAsia="Arial" w:hAnsi="Arial"/>
          <w:sz w:val="18"/>
          <w:szCs w:val="18"/>
          <w:color w:val="auto"/>
        </w:rPr>
        <w:t>If, as a result of any change in, or amendment to, the laws of the United States or the official interpretation thereof that is announced or becomes effective on or after February 15, 2016, with respect to the 2028 notes, on or after March 3, 2020, with respect to the 0.750% 2032 notes, on or after May 12, 2023, with respect to the 2027 notes and the 3.750% 2032 notes, on or after October 28, 2022, with respect to the 2034 notes, or on or after February 26, 2024, with respect to the 2030 notes and the 2036 notes, we become or, based upon a written opinion of independent counsel selected by us, will become obligated to pay additional amounts as described under the heading “Payment of Additional Amounts” with respect to the debt securities of any series, then we may at any time at our option redeem, in whole, but not in part, the debt securities of such series on not less than 30 nor more than 60 days’ prior notice with respect to the 2028 notes, or not less than 10 nor more than 60 days’ prior notice, with respect to the 2027 notes, the 2030 notes, the 0.750% 2032 notes, the 3.750% 2032 notes, the 2034 notes, and the 2036 notes, at a redemption price equal to 100% of their principal amount, plus accrued and unpaid interest on the debt securities of such series to be redeemed to the date of redemption.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Further Issues</w:t>
      </w:r>
    </w:p>
    <w:p>
      <w:pPr>
        <w:spacing w:after="0" w:line="117" w:lineRule="exact"/>
        <w:rPr>
          <w:sz w:val="20"/>
          <w:szCs w:val="20"/>
          <w:color w:val="auto"/>
        </w:rPr>
      </w:pPr>
    </w:p>
    <w:p>
      <w:pPr>
        <w:jc w:val="both"/>
        <w:ind w:firstLine="342"/>
        <w:spacing w:after="0" w:line="255" w:lineRule="auto"/>
        <w:rPr>
          <w:sz w:val="20"/>
          <w:szCs w:val="20"/>
          <w:color w:val="auto"/>
        </w:rPr>
      </w:pPr>
      <w:r>
        <w:rPr>
          <w:rFonts w:ascii="Arial" w:cs="Arial" w:eastAsia="Arial" w:hAnsi="Arial"/>
          <w:sz w:val="18"/>
          <w:szCs w:val="18"/>
          <w:color w:val="auto"/>
        </w:rPr>
        <w:t>We may from time to time, without notice to or the consent of the registered holders of a series of debt securities, create and issue further debt securities of any such series ranking equally with the debt securities of the corresponding series and having the same terms in all respects (other than the issue date, the payment of interest accruing prior to the issue date of such further debt securities or except for the first payment of interest following the issue date of such further debt securities); provided that such additional debt securities of any series shall not be issued with the same ISIN or Common Code number as the debt securities of its corresponding series unless such additional debt securities are issued in a “qualified reopening” of the original series, are otherwise treated as part of the same “issue” of debt instruments as the original series or are issued with less than a de minimis amount of original issue discount, in each case for U.S. federal income tax purposes. Such further debt securities will be consolidated and form a single series with the debt securities of the corresponding series.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Notices</w:t>
      </w:r>
    </w:p>
    <w:p>
      <w:pPr>
        <w:spacing w:after="0" w:line="117" w:lineRule="exact"/>
        <w:rPr>
          <w:sz w:val="20"/>
          <w:szCs w:val="20"/>
          <w:color w:val="auto"/>
        </w:rPr>
      </w:pPr>
    </w:p>
    <w:p>
      <w:pPr>
        <w:jc w:val="both"/>
        <w:ind w:right="20" w:firstLine="342"/>
        <w:spacing w:after="0" w:line="287" w:lineRule="auto"/>
        <w:rPr>
          <w:sz w:val="20"/>
          <w:szCs w:val="20"/>
          <w:color w:val="auto"/>
        </w:rPr>
      </w:pPr>
      <w:r>
        <w:rPr>
          <w:rFonts w:ascii="Arial" w:cs="Arial" w:eastAsia="Arial" w:hAnsi="Arial"/>
          <w:sz w:val="18"/>
          <w:szCs w:val="18"/>
          <w:color w:val="auto"/>
        </w:rPr>
        <w:t>Notices to holders of the debt securities will be sent by mail or email to the registered holders, or otherwise in accordance with the procedures of the applicable depositary.</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Regarding the Trustee, Paying Agent, Transfer Agent and Registrar</w:t>
      </w:r>
    </w:p>
    <w:p>
      <w:pPr>
        <w:spacing w:after="0" w:line="117" w:lineRule="exact"/>
        <w:rPr>
          <w:sz w:val="20"/>
          <w:szCs w:val="20"/>
          <w:color w:val="auto"/>
        </w:rPr>
      </w:pPr>
    </w:p>
    <w:p>
      <w:pPr>
        <w:jc w:val="both"/>
        <w:ind w:firstLine="342"/>
        <w:spacing w:after="0" w:line="287" w:lineRule="auto"/>
        <w:rPr>
          <w:sz w:val="20"/>
          <w:szCs w:val="20"/>
          <w:color w:val="auto"/>
        </w:rPr>
      </w:pPr>
      <w:r>
        <w:rPr>
          <w:rFonts w:ascii="Arial" w:cs="Arial" w:eastAsia="Arial" w:hAnsi="Arial"/>
          <w:sz w:val="18"/>
          <w:szCs w:val="18"/>
          <w:color w:val="auto"/>
        </w:rPr>
        <w:t>Deutsche Bank Trust Company Americas is the paying agent, trustee, transfer agent and registrar with respect to the debt securities. We and our affiliates maintain various commercial and service relationships with the trustee and its affiliates in the ordinary course of business.</w:t>
      </w:r>
    </w:p>
    <w:p>
      <w:pPr>
        <w:spacing w:after="0" w:line="45" w:lineRule="exact"/>
        <w:rPr>
          <w:sz w:val="20"/>
          <w:szCs w:val="20"/>
          <w:color w:val="auto"/>
        </w:rPr>
      </w:pPr>
    </w:p>
    <w:p>
      <w:pPr>
        <w:jc w:val="both"/>
        <w:ind w:firstLine="342"/>
        <w:spacing w:after="0" w:line="259" w:lineRule="auto"/>
        <w:rPr>
          <w:sz w:val="20"/>
          <w:szCs w:val="20"/>
          <w:color w:val="auto"/>
        </w:rPr>
      </w:pPr>
      <w:r>
        <w:rPr>
          <w:rFonts w:ascii="Arial" w:cs="Arial" w:eastAsia="Arial" w:hAnsi="Arial"/>
          <w:sz w:val="18"/>
          <w:szCs w:val="18"/>
          <w:color w:val="auto"/>
        </w:rPr>
        <w:t>The indenture contains certain limitations on the right of the trustee, should it become a creditor of ours within three months of, or subsequent to, a default by us to make payment in full of principal of or interest on any series of debt securities issued pursuant to the indenture when and as the same becomes due and payable, to obtain payment of claims, or to realize for its own account on property received in respect of any such claim as security or otherwise, unless and until such default is cured. However, the trustee’s rights as a creditor of ours will not be limited if the creditor relationship arises from, among other things: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417" w:right="339" w:bottom="1440" w:gutter="0" w:footer="0" w:header="0"/>
        </w:sectPr>
      </w:pPr>
    </w:p>
    <w:bookmarkStart w:id="141" w:name="page142"/>
    <w:bookmarkEnd w:id="141"/>
    <w:p>
      <w:pPr>
        <w:ind w:left="980" w:hanging="324"/>
        <w:spacing w:after="0" w:line="286" w:lineRule="auto"/>
        <w:tabs>
          <w:tab w:leader="none" w:pos="975" w:val="left"/>
        </w:tabs>
        <w:numPr>
          <w:ilvl w:val="0"/>
          <w:numId w:val="225"/>
        </w:numPr>
        <w:rPr>
          <w:rFonts w:ascii="Times New Roman" w:cs="Times New Roman" w:eastAsia="Times New Roman" w:hAnsi="Times New Roman"/>
          <w:sz w:val="18"/>
          <w:szCs w:val="18"/>
          <w:color w:val="auto"/>
        </w:rPr>
      </w:pPr>
      <w:r>
        <w:rPr>
          <w:rFonts w:ascii="Arial" w:cs="Arial" w:eastAsia="Arial" w:hAnsi="Arial"/>
          <w:sz w:val="18"/>
          <w:szCs w:val="18"/>
          <w:color w:val="auto"/>
        </w:rPr>
        <w:t>the ownership or acquisition of securities issued under any indenture or having a maturity of one year or more at the time of acquisition by the trustee;</w:t>
      </w:r>
    </w:p>
    <w:p>
      <w:pPr>
        <w:spacing w:after="0" w:line="4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5"/>
        </w:numPr>
        <w:rPr>
          <w:rFonts w:ascii="Times New Roman" w:cs="Times New Roman" w:eastAsia="Times New Roman" w:hAnsi="Times New Roman"/>
          <w:sz w:val="18"/>
          <w:szCs w:val="18"/>
          <w:color w:val="auto"/>
        </w:rPr>
      </w:pPr>
      <w:r>
        <w:rPr>
          <w:rFonts w:ascii="Arial" w:cs="Arial" w:eastAsia="Arial" w:hAnsi="Arial"/>
          <w:sz w:val="18"/>
          <w:szCs w:val="18"/>
          <w:color w:val="auto"/>
        </w:rPr>
        <w:t>certain advances authorized by a receivership or bankruptcy court of competent jurisdiction or by the indenture;</w:t>
      </w:r>
    </w:p>
    <w:p>
      <w:pPr>
        <w:spacing w:after="0" w:line="116" w:lineRule="exact"/>
        <w:rPr>
          <w:rFonts w:ascii="Times New Roman" w:cs="Times New Roman" w:eastAsia="Times New Roman" w:hAnsi="Times New Roman"/>
          <w:sz w:val="18"/>
          <w:szCs w:val="18"/>
          <w:color w:val="auto"/>
        </w:rPr>
      </w:pPr>
    </w:p>
    <w:p>
      <w:pPr>
        <w:ind w:left="980" w:hanging="324"/>
        <w:spacing w:after="0" w:line="286" w:lineRule="auto"/>
        <w:tabs>
          <w:tab w:leader="none" w:pos="975" w:val="left"/>
        </w:tabs>
        <w:numPr>
          <w:ilvl w:val="0"/>
          <w:numId w:val="225"/>
        </w:numPr>
        <w:rPr>
          <w:rFonts w:ascii="Times New Roman" w:cs="Times New Roman" w:eastAsia="Times New Roman" w:hAnsi="Times New Roman"/>
          <w:sz w:val="18"/>
          <w:szCs w:val="18"/>
          <w:color w:val="auto"/>
        </w:rPr>
      </w:pPr>
      <w:r>
        <w:rPr>
          <w:rFonts w:ascii="Arial" w:cs="Arial" w:eastAsia="Arial" w:hAnsi="Arial"/>
          <w:sz w:val="18"/>
          <w:szCs w:val="18"/>
          <w:color w:val="auto"/>
        </w:rPr>
        <w:t>disbursements made in the ordinary course of business in its capacity as indenture trustee, transfer agent, registrar, custodian or paying agent or in any other similar capacity;</w:t>
      </w:r>
    </w:p>
    <w:p>
      <w:pPr>
        <w:spacing w:after="0" w:line="4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5"/>
        </w:numPr>
        <w:rPr>
          <w:rFonts w:ascii="Times New Roman" w:cs="Times New Roman" w:eastAsia="Times New Roman" w:hAnsi="Times New Roman"/>
          <w:sz w:val="18"/>
          <w:szCs w:val="18"/>
          <w:color w:val="auto"/>
        </w:rPr>
      </w:pPr>
      <w:r>
        <w:rPr>
          <w:rFonts w:ascii="Arial" w:cs="Arial" w:eastAsia="Arial" w:hAnsi="Arial"/>
          <w:sz w:val="18"/>
          <w:szCs w:val="18"/>
          <w:color w:val="auto"/>
        </w:rPr>
        <w:t>indebtedness created as a result of goods or securities sold in a cash transaction or services rendered or premises rented; or</w:t>
      </w:r>
    </w:p>
    <w:p>
      <w:pPr>
        <w:spacing w:after="0" w:line="11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5"/>
        </w:numPr>
        <w:rPr>
          <w:rFonts w:ascii="Times New Roman" w:cs="Times New Roman" w:eastAsia="Times New Roman" w:hAnsi="Times New Roman"/>
          <w:sz w:val="18"/>
          <w:szCs w:val="18"/>
          <w:color w:val="auto"/>
        </w:rPr>
      </w:pPr>
      <w:r>
        <w:rPr>
          <w:rFonts w:ascii="Arial" w:cs="Arial" w:eastAsia="Arial" w:hAnsi="Arial"/>
          <w:sz w:val="18"/>
          <w:szCs w:val="18"/>
          <w:color w:val="auto"/>
        </w:rPr>
        <w:t>the acquisition, ownership, acceptance or negotiation of certain drafts, bills of exchange, acceptances or other obligations.</w:t>
      </w:r>
    </w:p>
    <w:p>
      <w:pPr>
        <w:spacing w:after="0" w:line="116" w:lineRule="exact"/>
        <w:rPr>
          <w:sz w:val="20"/>
          <w:szCs w:val="20"/>
          <w:color w:val="auto"/>
        </w:rPr>
      </w:pPr>
    </w:p>
    <w:p>
      <w:pPr>
        <w:jc w:val="both"/>
        <w:ind w:firstLine="342"/>
        <w:spacing w:after="0" w:line="268" w:lineRule="auto"/>
        <w:rPr>
          <w:sz w:val="20"/>
          <w:szCs w:val="20"/>
          <w:color w:val="auto"/>
        </w:rPr>
      </w:pPr>
      <w:r>
        <w:rPr>
          <w:rFonts w:ascii="Arial" w:cs="Arial" w:eastAsia="Arial" w:hAnsi="Arial"/>
          <w:sz w:val="18"/>
          <w:szCs w:val="18"/>
          <w:color w:val="auto"/>
        </w:rPr>
        <w:t>The indenture does not prohibit the trustee from serving as trustee under any other indenture to which we may be a party from time to time or from engaging in other transactions with us. If the trustee acquires any conflicting interest within the meaning of the Trust Indenture Act and any debt securities issued pursuant to the indenture are in default, it must eliminate such conflict or resign.</w:t>
      </w:r>
    </w:p>
    <w:p>
      <w:pPr>
        <w:spacing w:after="0" w:line="63" w:lineRule="exact"/>
        <w:rPr>
          <w:sz w:val="20"/>
          <w:szCs w:val="20"/>
          <w:color w:val="auto"/>
        </w:rPr>
      </w:pPr>
    </w:p>
    <w:p>
      <w:pPr>
        <w:jc w:val="both"/>
        <w:ind w:firstLine="342"/>
        <w:spacing w:after="0" w:line="287" w:lineRule="auto"/>
        <w:rPr>
          <w:sz w:val="20"/>
          <w:szCs w:val="20"/>
          <w:color w:val="auto"/>
        </w:rPr>
      </w:pPr>
      <w:r>
        <w:rPr>
          <w:rFonts w:ascii="Arial" w:cs="Arial" w:eastAsia="Arial" w:hAnsi="Arial"/>
          <w:sz w:val="18"/>
          <w:szCs w:val="18"/>
          <w:color w:val="auto"/>
        </w:rPr>
        <w:t>An affiliate of the trustee is a participant in our $4.0 billion Amended and Restated Five Year Credit Agreement, maturing in March 2029, and our $1.5 billion 364-Day Credit Agreement, maturing in March 2025 (unless converted to a term loan).</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117" w:lineRule="exact"/>
        <w:rPr>
          <w:sz w:val="20"/>
          <w:szCs w:val="20"/>
          <w:color w:val="auto"/>
        </w:rPr>
      </w:pPr>
    </w:p>
    <w:p>
      <w:pPr>
        <w:jc w:val="both"/>
        <w:ind w:firstLine="342"/>
        <w:spacing w:after="0" w:line="287" w:lineRule="auto"/>
        <w:rPr>
          <w:sz w:val="20"/>
          <w:szCs w:val="20"/>
          <w:color w:val="auto"/>
        </w:rPr>
      </w:pPr>
      <w:r>
        <w:rPr>
          <w:rFonts w:ascii="Arial" w:cs="Arial" w:eastAsia="Arial" w:hAnsi="Arial"/>
          <w:sz w:val="18"/>
          <w:szCs w:val="18"/>
          <w:color w:val="auto"/>
        </w:rPr>
        <w:t>We have listed each series of the debt securities on Nasdaq. We have no obligation to maintain such listing and we may delist any series of the debt securities at any time.</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117" w:lineRule="exact"/>
        <w:rPr>
          <w:sz w:val="20"/>
          <w:szCs w:val="20"/>
          <w:color w:val="auto"/>
        </w:rPr>
      </w:pPr>
    </w:p>
    <w:p>
      <w:pPr>
        <w:jc w:val="both"/>
        <w:ind w:firstLine="342"/>
        <w:spacing w:after="0" w:line="287" w:lineRule="auto"/>
        <w:rPr>
          <w:sz w:val="20"/>
          <w:szCs w:val="20"/>
          <w:color w:val="auto"/>
        </w:rPr>
      </w:pPr>
      <w:r>
        <w:rPr>
          <w:rFonts w:ascii="Arial" w:cs="Arial" w:eastAsia="Arial" w:hAnsi="Arial"/>
          <w:sz w:val="18"/>
          <w:szCs w:val="18"/>
          <w:color w:val="auto"/>
        </w:rPr>
        <w:t>The indenture and the debt securities for all purposes shall be governed by and construed in accordance with the laws of the State of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417" w:right="339" w:bottom="1440" w:gutter="0" w:footer="0" w:header="0"/>
        </w:sectPr>
      </w:pPr>
    </w:p>
    <w:bookmarkStart w:id="142" w:name="page143"/>
    <w:bookmarkEnd w:id="142"/>
    <w:p>
      <w:pPr>
        <w:jc w:val="right"/>
        <w:spacing w:after="0"/>
        <w:rPr>
          <w:sz w:val="20"/>
          <w:szCs w:val="20"/>
          <w:color w:val="auto"/>
        </w:rPr>
      </w:pPr>
      <w:r>
        <w:rPr>
          <w:rFonts w:ascii="Arial" w:cs="Arial" w:eastAsia="Arial" w:hAnsi="Arial"/>
          <w:sz w:val="22"/>
          <w:szCs w:val="22"/>
          <w:b w:val="1"/>
          <w:bCs w:val="1"/>
          <w:color w:val="auto"/>
        </w:rPr>
        <w:t>EXHIBIT 10.44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left="340" w:right="2480"/>
        <w:spacing w:after="0" w:line="393" w:lineRule="auto"/>
        <w:rPr>
          <w:sz w:val="20"/>
          <w:szCs w:val="20"/>
          <w:color w:val="auto"/>
        </w:rPr>
      </w:pPr>
      <w:r>
        <w:rPr>
          <w:rFonts w:ascii="Arial" w:cs="Arial" w:eastAsia="Arial" w:hAnsi="Arial"/>
          <w:sz w:val="22"/>
          <w:szCs w:val="22"/>
          <w:b w:val="1"/>
          <w:bCs w:val="1"/>
          <w:color w:val="auto"/>
        </w:rPr>
        <w:t>2016 STOCK INCENTIVE PLAN OF HONEYWELL INTERNATIONAL INC. AND ITS AFFILIATES RESTRICTED STOCK UNIT AGREEMENT, FORM 1</w:t>
      </w:r>
    </w:p>
    <w:p>
      <w:pPr>
        <w:spacing w:after="0" w:line="1" w:lineRule="exact"/>
        <w:rPr>
          <w:sz w:val="20"/>
          <w:szCs w:val="20"/>
          <w:color w:val="auto"/>
        </w:rPr>
      </w:pPr>
    </w:p>
    <w:p>
      <w:pPr>
        <w:ind w:right="20"/>
        <w:spacing w:after="0" w:line="285" w:lineRule="auto"/>
        <w:rPr>
          <w:sz w:val="20"/>
          <w:szCs w:val="20"/>
          <w:color w:val="auto"/>
        </w:rPr>
      </w:pPr>
      <w:r>
        <w:rPr>
          <w:rFonts w:ascii="Arial" w:cs="Arial" w:eastAsia="Arial" w:hAnsi="Arial"/>
          <w:sz w:val="22"/>
          <w:szCs w:val="22"/>
          <w:color w:val="auto"/>
        </w:rPr>
        <w:t>This RESTRICTED STOCK UNIT AGREEMENT made in Charlotte, North Carolina, as of [DATE] (the “Grant Date”), between Honeywell International Inc. (the “Company”) and [EMPLOYEE NAME] (“Participant”).</w:t>
      </w:r>
    </w:p>
    <w:p>
      <w:pPr>
        <w:spacing w:after="0" w:line="86" w:lineRule="exact"/>
        <w:rPr>
          <w:sz w:val="20"/>
          <w:szCs w:val="20"/>
          <w:color w:val="auto"/>
        </w:rPr>
      </w:pPr>
    </w:p>
    <w:p>
      <w:pPr>
        <w:jc w:val="both"/>
        <w:ind w:firstLine="8"/>
        <w:spacing w:after="0" w:line="266" w:lineRule="auto"/>
        <w:tabs>
          <w:tab w:leader="none" w:pos="447" w:val="left"/>
        </w:tabs>
        <w:numPr>
          <w:ilvl w:val="0"/>
          <w:numId w:val="226"/>
        </w:numPr>
        <w:rPr>
          <w:rFonts w:ascii="Arial" w:cs="Arial" w:eastAsia="Arial" w:hAnsi="Arial"/>
          <w:sz w:val="22"/>
          <w:szCs w:val="22"/>
          <w:color w:val="auto"/>
        </w:rPr>
      </w:pPr>
      <w:r>
        <w:rPr>
          <w:rFonts w:ascii="Arial" w:cs="Arial" w:eastAsia="Arial" w:hAnsi="Arial"/>
          <w:sz w:val="22"/>
          <w:szCs w:val="22"/>
          <w:b w:val="1"/>
          <w:bCs w:val="1"/>
          <w:color w:val="auto"/>
        </w:rPr>
        <w:t xml:space="preserve">Grant of Award. </w:t>
      </w:r>
      <w:r>
        <w:rPr>
          <w:rFonts w:ascii="Arial" w:cs="Arial" w:eastAsia="Arial" w:hAnsi="Arial"/>
          <w:sz w:val="22"/>
          <w:szCs w:val="22"/>
          <w:color w:val="auto"/>
        </w:rPr>
        <w:t>The Company has granted you [NUMBER] Restricted Stock Units, subject to the provisions of</w:t>
      </w:r>
      <w:r>
        <w:rPr>
          <w:rFonts w:ascii="Arial" w:cs="Arial" w:eastAsia="Arial" w:hAnsi="Arial"/>
          <w:sz w:val="22"/>
          <w:szCs w:val="22"/>
          <w:b w:val="1"/>
          <w:bCs w:val="1"/>
          <w:color w:val="auto"/>
        </w:rPr>
        <w:t xml:space="preserve"> </w:t>
      </w:r>
      <w:r>
        <w:rPr>
          <w:rFonts w:ascii="Arial" w:cs="Arial" w:eastAsia="Arial" w:hAnsi="Arial"/>
          <w:sz w:val="22"/>
          <w:szCs w:val="22"/>
          <w:color w:val="auto"/>
        </w:rPr>
        <w:t>this Agreement and the 2016 Stock Incentive Plan of Honeywell International Inc. and its Affiliates (the “Plan”). The Company will hold the Restricted Stock Units [and Additional Restricted Stock Units (as defined in Section 2)] in a bookkeeping account on your behalf until they become payable or are forfeited or cancelled.</w:t>
      </w:r>
    </w:p>
    <w:p>
      <w:pPr>
        <w:spacing w:after="0" w:line="96" w:lineRule="exact"/>
        <w:rPr>
          <w:sz w:val="20"/>
          <w:szCs w:val="20"/>
          <w:color w:val="auto"/>
        </w:rPr>
      </w:pPr>
    </w:p>
    <w:p>
      <w:pPr>
        <w:jc w:val="both"/>
        <w:spacing w:after="0" w:line="265" w:lineRule="auto"/>
        <w:rPr>
          <w:sz w:val="20"/>
          <w:szCs w:val="20"/>
          <w:color w:val="auto"/>
        </w:rPr>
      </w:pPr>
      <w:r>
        <w:rPr>
          <w:rFonts w:ascii="Arial" w:cs="Arial" w:eastAsia="Arial" w:hAnsi="Arial"/>
          <w:sz w:val="22"/>
          <w:szCs w:val="22"/>
          <w:color w:val="auto"/>
        </w:rPr>
        <w:t>The Restricted Stock Unit Plan Details for this grant can be found on the Morgan Stanley StockPlan Connect website at www.stockplanconnect.com. The Company reserves the right to change or correct any information contained on the Morgan Stanley StockPlan Connect website to reflect the terms of the Award actually made by the Company on the Grant Date or the Plan.</w:t>
      </w:r>
    </w:p>
    <w:p>
      <w:pPr>
        <w:spacing w:after="0" w:line="109" w:lineRule="exact"/>
        <w:rPr>
          <w:sz w:val="20"/>
          <w:szCs w:val="20"/>
          <w:color w:val="auto"/>
        </w:rPr>
      </w:pPr>
    </w:p>
    <w:p>
      <w:pPr>
        <w:jc w:val="both"/>
        <w:ind w:firstLine="8"/>
        <w:spacing w:after="0" w:line="258" w:lineRule="auto"/>
        <w:tabs>
          <w:tab w:leader="none" w:pos="596" w:val="left"/>
        </w:tabs>
        <w:numPr>
          <w:ilvl w:val="0"/>
          <w:numId w:val="227"/>
        </w:numPr>
        <w:rPr>
          <w:rFonts w:ascii="Arial" w:cs="Arial" w:eastAsia="Arial" w:hAnsi="Arial"/>
          <w:sz w:val="22"/>
          <w:szCs w:val="22"/>
          <w:color w:val="auto"/>
        </w:rPr>
      </w:pPr>
      <w:r>
        <w:rPr>
          <w:rFonts w:ascii="Arial" w:cs="Arial" w:eastAsia="Arial" w:hAnsi="Arial"/>
          <w:sz w:val="22"/>
          <w:szCs w:val="22"/>
          <w:b w:val="1"/>
          <w:bCs w:val="1"/>
          <w:color w:val="auto"/>
        </w:rPr>
        <w:t xml:space="preserve">[FOLLOWING INCLUDED AT COMMITTEE’S DISCRETION: Dividend Equivalents. </w:t>
      </w:r>
      <w:r>
        <w:rPr>
          <w:rFonts w:ascii="Arial" w:cs="Arial" w:eastAsia="Arial" w:hAnsi="Arial"/>
          <w:sz w:val="22"/>
          <w:szCs w:val="22"/>
          <w:color w:val="auto"/>
        </w:rPr>
        <w:t>Except as otherwise</w:t>
      </w:r>
      <w:r>
        <w:rPr>
          <w:rFonts w:ascii="Arial" w:cs="Arial" w:eastAsia="Arial" w:hAnsi="Arial"/>
          <w:sz w:val="22"/>
          <w:szCs w:val="22"/>
          <w:b w:val="1"/>
          <w:bCs w:val="1"/>
          <w:color w:val="auto"/>
        </w:rPr>
        <w:t xml:space="preserve"> </w:t>
      </w:r>
      <w:r>
        <w:rPr>
          <w:rFonts w:ascii="Arial" w:cs="Arial" w:eastAsia="Arial" w:hAnsi="Arial"/>
          <w:sz w:val="22"/>
          <w:szCs w:val="22"/>
          <w:color w:val="auto"/>
        </w:rPr>
        <w:t>determined by the Management Development and Compensation Committee (the “Committee”), in its sole discretion, you will earn Dividend Equivalents in an amount equal to the value of any cash or stock dividends paid by the Company upon one Share of Common Stock for each unvested Restricted Stock Unit or Additional Restricted Stock Unit (as defined below) credited to your bookkeeping account on a dividend payment date. In the case of cash dividends, the Company shall credit to your bookkeeping account, on each dividend payment date, an additional number of Restricted Stock Units (“Additional Restricted Stock Units”) equal to (a) divided by (b), where (a) equals the total number of unvested Restricted Stock Units and Additional Restricted Stock Units, if any, subject to this Agreement on such date multiplied by the dollar amount of the cash dividend paid per Share of Common Stock on such date, and (b) equals the Fair Market Value of a Share on such date. If a dividend is paid to holders of Common Stock in Shares, the Company shall credit to you, on each dividend payment date, Additional Restricted Stock Units equal to the total number of unvested Restricted Stock Units and Additional Restricted Stock Units subject to this Agreement on such date multiplied by the Share dividend paid per Share of Common Stock on such date. Additional Restricted Stock Units are subject to the same restrictions, including but not limited to vesting, transferability and payment restrictions, that apply to the Restricted Stock Units to which they relate. You will continue to earn Additional Restricted Stock Units on unpaid Restricted Stock Units and</w:t>
      </w:r>
    </w:p>
    <w:p>
      <w:pPr>
        <w:sectPr>
          <w:pgSz w:w="11900" w:h="16838" w:orient="portrait"/>
          <w:cols w:equalWidth="0" w:num="1">
            <w:col w:w="11240"/>
          </w:cols>
          <w:pgMar w:left="320" w:top="124" w:right="339" w:bottom="1440" w:gutter="0" w:footer="0" w:header="0"/>
        </w:sectPr>
      </w:pPr>
    </w:p>
    <w:bookmarkStart w:id="143" w:name="page144"/>
    <w:bookmarkEnd w:id="143"/>
    <w:p>
      <w:pPr>
        <w:spacing w:after="0" w:line="285" w:lineRule="auto"/>
        <w:rPr>
          <w:sz w:val="20"/>
          <w:szCs w:val="20"/>
          <w:color w:val="auto"/>
        </w:rPr>
      </w:pPr>
      <w:r>
        <w:rPr>
          <w:rFonts w:ascii="Arial" w:cs="Arial" w:eastAsia="Arial" w:hAnsi="Arial"/>
          <w:sz w:val="22"/>
          <w:szCs w:val="22"/>
          <w:color w:val="auto"/>
        </w:rPr>
        <w:t>Additional Restricted Stock Units that are held in your bookkeeping account pursuant to a deferral election until the vested Shares are paid to you.]</w:t>
      </w:r>
    </w:p>
    <w:p>
      <w:pPr>
        <w:spacing w:after="0" w:line="86" w:lineRule="exact"/>
        <w:rPr>
          <w:sz w:val="20"/>
          <w:szCs w:val="20"/>
          <w:color w:val="auto"/>
        </w:rPr>
      </w:pPr>
    </w:p>
    <w:p>
      <w:pPr>
        <w:ind w:firstLine="8"/>
        <w:spacing w:after="0" w:line="287" w:lineRule="auto"/>
        <w:tabs>
          <w:tab w:leader="none" w:pos="420" w:val="left"/>
        </w:tabs>
        <w:numPr>
          <w:ilvl w:val="0"/>
          <w:numId w:val="228"/>
        </w:numPr>
        <w:rPr>
          <w:rFonts w:ascii="Arial" w:cs="Arial" w:eastAsia="Arial" w:hAnsi="Arial"/>
          <w:sz w:val="22"/>
          <w:szCs w:val="22"/>
          <w:color w:val="auto"/>
        </w:rPr>
      </w:pPr>
      <w:r>
        <w:rPr>
          <w:rFonts w:ascii="Arial" w:cs="Arial" w:eastAsia="Arial" w:hAnsi="Arial"/>
          <w:sz w:val="22"/>
          <w:szCs w:val="22"/>
          <w:b w:val="1"/>
          <w:bCs w:val="1"/>
          <w:color w:val="auto"/>
        </w:rPr>
        <w:t xml:space="preserve">Payment Amount. </w:t>
      </w:r>
      <w:r>
        <w:rPr>
          <w:rFonts w:ascii="Arial" w:cs="Arial" w:eastAsia="Arial" w:hAnsi="Arial"/>
          <w:sz w:val="22"/>
          <w:szCs w:val="22"/>
          <w:color w:val="auto"/>
        </w:rPr>
        <w:t>Each Restricted Stock Unit [and Additional Restricted Stock Unit] represents one (1) Share of</w:t>
      </w:r>
      <w:r>
        <w:rPr>
          <w:rFonts w:ascii="Arial" w:cs="Arial" w:eastAsia="Arial" w:hAnsi="Arial"/>
          <w:sz w:val="22"/>
          <w:szCs w:val="22"/>
          <w:b w:val="1"/>
          <w:bCs w:val="1"/>
          <w:color w:val="auto"/>
        </w:rPr>
        <w:t xml:space="preserve"> </w:t>
      </w:r>
      <w:r>
        <w:rPr>
          <w:rFonts w:ascii="Arial" w:cs="Arial" w:eastAsia="Arial" w:hAnsi="Arial"/>
          <w:sz w:val="22"/>
          <w:szCs w:val="22"/>
          <w:color w:val="auto"/>
        </w:rPr>
        <w:t>Common Stock.</w:t>
      </w:r>
    </w:p>
    <w:p>
      <w:pPr>
        <w:spacing w:after="0" w:line="69" w:lineRule="exact"/>
        <w:rPr>
          <w:rFonts w:ascii="Arial" w:cs="Arial" w:eastAsia="Arial" w:hAnsi="Arial"/>
          <w:sz w:val="22"/>
          <w:szCs w:val="22"/>
          <w:color w:val="auto"/>
        </w:rPr>
      </w:pPr>
    </w:p>
    <w:p>
      <w:pPr>
        <w:jc w:val="both"/>
        <w:ind w:firstLine="8"/>
        <w:spacing w:after="0" w:line="266" w:lineRule="auto"/>
        <w:tabs>
          <w:tab w:leader="none" w:pos="528" w:val="left"/>
        </w:tabs>
        <w:numPr>
          <w:ilvl w:val="0"/>
          <w:numId w:val="228"/>
        </w:numPr>
        <w:rPr>
          <w:rFonts w:ascii="Arial" w:cs="Arial" w:eastAsia="Arial" w:hAnsi="Arial"/>
          <w:sz w:val="22"/>
          <w:szCs w:val="22"/>
          <w:color w:val="auto"/>
        </w:rPr>
      </w:pPr>
      <w:r>
        <w:rPr>
          <w:rFonts w:ascii="Arial" w:cs="Arial" w:eastAsia="Arial" w:hAnsi="Arial"/>
          <w:sz w:val="22"/>
          <w:szCs w:val="22"/>
          <w:b w:val="1"/>
          <w:bCs w:val="1"/>
          <w:color w:val="auto"/>
        </w:rPr>
        <w:t xml:space="preserve">Vesting. </w:t>
      </w:r>
      <w:r>
        <w:rPr>
          <w:rFonts w:ascii="Arial" w:cs="Arial" w:eastAsia="Arial" w:hAnsi="Arial"/>
          <w:sz w:val="22"/>
          <w:szCs w:val="22"/>
          <w:color w:val="auto"/>
        </w:rPr>
        <w:t>Except in the event of your Termination of Employment due to death or Disability or retirement (as</w:t>
      </w:r>
      <w:r>
        <w:rPr>
          <w:rFonts w:ascii="Arial" w:cs="Arial" w:eastAsia="Arial" w:hAnsi="Arial"/>
          <w:sz w:val="22"/>
          <w:szCs w:val="22"/>
          <w:b w:val="1"/>
          <w:bCs w:val="1"/>
          <w:color w:val="auto"/>
        </w:rPr>
        <w:t xml:space="preserve"> </w:t>
      </w:r>
      <w:r>
        <w:rPr>
          <w:rFonts w:ascii="Arial" w:cs="Arial" w:eastAsia="Arial" w:hAnsi="Arial"/>
          <w:sz w:val="22"/>
          <w:szCs w:val="22"/>
          <w:color w:val="auto"/>
        </w:rPr>
        <w:t>defined in Section 7(a)), or as otherwise provided in Section 8 of this Agreement relating to a Change in Control, the Restricted Stock Units [and Additional Restricted Stock Units] will vest as provided on the attached Vesting Schedule Table, which is incorporated into, and made a part of, this Agreement.</w:t>
      </w:r>
    </w:p>
    <w:p>
      <w:pPr>
        <w:spacing w:after="0" w:line="107" w:lineRule="exact"/>
        <w:rPr>
          <w:rFonts w:ascii="Arial" w:cs="Arial" w:eastAsia="Arial" w:hAnsi="Arial"/>
          <w:sz w:val="22"/>
          <w:szCs w:val="22"/>
          <w:color w:val="auto"/>
        </w:rPr>
      </w:pPr>
    </w:p>
    <w:p>
      <w:pPr>
        <w:jc w:val="both"/>
        <w:ind w:firstLine="8"/>
        <w:spacing w:after="0" w:line="260" w:lineRule="auto"/>
        <w:tabs>
          <w:tab w:leader="none" w:pos="427" w:val="left"/>
        </w:tabs>
        <w:numPr>
          <w:ilvl w:val="0"/>
          <w:numId w:val="228"/>
        </w:numPr>
        <w:rPr>
          <w:rFonts w:ascii="Arial" w:cs="Arial" w:eastAsia="Arial" w:hAnsi="Arial"/>
          <w:sz w:val="22"/>
          <w:szCs w:val="22"/>
          <w:color w:val="auto"/>
        </w:rPr>
      </w:pPr>
      <w:r>
        <w:rPr>
          <w:rFonts w:ascii="Arial" w:cs="Arial" w:eastAsia="Arial" w:hAnsi="Arial"/>
          <w:sz w:val="22"/>
          <w:szCs w:val="22"/>
          <w:b w:val="1"/>
          <w:bCs w:val="1"/>
          <w:color w:val="auto"/>
        </w:rPr>
        <w:t xml:space="preserve">Form and Timing of Payment. </w:t>
      </w:r>
      <w:r>
        <w:rPr>
          <w:rFonts w:ascii="Arial" w:cs="Arial" w:eastAsia="Arial" w:hAnsi="Arial"/>
          <w:sz w:val="22"/>
          <w:szCs w:val="22"/>
          <w:color w:val="auto"/>
        </w:rPr>
        <w:t>Vested Restricted Stock Units will be redeemed solely for Shares. [FOLLOWING</w:t>
      </w:r>
      <w:r>
        <w:rPr>
          <w:rFonts w:ascii="Arial" w:cs="Arial" w:eastAsia="Arial" w:hAnsi="Arial"/>
          <w:sz w:val="22"/>
          <w:szCs w:val="22"/>
          <w:b w:val="1"/>
          <w:bCs w:val="1"/>
          <w:color w:val="auto"/>
        </w:rPr>
        <w:t xml:space="preserve"> </w:t>
      </w:r>
      <w:r>
        <w:rPr>
          <w:rFonts w:ascii="Arial" w:cs="Arial" w:eastAsia="Arial" w:hAnsi="Arial"/>
          <w:sz w:val="22"/>
          <w:szCs w:val="22"/>
          <w:color w:val="auto"/>
        </w:rPr>
        <w:t>INCLUDED AT COMPANY’S DISCRETION: Except as otherwise determined by the Company, in its sole discretion, vested Additional Restricted Stock Units will be redeemed solely for Shares.] [Subject to a deferral election made pursuant to Section 12, and] except as otherwise provided in Section 7 below, payment of vested Restricted Stock Units [and Additional Restricted Stock Units] will be made as soon as practicable following the applicable vesting date but in no event later than two and one-half (2-1/2) months following the end of the calendar year in which the vesting date occurs. As determined by the Company in its sole discretion prior to the vesting date, any fractional Shares may be paid in cash or rounded up or down to the nearest whole Share. [You cannot defer payment of the Restricted Stock Units [or the Additional Restricted Stock Units.]]</w:t>
      </w:r>
    </w:p>
    <w:p>
      <w:pPr>
        <w:spacing w:after="0" w:line="112" w:lineRule="exact"/>
        <w:rPr>
          <w:rFonts w:ascii="Arial" w:cs="Arial" w:eastAsia="Arial" w:hAnsi="Arial"/>
          <w:sz w:val="22"/>
          <w:szCs w:val="22"/>
          <w:color w:val="auto"/>
        </w:rPr>
      </w:pPr>
    </w:p>
    <w:p>
      <w:pPr>
        <w:jc w:val="both"/>
        <w:ind w:firstLine="8"/>
        <w:spacing w:after="0" w:line="266" w:lineRule="auto"/>
        <w:tabs>
          <w:tab w:leader="none" w:pos="609" w:val="left"/>
        </w:tabs>
        <w:numPr>
          <w:ilvl w:val="0"/>
          <w:numId w:val="228"/>
        </w:numPr>
        <w:rPr>
          <w:rFonts w:ascii="Arial" w:cs="Arial" w:eastAsia="Arial" w:hAnsi="Arial"/>
          <w:sz w:val="22"/>
          <w:szCs w:val="22"/>
          <w:color w:val="auto"/>
        </w:rPr>
      </w:pPr>
      <w:r>
        <w:rPr>
          <w:rFonts w:ascii="Arial" w:cs="Arial" w:eastAsia="Arial" w:hAnsi="Arial"/>
          <w:sz w:val="22"/>
          <w:szCs w:val="22"/>
          <w:b w:val="1"/>
          <w:bCs w:val="1"/>
          <w:color w:val="auto"/>
        </w:rPr>
        <w:t xml:space="preserve">Termination of Employment. </w:t>
      </w:r>
      <w:r>
        <w:rPr>
          <w:rFonts w:ascii="Arial" w:cs="Arial" w:eastAsia="Arial" w:hAnsi="Arial"/>
          <w:sz w:val="22"/>
          <w:szCs w:val="22"/>
          <w:color w:val="auto"/>
        </w:rPr>
        <w:t>Except as otherwise provided in Sections 7 and 8 of this Agreement, any</w:t>
      </w:r>
      <w:r>
        <w:rPr>
          <w:rFonts w:ascii="Arial" w:cs="Arial" w:eastAsia="Arial" w:hAnsi="Arial"/>
          <w:sz w:val="22"/>
          <w:szCs w:val="22"/>
          <w:b w:val="1"/>
          <w:bCs w:val="1"/>
          <w:color w:val="auto"/>
        </w:rPr>
        <w:t xml:space="preserve"> </w:t>
      </w:r>
      <w:r>
        <w:rPr>
          <w:rFonts w:ascii="Arial" w:cs="Arial" w:eastAsia="Arial" w:hAnsi="Arial"/>
          <w:sz w:val="22"/>
          <w:szCs w:val="22"/>
          <w:color w:val="auto"/>
        </w:rPr>
        <w:t>Restricted Stock Units [and Additional Restricted Stock Units] that have not vested as of your Termination of Employment will immediately be forfeited, and your rights with respect to these Restricted Stock Units [and Additional Restricted Stock Units] will end.</w:t>
      </w:r>
    </w:p>
    <w:p>
      <w:pPr>
        <w:spacing w:after="0" w:line="93" w:lineRule="exact"/>
        <w:rPr>
          <w:rFonts w:ascii="Arial" w:cs="Arial" w:eastAsia="Arial" w:hAnsi="Arial"/>
          <w:sz w:val="22"/>
          <w:szCs w:val="22"/>
          <w:color w:val="auto"/>
        </w:rPr>
      </w:pPr>
    </w:p>
    <w:p>
      <w:pPr>
        <w:ind w:left="420" w:hanging="412"/>
        <w:spacing w:after="0"/>
        <w:tabs>
          <w:tab w:leader="none" w:pos="420" w:val="left"/>
        </w:tabs>
        <w:numPr>
          <w:ilvl w:val="0"/>
          <w:numId w:val="228"/>
        </w:numPr>
        <w:rPr>
          <w:rFonts w:ascii="Arial" w:cs="Arial" w:eastAsia="Arial" w:hAnsi="Arial"/>
          <w:sz w:val="22"/>
          <w:szCs w:val="22"/>
          <w:color w:val="auto"/>
        </w:rPr>
      </w:pPr>
      <w:r>
        <w:rPr>
          <w:rFonts w:ascii="Arial" w:cs="Arial" w:eastAsia="Arial" w:hAnsi="Arial"/>
          <w:sz w:val="22"/>
          <w:szCs w:val="22"/>
          <w:b w:val="1"/>
          <w:bCs w:val="1"/>
          <w:color w:val="auto"/>
        </w:rPr>
        <w:t>Retirement, Death or Disability.</w:t>
      </w:r>
    </w:p>
    <w:p>
      <w:pPr>
        <w:spacing w:after="0" w:line="165" w:lineRule="exact"/>
        <w:rPr>
          <w:rFonts w:ascii="Arial" w:cs="Arial" w:eastAsia="Arial" w:hAnsi="Arial"/>
          <w:sz w:val="22"/>
          <w:szCs w:val="22"/>
          <w:color w:val="auto"/>
        </w:rPr>
      </w:pPr>
    </w:p>
    <w:p>
      <w:pPr>
        <w:jc w:val="both"/>
        <w:ind w:firstLine="260"/>
        <w:spacing w:after="0" w:line="263" w:lineRule="auto"/>
        <w:rPr>
          <w:rFonts w:ascii="Arial" w:cs="Arial" w:eastAsia="Arial" w:hAnsi="Arial"/>
          <w:sz w:val="22"/>
          <w:szCs w:val="22"/>
          <w:color w:val="auto"/>
        </w:rPr>
      </w:pPr>
      <w:r>
        <w:rPr>
          <w:rFonts w:ascii="Arial" w:cs="Arial" w:eastAsia="Arial" w:hAnsi="Arial"/>
          <w:sz w:val="22"/>
          <w:szCs w:val="22"/>
          <w:color w:val="auto"/>
        </w:rPr>
        <w:t xml:space="preserve">a. </w:t>
      </w:r>
      <w:r>
        <w:rPr>
          <w:rFonts w:ascii="Arial" w:cs="Arial" w:eastAsia="Arial" w:hAnsi="Arial"/>
          <w:sz w:val="22"/>
          <w:szCs w:val="22"/>
          <w:b w:val="1"/>
          <w:bCs w:val="1"/>
          <w:color w:val="auto"/>
        </w:rPr>
        <w:t>[FOLLOWING INCLUDED AT COMMITTEE’S DISCRETION: Vesting and Payment Following Retirement.</w:t>
      </w:r>
      <w:r>
        <w:rPr>
          <w:rFonts w:ascii="Arial" w:cs="Arial" w:eastAsia="Arial" w:hAnsi="Arial"/>
          <w:sz w:val="22"/>
          <w:szCs w:val="22"/>
          <w:color w:val="auto"/>
        </w:rPr>
        <w:t xml:space="preserve"> If you terminate employment with the Company and its Affiliates (i) not for Cause, and (ii) after you attain at least 70 points (actual age plus Years of Service, with minimum age 55), and (iii) after you provide the Company at least 120 days’ advance notice of your Termination of Employment, and (iv) you comply with all applicable post-termination restrictive covenants, the following special provisions shall apply:</w:t>
      </w:r>
    </w:p>
    <w:p>
      <w:pPr>
        <w:spacing w:after="0" w:line="114" w:lineRule="exact"/>
        <w:rPr>
          <w:rFonts w:ascii="Arial" w:cs="Arial" w:eastAsia="Arial" w:hAnsi="Arial"/>
          <w:sz w:val="22"/>
          <w:szCs w:val="22"/>
          <w:color w:val="auto"/>
        </w:rPr>
      </w:pPr>
    </w:p>
    <w:p>
      <w:pPr>
        <w:jc w:val="both"/>
        <w:ind w:left="660" w:firstLine="283"/>
        <w:spacing w:after="0" w:line="265" w:lineRule="auto"/>
        <w:tabs>
          <w:tab w:leader="none" w:pos="1521" w:val="left"/>
        </w:tabs>
        <w:numPr>
          <w:ilvl w:val="2"/>
          <w:numId w:val="228"/>
        </w:numPr>
        <w:rPr>
          <w:rFonts w:ascii="Arial" w:cs="Arial" w:eastAsia="Arial" w:hAnsi="Arial"/>
          <w:sz w:val="22"/>
          <w:szCs w:val="22"/>
          <w:color w:val="auto"/>
        </w:rPr>
      </w:pPr>
      <w:r>
        <w:rPr>
          <w:rFonts w:ascii="Arial" w:cs="Arial" w:eastAsia="Arial" w:hAnsi="Arial"/>
          <w:sz w:val="22"/>
          <w:szCs w:val="22"/>
          <w:color w:val="auto"/>
        </w:rPr>
        <w:t>the amount of unvested Restricted Stock Units [and Additional Restricted Stock Units] that shall vest under this Section 5 shall equal (1) the total number of Shares granted to you under Section 1 of this Agreement, (2) multiplied by a fraction, the numerator of which is your Years of Service from the Grant Date to your Termination of Employment and the denominator of which is</w:t>
      </w:r>
    </w:p>
    <w:p>
      <w:pPr>
        <w:sectPr>
          <w:pgSz w:w="11900" w:h="16838" w:orient="portrait"/>
          <w:cols w:equalWidth="0" w:num="1">
            <w:col w:w="11240"/>
          </w:cols>
          <w:pgMar w:left="320" w:top="1422" w:right="339" w:bottom="1440" w:gutter="0" w:footer="0" w:header="0"/>
        </w:sectPr>
      </w:pPr>
    </w:p>
    <w:bookmarkStart w:id="144" w:name="page145"/>
    <w:bookmarkEnd w:id="144"/>
    <w:p>
      <w:pPr>
        <w:ind w:left="652"/>
        <w:spacing w:after="0" w:line="285" w:lineRule="auto"/>
        <w:rPr>
          <w:sz w:val="20"/>
          <w:szCs w:val="20"/>
          <w:color w:val="auto"/>
        </w:rPr>
      </w:pPr>
      <w:r>
        <w:rPr>
          <w:rFonts w:ascii="Arial" w:cs="Arial" w:eastAsia="Arial" w:hAnsi="Arial"/>
          <w:sz w:val="22"/>
          <w:szCs w:val="22"/>
          <w:color w:val="auto"/>
        </w:rPr>
        <w:t>the total years of service from the Grant Date to the final vesting date of this Award, then (3) minus the total number of Shares that vested on or before your Termination of Employment; and</w:t>
      </w:r>
    </w:p>
    <w:p>
      <w:pPr>
        <w:spacing w:after="0" w:line="88" w:lineRule="exact"/>
        <w:rPr>
          <w:sz w:val="20"/>
          <w:szCs w:val="20"/>
          <w:color w:val="auto"/>
        </w:rPr>
      </w:pPr>
    </w:p>
    <w:p>
      <w:pPr>
        <w:jc w:val="both"/>
        <w:ind w:left="652" w:firstLine="332"/>
        <w:spacing w:after="0" w:line="270" w:lineRule="auto"/>
        <w:tabs>
          <w:tab w:leader="none" w:pos="1613" w:val="left"/>
        </w:tabs>
        <w:numPr>
          <w:ilvl w:val="2"/>
          <w:numId w:val="229"/>
        </w:numPr>
        <w:rPr>
          <w:rFonts w:ascii="Arial" w:cs="Arial" w:eastAsia="Arial" w:hAnsi="Arial"/>
          <w:sz w:val="22"/>
          <w:szCs w:val="22"/>
          <w:color w:val="auto"/>
        </w:rPr>
      </w:pPr>
      <w:r>
        <w:rPr>
          <w:rFonts w:ascii="Arial" w:cs="Arial" w:eastAsia="Arial" w:hAnsi="Arial"/>
          <w:sz w:val="22"/>
          <w:szCs w:val="22"/>
          <w:color w:val="auto"/>
        </w:rPr>
        <w:t>Shares that vest pursuant to Paragraph (A) above shall be distributed at the Award’s next regular vesting date, not to exceed the number of Shares that would have vested at such date under the original vesting schedule, with excess Shares vesting at a future vesting date if necessary.]</w:t>
      </w:r>
    </w:p>
    <w:p>
      <w:pPr>
        <w:spacing w:after="0" w:line="89" w:lineRule="exact"/>
        <w:rPr>
          <w:rFonts w:ascii="Arial" w:cs="Arial" w:eastAsia="Arial" w:hAnsi="Arial"/>
          <w:sz w:val="22"/>
          <w:szCs w:val="22"/>
          <w:color w:val="auto"/>
        </w:rPr>
      </w:pPr>
    </w:p>
    <w:p>
      <w:pPr>
        <w:ind w:left="1072" w:hanging="424"/>
        <w:spacing w:after="0"/>
        <w:tabs>
          <w:tab w:leader="none" w:pos="1072" w:val="left"/>
        </w:tabs>
        <w:numPr>
          <w:ilvl w:val="1"/>
          <w:numId w:val="230"/>
        </w:numPr>
        <w:rPr>
          <w:rFonts w:ascii="Arial" w:cs="Arial" w:eastAsia="Arial" w:hAnsi="Arial"/>
          <w:sz w:val="22"/>
          <w:szCs w:val="22"/>
          <w:color w:val="auto"/>
        </w:rPr>
      </w:pPr>
      <w:r>
        <w:rPr>
          <w:rFonts w:ascii="Arial" w:cs="Arial" w:eastAsia="Arial" w:hAnsi="Arial"/>
          <w:sz w:val="22"/>
          <w:szCs w:val="22"/>
          <w:b w:val="1"/>
          <w:bCs w:val="1"/>
          <w:color w:val="auto"/>
        </w:rPr>
        <w:t>Vesting and Payment Following Death or Disability.</w:t>
      </w:r>
    </w:p>
    <w:p>
      <w:pPr>
        <w:spacing w:after="0" w:line="167" w:lineRule="exact"/>
        <w:rPr>
          <w:rFonts w:ascii="Arial" w:cs="Arial" w:eastAsia="Arial" w:hAnsi="Arial"/>
          <w:sz w:val="22"/>
          <w:szCs w:val="22"/>
          <w:color w:val="auto"/>
        </w:rPr>
      </w:pPr>
    </w:p>
    <w:p>
      <w:pPr>
        <w:jc w:val="both"/>
        <w:ind w:left="652" w:firstLine="644"/>
        <w:spacing w:after="0" w:line="263" w:lineRule="auto"/>
        <w:tabs>
          <w:tab w:leader="none" w:pos="1907" w:val="left"/>
        </w:tabs>
        <w:numPr>
          <w:ilvl w:val="3"/>
          <w:numId w:val="230"/>
        </w:numPr>
        <w:rPr>
          <w:rFonts w:ascii="Arial" w:cs="Arial" w:eastAsia="Arial" w:hAnsi="Arial"/>
          <w:sz w:val="22"/>
          <w:szCs w:val="22"/>
          <w:color w:val="auto"/>
        </w:rPr>
      </w:pPr>
      <w:r>
        <w:rPr>
          <w:rFonts w:ascii="Arial" w:cs="Arial" w:eastAsia="Arial" w:hAnsi="Arial"/>
          <w:sz w:val="22"/>
          <w:szCs w:val="22"/>
          <w:color w:val="auto"/>
        </w:rPr>
        <w:t>If your Termination of Employment occurs due to death or Disability before the vesting date described in Section 4 of this Agreement, all of your unvested Restricted Stock Units [and Additional Restricted Stock Units] will vest as of your Termination of Employment. If you are deceased, the Company will make a payment to your estate only after the Company has determined that the payee is the duly appointed executor or administrator of your estate, subject to Section 7.14 of the Plan.</w:t>
      </w:r>
    </w:p>
    <w:p>
      <w:pPr>
        <w:spacing w:after="0" w:line="112" w:lineRule="exact"/>
        <w:rPr>
          <w:rFonts w:ascii="Arial" w:cs="Arial" w:eastAsia="Arial" w:hAnsi="Arial"/>
          <w:sz w:val="22"/>
          <w:szCs w:val="22"/>
          <w:color w:val="auto"/>
        </w:rPr>
      </w:pPr>
    </w:p>
    <w:p>
      <w:pPr>
        <w:jc w:val="both"/>
        <w:ind w:left="652" w:firstLine="644"/>
        <w:spacing w:after="0" w:line="265" w:lineRule="auto"/>
        <w:tabs>
          <w:tab w:leader="none" w:pos="1954" w:val="left"/>
        </w:tabs>
        <w:numPr>
          <w:ilvl w:val="3"/>
          <w:numId w:val="230"/>
        </w:numPr>
        <w:rPr>
          <w:rFonts w:ascii="Arial" w:cs="Arial" w:eastAsia="Arial" w:hAnsi="Arial"/>
          <w:sz w:val="22"/>
          <w:szCs w:val="22"/>
          <w:color w:val="auto"/>
        </w:rPr>
      </w:pPr>
      <w:r>
        <w:rPr>
          <w:rFonts w:ascii="Arial" w:cs="Arial" w:eastAsia="Arial" w:hAnsi="Arial"/>
          <w:sz w:val="22"/>
          <w:szCs w:val="22"/>
          <w:color w:val="auto"/>
        </w:rPr>
        <w:t>If your Termination of Employment occurs due to death or Disability before the vesting date described in Section 4 of this Agreement, payment for vested Restricted Stock Units [and Additional Restricted Stock Units] will be made as soon as practicable following your Termination of Employment, but in no event later than the last day of the calendar year in which your Termination of Employment occurs.</w:t>
      </w:r>
    </w:p>
    <w:p>
      <w:pPr>
        <w:spacing w:after="0" w:line="97" w:lineRule="exact"/>
        <w:rPr>
          <w:rFonts w:ascii="Arial" w:cs="Arial" w:eastAsia="Arial" w:hAnsi="Arial"/>
          <w:sz w:val="22"/>
          <w:szCs w:val="22"/>
          <w:color w:val="auto"/>
        </w:rPr>
      </w:pPr>
    </w:p>
    <w:p>
      <w:pPr>
        <w:jc w:val="both"/>
        <w:ind w:left="-8" w:firstLine="656"/>
        <w:spacing w:after="0" w:line="265" w:lineRule="auto"/>
        <w:tabs>
          <w:tab w:leader="none" w:pos="1059" w:val="left"/>
        </w:tabs>
        <w:numPr>
          <w:ilvl w:val="1"/>
          <w:numId w:val="230"/>
        </w:numPr>
        <w:rPr>
          <w:rFonts w:ascii="Arial" w:cs="Arial" w:eastAsia="Arial" w:hAnsi="Arial"/>
          <w:sz w:val="22"/>
          <w:szCs w:val="22"/>
          <w:color w:val="auto"/>
        </w:rPr>
      </w:pPr>
      <w:r>
        <w:rPr>
          <w:rFonts w:ascii="Arial" w:cs="Arial" w:eastAsia="Arial" w:hAnsi="Arial"/>
          <w:sz w:val="22"/>
          <w:szCs w:val="22"/>
          <w:color w:val="auto"/>
        </w:rPr>
        <w:t>If your Termination of Employment due to retirement occurs before the vesting date described in Section 4 of this Agreement and you do not satisfy the requirements of Section 7(a) above, all unvested Restricted Stock Units [and Additional Restricted Stock Units] will be forfeited and your rights with respect to any award under this Agreement will terminate.</w:t>
      </w:r>
    </w:p>
    <w:p>
      <w:pPr>
        <w:spacing w:after="0" w:line="109" w:lineRule="exact"/>
        <w:rPr>
          <w:rFonts w:ascii="Arial" w:cs="Arial" w:eastAsia="Arial" w:hAnsi="Arial"/>
          <w:sz w:val="22"/>
          <w:szCs w:val="22"/>
          <w:color w:val="auto"/>
        </w:rPr>
      </w:pPr>
    </w:p>
    <w:p>
      <w:pPr>
        <w:ind w:left="412" w:hanging="412"/>
        <w:spacing w:after="0"/>
        <w:tabs>
          <w:tab w:leader="none" w:pos="412" w:val="left"/>
        </w:tabs>
        <w:numPr>
          <w:ilvl w:val="0"/>
          <w:numId w:val="231"/>
        </w:numPr>
        <w:rPr>
          <w:rFonts w:ascii="Arial" w:cs="Arial" w:eastAsia="Arial" w:hAnsi="Arial"/>
          <w:sz w:val="22"/>
          <w:szCs w:val="22"/>
          <w:color w:val="auto"/>
        </w:rPr>
      </w:pPr>
      <w:r>
        <w:rPr>
          <w:rFonts w:ascii="Arial" w:cs="Arial" w:eastAsia="Arial" w:hAnsi="Arial"/>
          <w:sz w:val="22"/>
          <w:szCs w:val="22"/>
          <w:b w:val="1"/>
          <w:bCs w:val="1"/>
          <w:color w:val="auto"/>
        </w:rPr>
        <w:t xml:space="preserve">Change in Control. </w:t>
      </w:r>
      <w:r>
        <w:rPr>
          <w:rFonts w:ascii="Arial" w:cs="Arial" w:eastAsia="Arial" w:hAnsi="Arial"/>
          <w:sz w:val="22"/>
          <w:szCs w:val="22"/>
          <w:color w:val="auto"/>
        </w:rPr>
        <w:t>In the event of a Change in Control (as defined in the Plan), the following provisions apply:</w:t>
      </w:r>
    </w:p>
    <w:p>
      <w:pPr>
        <w:spacing w:after="0" w:line="167" w:lineRule="exact"/>
        <w:rPr>
          <w:rFonts w:ascii="Arial" w:cs="Arial" w:eastAsia="Arial" w:hAnsi="Arial"/>
          <w:sz w:val="22"/>
          <w:szCs w:val="22"/>
          <w:color w:val="auto"/>
        </w:rPr>
      </w:pPr>
    </w:p>
    <w:p>
      <w:pPr>
        <w:jc w:val="both"/>
        <w:ind w:left="-8" w:firstLine="656"/>
        <w:spacing w:after="0" w:line="259" w:lineRule="auto"/>
        <w:tabs>
          <w:tab w:leader="none" w:pos="1066" w:val="left"/>
        </w:tabs>
        <w:numPr>
          <w:ilvl w:val="1"/>
          <w:numId w:val="231"/>
        </w:numPr>
        <w:rPr>
          <w:rFonts w:ascii="Arial" w:cs="Arial" w:eastAsia="Arial" w:hAnsi="Arial"/>
          <w:sz w:val="22"/>
          <w:szCs w:val="22"/>
          <w:color w:val="auto"/>
        </w:rPr>
      </w:pPr>
      <w:r>
        <w:rPr>
          <w:rFonts w:ascii="Arial" w:cs="Arial" w:eastAsia="Arial" w:hAnsi="Arial"/>
          <w:sz w:val="22"/>
          <w:szCs w:val="22"/>
          <w:color w:val="auto"/>
        </w:rPr>
        <w:t>Unless adjusted or exchanged pursuant to Section 5.3(c) or 5.3(d) of the Plan, Restricted Stock Units [and Additional Restricted Stock Units] that have not vested or terminated as of the date of the Change in Control will immediately vest. No later than the earlier of 90 days after the date of the Change in Control or two and one-half months after the end of the calendar year in which the Change in Control occurs, you will receive for the Restricted Stock Units [and Additional Restricted Stock Units] a single payment in cash equal to the product of the number of outstanding Restricted Stock Units [and Additional Restricted Stock Units] as of the date of the Change in Control (including any Restricted Stock Units [and Additional Restricted Stock Units] that vest pursuant to this Section 8) and an amount equal to the greater of (i) the highest price per Share paid by the Successor, as determined by the Committee, and (ii) the highest</w:t>
      </w:r>
    </w:p>
    <w:p>
      <w:pPr>
        <w:sectPr>
          <w:pgSz w:w="11900" w:h="16838" w:orient="portrait"/>
          <w:cols w:equalWidth="0" w:num="1">
            <w:col w:w="11232"/>
          </w:cols>
          <w:pgMar w:left="328" w:top="1422" w:right="339" w:bottom="1440" w:gutter="0" w:footer="0" w:header="0"/>
        </w:sectPr>
      </w:pPr>
    </w:p>
    <w:bookmarkStart w:id="145" w:name="page146"/>
    <w:bookmarkEnd w:id="145"/>
    <w:p>
      <w:pPr>
        <w:jc w:val="both"/>
        <w:spacing w:after="0" w:line="265" w:lineRule="auto"/>
        <w:rPr>
          <w:sz w:val="20"/>
          <w:szCs w:val="20"/>
          <w:color w:val="auto"/>
        </w:rPr>
      </w:pPr>
      <w:r>
        <w:rPr>
          <w:rFonts w:ascii="Arial" w:cs="Arial" w:eastAsia="Arial" w:hAnsi="Arial"/>
          <w:sz w:val="22"/>
          <w:szCs w:val="22"/>
          <w:color w:val="auto"/>
        </w:rPr>
        <w:t>Fair Market Value during the period of 90 days that ends on the date of the Change in Control. Any securities or other property that is part or all of the consideration paid for Shares pursuant to the Change in Control will be valued at the higher of (x) the valuation placed on the securities or property by any entity that is a party with the Company to the Change in Control, or (y) the valuation placed on the securities or property by the Committee.</w:t>
      </w:r>
    </w:p>
    <w:p>
      <w:pPr>
        <w:spacing w:after="0" w:line="111" w:lineRule="exact"/>
        <w:rPr>
          <w:sz w:val="20"/>
          <w:szCs w:val="20"/>
          <w:color w:val="auto"/>
        </w:rPr>
      </w:pPr>
    </w:p>
    <w:p>
      <w:pPr>
        <w:jc w:val="both"/>
        <w:ind w:firstLine="410"/>
        <w:spacing w:after="0" w:line="259" w:lineRule="auto"/>
        <w:tabs>
          <w:tab w:leader="none" w:pos="984" w:val="left"/>
        </w:tabs>
        <w:numPr>
          <w:ilvl w:val="1"/>
          <w:numId w:val="232"/>
        </w:numPr>
        <w:rPr>
          <w:rFonts w:ascii="Arial" w:cs="Arial" w:eastAsia="Arial" w:hAnsi="Arial"/>
          <w:sz w:val="22"/>
          <w:szCs w:val="22"/>
          <w:color w:val="auto"/>
        </w:rPr>
      </w:pPr>
      <w:r>
        <w:rPr>
          <w:rFonts w:ascii="Arial" w:cs="Arial" w:eastAsia="Arial" w:hAnsi="Arial"/>
          <w:sz w:val="22"/>
          <w:szCs w:val="22"/>
          <w:color w:val="auto"/>
        </w:rPr>
        <w:t>If adjusted or exchanged pursuant to Section 5.3(c) or 5.3(d) of the Plan, Restricted Stock Units [and Additional Restricted Stock Units] that have not vested or terminated as of the date of the Change in Control will continue to vest in accordance with the schedule described in Section 4 of this Agreement (or as adjusted if more favorable); provided, however, that if you incur an involuntary Termination of Employment not for Cause (as defined in Section 2.7 of the Plan) or a voluntary Termination of Employment for Good Reason (as defined in Section 5.4(d) of the Plan) on or before the second anniversary of the date of the Change in Control, Restricted Stock Units [and Additional Restricted Stock Units] that have not vested or terminated as of your Termination of Employment will immediately vest in full and be settled no later than the earlier of 90 days after the Termination of Employment or two and one-half months after the end of the calendar year in which the Termination of Employment occurs.</w:t>
      </w:r>
    </w:p>
    <w:p>
      <w:pPr>
        <w:spacing w:after="0" w:line="106" w:lineRule="exact"/>
        <w:rPr>
          <w:rFonts w:ascii="Arial" w:cs="Arial" w:eastAsia="Arial" w:hAnsi="Arial"/>
          <w:sz w:val="22"/>
          <w:szCs w:val="22"/>
          <w:color w:val="auto"/>
        </w:rPr>
      </w:pPr>
    </w:p>
    <w:p>
      <w:pPr>
        <w:jc w:val="both"/>
        <w:ind w:firstLine="8"/>
        <w:spacing w:after="0" w:line="262" w:lineRule="auto"/>
        <w:tabs>
          <w:tab w:leader="none" w:pos="434" w:val="left"/>
        </w:tabs>
        <w:numPr>
          <w:ilvl w:val="0"/>
          <w:numId w:val="233"/>
        </w:numPr>
        <w:rPr>
          <w:rFonts w:ascii="Arial" w:cs="Arial" w:eastAsia="Arial" w:hAnsi="Arial"/>
          <w:sz w:val="22"/>
          <w:szCs w:val="22"/>
          <w:color w:val="auto"/>
        </w:rPr>
      </w:pPr>
      <w:r>
        <w:rPr>
          <w:rFonts w:ascii="Arial" w:cs="Arial" w:eastAsia="Arial" w:hAnsi="Arial"/>
          <w:sz w:val="22"/>
          <w:szCs w:val="22"/>
          <w:b w:val="1"/>
          <w:bCs w:val="1"/>
          <w:color w:val="auto"/>
        </w:rPr>
        <w:t xml:space="preserve">Withholdings. </w:t>
      </w:r>
      <w:r>
        <w:rPr>
          <w:rFonts w:ascii="Arial" w:cs="Arial" w:eastAsia="Arial" w:hAnsi="Arial"/>
          <w:sz w:val="22"/>
          <w:szCs w:val="22"/>
          <w:color w:val="auto"/>
        </w:rPr>
        <w:t>The Company or your local employer shall have the power and the right to deduct or withhold, or</w:t>
      </w:r>
      <w:r>
        <w:rPr>
          <w:rFonts w:ascii="Arial" w:cs="Arial" w:eastAsia="Arial" w:hAnsi="Arial"/>
          <w:sz w:val="22"/>
          <w:szCs w:val="22"/>
          <w:b w:val="1"/>
          <w:bCs w:val="1"/>
          <w:color w:val="auto"/>
        </w:rPr>
        <w:t xml:space="preserve"> </w:t>
      </w:r>
      <w:r>
        <w:rPr>
          <w:rFonts w:ascii="Arial" w:cs="Arial" w:eastAsia="Arial" w:hAnsi="Arial"/>
          <w:sz w:val="22"/>
          <w:szCs w:val="22"/>
          <w:color w:val="auto"/>
        </w:rPr>
        <w:t>require you to remit to the Company or to your local employer, prior to any issuance or delivery of Shares on Restricted Stock Units [or Additional Restricted Stock Units], an amount sufficient to satisfy taxes imposed under the laws of any country, state, province, city or other jurisdiction, including but not limited to income taxes, capital gain taxes, transfer taxes, and social security contributions, and National Insurance Contributions, that are required by law to be withheld as determined by the Company or your local employer.</w:t>
      </w:r>
    </w:p>
    <w:p>
      <w:pPr>
        <w:spacing w:after="0" w:line="111" w:lineRule="exact"/>
        <w:rPr>
          <w:rFonts w:ascii="Arial" w:cs="Arial" w:eastAsia="Arial" w:hAnsi="Arial"/>
          <w:sz w:val="22"/>
          <w:szCs w:val="22"/>
          <w:color w:val="auto"/>
        </w:rPr>
      </w:pPr>
    </w:p>
    <w:p>
      <w:pPr>
        <w:jc w:val="both"/>
        <w:ind w:firstLine="8"/>
        <w:spacing w:after="0" w:line="271" w:lineRule="auto"/>
        <w:tabs>
          <w:tab w:leader="none" w:pos="567" w:val="left"/>
        </w:tabs>
        <w:numPr>
          <w:ilvl w:val="0"/>
          <w:numId w:val="233"/>
        </w:numPr>
        <w:rPr>
          <w:rFonts w:ascii="Arial" w:cs="Arial" w:eastAsia="Arial" w:hAnsi="Arial"/>
          <w:sz w:val="22"/>
          <w:szCs w:val="22"/>
          <w:color w:val="auto"/>
        </w:rPr>
      </w:pPr>
      <w:r>
        <w:rPr>
          <w:rFonts w:ascii="Arial" w:cs="Arial" w:eastAsia="Arial" w:hAnsi="Arial"/>
          <w:sz w:val="22"/>
          <w:szCs w:val="22"/>
          <w:b w:val="1"/>
          <w:bCs w:val="1"/>
          <w:color w:val="auto"/>
        </w:rPr>
        <w:t xml:space="preserve">Transfer of Award. </w:t>
      </w:r>
      <w:r>
        <w:rPr>
          <w:rFonts w:ascii="Arial" w:cs="Arial" w:eastAsia="Arial" w:hAnsi="Arial"/>
          <w:sz w:val="22"/>
          <w:szCs w:val="22"/>
          <w:color w:val="auto"/>
        </w:rPr>
        <w:t>You may not transfer the Restricted Stock Units[, Additional Restricted Stock Units] or any</w:t>
      </w:r>
      <w:r>
        <w:rPr>
          <w:rFonts w:ascii="Arial" w:cs="Arial" w:eastAsia="Arial" w:hAnsi="Arial"/>
          <w:sz w:val="22"/>
          <w:szCs w:val="22"/>
          <w:b w:val="1"/>
          <w:bCs w:val="1"/>
          <w:color w:val="auto"/>
        </w:rPr>
        <w:t xml:space="preserve"> </w:t>
      </w:r>
      <w:r>
        <w:rPr>
          <w:rFonts w:ascii="Arial" w:cs="Arial" w:eastAsia="Arial" w:hAnsi="Arial"/>
          <w:sz w:val="22"/>
          <w:szCs w:val="22"/>
          <w:color w:val="auto"/>
        </w:rPr>
        <w:t>interest in such Units except by will or the laws of descent and distribution or except as permitted by the Committee and as specified in the Plan. Any other attempt to dispose of your interest will be null and void.</w:t>
      </w:r>
    </w:p>
    <w:p>
      <w:pPr>
        <w:spacing w:after="0" w:line="101" w:lineRule="exact"/>
        <w:rPr>
          <w:rFonts w:ascii="Arial" w:cs="Arial" w:eastAsia="Arial" w:hAnsi="Arial"/>
          <w:sz w:val="22"/>
          <w:szCs w:val="22"/>
          <w:color w:val="auto"/>
        </w:rPr>
      </w:pPr>
    </w:p>
    <w:p>
      <w:pPr>
        <w:ind w:left="540" w:hanging="532"/>
        <w:spacing w:after="0"/>
        <w:tabs>
          <w:tab w:leader="none" w:pos="540" w:val="left"/>
        </w:tabs>
        <w:numPr>
          <w:ilvl w:val="0"/>
          <w:numId w:val="233"/>
        </w:numPr>
        <w:rPr>
          <w:rFonts w:ascii="Arial" w:cs="Arial" w:eastAsia="Arial" w:hAnsi="Arial"/>
          <w:sz w:val="22"/>
          <w:szCs w:val="22"/>
          <w:color w:val="auto"/>
        </w:rPr>
      </w:pPr>
      <w:r>
        <w:rPr>
          <w:rFonts w:ascii="Arial" w:cs="Arial" w:eastAsia="Arial" w:hAnsi="Arial"/>
          <w:sz w:val="22"/>
          <w:szCs w:val="22"/>
          <w:b w:val="1"/>
          <w:bCs w:val="1"/>
          <w:color w:val="auto"/>
        </w:rPr>
        <w:t>Requirements for and Forfeiture of Award.</w:t>
      </w:r>
    </w:p>
    <w:p>
      <w:pPr>
        <w:spacing w:after="0" w:line="152" w:lineRule="exact"/>
        <w:rPr>
          <w:rFonts w:ascii="Arial" w:cs="Arial" w:eastAsia="Arial" w:hAnsi="Arial"/>
          <w:sz w:val="22"/>
          <w:szCs w:val="22"/>
          <w:color w:val="auto"/>
        </w:rPr>
      </w:pPr>
    </w:p>
    <w:p>
      <w:pPr>
        <w:jc w:val="both"/>
        <w:ind w:firstLine="648"/>
        <w:spacing w:after="0" w:line="262" w:lineRule="auto"/>
        <w:rPr>
          <w:rFonts w:ascii="Arial" w:cs="Arial" w:eastAsia="Arial" w:hAnsi="Arial"/>
          <w:sz w:val="22"/>
          <w:szCs w:val="22"/>
          <w:color w:val="auto"/>
        </w:rPr>
      </w:pPr>
      <w:r>
        <w:rPr>
          <w:rFonts w:ascii="Arial" w:cs="Arial" w:eastAsia="Arial" w:hAnsi="Arial"/>
          <w:sz w:val="22"/>
          <w:szCs w:val="22"/>
          <w:color w:val="auto"/>
        </w:rPr>
        <w:t xml:space="preserve">a. </w:t>
      </w:r>
      <w:r>
        <w:rPr>
          <w:rFonts w:ascii="Arial" w:cs="Arial" w:eastAsia="Arial" w:hAnsi="Arial"/>
          <w:sz w:val="22"/>
          <w:szCs w:val="22"/>
          <w:b w:val="1"/>
          <w:bCs w:val="1"/>
          <w:color w:val="auto"/>
        </w:rPr>
        <w:t>General.</w:t>
      </w:r>
      <w:r>
        <w:rPr>
          <w:rFonts w:ascii="Arial" w:cs="Arial" w:eastAsia="Arial" w:hAnsi="Arial"/>
          <w:sz w:val="22"/>
          <w:szCs w:val="22"/>
          <w:color w:val="auto"/>
        </w:rPr>
        <w:t xml:space="preserve"> The Award is expressly contingent upon you complying with the terms, conditions and definitions contained in this Section 11 and in any other agreement that governs your noncompetition with Honeywell, your nonsolicitation of Honeywell’s employees, customers, suppliers, business partners and vendors, and/or your conduct with respect to Honeywell’s trade secrets and proprietary and confidential information. For purposes of this Section 11, the term “Honeywell” is defined as Honeywell International Inc. (a Delaware corporation having a place of business in Charlotte, North Carolina), its predecessors, designees and successors, as well as its</w:t>
      </w:r>
    </w:p>
    <w:p>
      <w:pPr>
        <w:sectPr>
          <w:pgSz w:w="11900" w:h="16838" w:orient="portrait"/>
          <w:cols w:equalWidth="0" w:num="1">
            <w:col w:w="11240"/>
          </w:cols>
          <w:pgMar w:left="320" w:top="1422" w:right="339" w:bottom="1440" w:gutter="0" w:footer="0" w:header="0"/>
        </w:sectPr>
      </w:pPr>
    </w:p>
    <w:bookmarkStart w:id="146" w:name="page147"/>
    <w:bookmarkEnd w:id="146"/>
    <w:p>
      <w:pPr>
        <w:spacing w:after="0" w:line="285" w:lineRule="auto"/>
        <w:rPr>
          <w:sz w:val="20"/>
          <w:szCs w:val="20"/>
          <w:color w:val="auto"/>
        </w:rPr>
      </w:pPr>
      <w:r>
        <w:rPr>
          <w:rFonts w:ascii="Arial" w:cs="Arial" w:eastAsia="Arial" w:hAnsi="Arial"/>
          <w:sz w:val="22"/>
          <w:szCs w:val="22"/>
          <w:color w:val="auto"/>
        </w:rPr>
        <w:t>past, present and future operating companies, divisions, subsidiaries, affiliates and other business units, including businesses acquired by purchase of assets, stock, merger or otherwise.</w:t>
      </w:r>
    </w:p>
    <w:p>
      <w:pPr>
        <w:spacing w:after="0" w:line="86" w:lineRule="exact"/>
        <w:rPr>
          <w:sz w:val="20"/>
          <w:szCs w:val="20"/>
          <w:color w:val="auto"/>
        </w:rPr>
      </w:pPr>
    </w:p>
    <w:p>
      <w:pPr>
        <w:ind w:left="660" w:hanging="412"/>
        <w:spacing w:after="0"/>
        <w:tabs>
          <w:tab w:leader="none" w:pos="660" w:val="left"/>
        </w:tabs>
        <w:numPr>
          <w:ilvl w:val="0"/>
          <w:numId w:val="234"/>
        </w:numPr>
        <w:rPr>
          <w:rFonts w:ascii="Arial" w:cs="Arial" w:eastAsia="Arial" w:hAnsi="Arial"/>
          <w:sz w:val="22"/>
          <w:szCs w:val="22"/>
          <w:color w:val="auto"/>
        </w:rPr>
      </w:pPr>
      <w:r>
        <w:rPr>
          <w:rFonts w:ascii="Arial" w:cs="Arial" w:eastAsia="Arial" w:hAnsi="Arial"/>
          <w:sz w:val="22"/>
          <w:szCs w:val="22"/>
          <w:b w:val="1"/>
          <w:bCs w:val="1"/>
          <w:color w:val="auto"/>
        </w:rPr>
        <w:t>Remedies.</w:t>
      </w:r>
    </w:p>
    <w:p>
      <w:pPr>
        <w:spacing w:after="0" w:line="154" w:lineRule="exact"/>
        <w:rPr>
          <w:rFonts w:ascii="Arial" w:cs="Arial" w:eastAsia="Arial" w:hAnsi="Arial"/>
          <w:sz w:val="22"/>
          <w:szCs w:val="22"/>
          <w:color w:val="auto"/>
        </w:rPr>
      </w:pPr>
    </w:p>
    <w:p>
      <w:pPr>
        <w:jc w:val="both"/>
        <w:ind w:firstLine="525"/>
        <w:spacing w:after="0" w:line="270" w:lineRule="auto"/>
        <w:tabs>
          <w:tab w:leader="none" w:pos="952" w:val="left"/>
        </w:tabs>
        <w:numPr>
          <w:ilvl w:val="1"/>
          <w:numId w:val="234"/>
        </w:numPr>
        <w:rPr>
          <w:rFonts w:ascii="Arial" w:cs="Arial" w:eastAsia="Arial" w:hAnsi="Arial"/>
          <w:sz w:val="21"/>
          <w:szCs w:val="21"/>
          <w:color w:val="auto"/>
        </w:rPr>
      </w:pPr>
      <w:r>
        <w:rPr>
          <w:rFonts w:ascii="Arial" w:cs="Arial" w:eastAsia="Arial" w:hAnsi="Arial"/>
          <w:sz w:val="21"/>
          <w:szCs w:val="21"/>
          <w:color w:val="auto"/>
        </w:rPr>
        <w:t>You expressly agree and acknowledge that the forfeiture provisions of subsection 11.b.2. of this Agreement shall apply if: (A) you are terminated for Cause (as defined in the Plan) or you voluntarily terminate your employment with less than a 60-day notice period, or (B) from the Grant Date until the date that is twenty-four (24) months after your Termination of Employment for any reason, you (i) enter into an employment, consultation or similar agreement or arrangement (including any arrangement for service as an agent, partner, stockholder, consultant, officer or director) with any entity or person engaged in a business in which Honeywell is engaged if the business is competitive (in the sole judgment of the Honeywell International Inc. Chief Executive Officer (“CEO”)) and the CEO has not approved the agreement or arrangement in writing, or (ii) make any statement, publicly or privately (other than to your spouse and legal advisors), which would be disparaging (as defined below) to Honeywell or its businesses, products, strategies, prospects, condition, or reputation or that of its directors, employees, officers or members; provided, however, that nothing shall preclude you from making any statement in good faith which is required by any applicable law or regulation or the order of a court or other governmental body, or (iii) write or contribute to a book, article or other media publication, whether in written or electronic format, that is in any way descriptive of Honeywell or your career with Honeywell without first submitting a draft thereof, at least thirty (30) days in advance, to the Honeywell International Inc. Senior Vice President and General Counsel, whose judgment about whether such book, article or other media publication is disparaging shall be determinative; or such a book, article or other media publication is published after a determination that it is disparaging; provided, however, that nothing herein shall preclude you from reporting (in good faith) possible violations of federal law or regulation to any governmental agency or entity, including but not limited to, the Department of Justice, the Securities and Exchange Commission, the Congress, and/or any agency Inspector General, or making any other disclosures that are protected under the whistleblower provisions of federal or state law or regulation, or from otherwise making any statement (in good faith) which is required by any applicable law or regulation or the order of a court or other governmental body.</w:t>
      </w:r>
    </w:p>
    <w:p>
      <w:pPr>
        <w:spacing w:after="0" w:line="112" w:lineRule="exact"/>
        <w:rPr>
          <w:sz w:val="20"/>
          <w:szCs w:val="20"/>
          <w:color w:val="auto"/>
        </w:rPr>
      </w:pPr>
    </w:p>
    <w:p>
      <w:pPr>
        <w:jc w:val="both"/>
        <w:spacing w:after="0" w:line="265" w:lineRule="auto"/>
        <w:rPr>
          <w:sz w:val="20"/>
          <w:szCs w:val="20"/>
          <w:color w:val="auto"/>
        </w:rPr>
      </w:pPr>
      <w:r>
        <w:rPr>
          <w:rFonts w:ascii="Arial" w:cs="Arial" w:eastAsia="Arial" w:hAnsi="Arial"/>
          <w:sz w:val="22"/>
          <w:szCs w:val="22"/>
          <w:color w:val="auto"/>
        </w:rPr>
        <w:t>For purposes of this subsection 11.b.1, the term “disparaging” shall mean any statement or representation (whether oral or written and whether true or untrue) which, directly or by implication, tends to create a negative, adverse, or derogatory impression about the subject of the statement or representation or which is intended to harm the reputation of the subject of the statement or representation.</w:t>
      </w:r>
    </w:p>
    <w:p>
      <w:pPr>
        <w:spacing w:after="0" w:line="111" w:lineRule="exact"/>
        <w:rPr>
          <w:sz w:val="20"/>
          <w:szCs w:val="20"/>
          <w:color w:val="auto"/>
        </w:rPr>
      </w:pPr>
    </w:p>
    <w:p>
      <w:pPr>
        <w:ind w:firstLine="1304"/>
        <w:spacing w:after="0" w:line="285" w:lineRule="auto"/>
        <w:tabs>
          <w:tab w:leader="none" w:pos="1806" w:val="left"/>
        </w:tabs>
        <w:numPr>
          <w:ilvl w:val="0"/>
          <w:numId w:val="235"/>
        </w:numPr>
        <w:rPr>
          <w:rFonts w:ascii="Arial" w:cs="Arial" w:eastAsia="Arial" w:hAnsi="Arial"/>
          <w:sz w:val="22"/>
          <w:szCs w:val="22"/>
          <w:color w:val="auto"/>
        </w:rPr>
      </w:pPr>
      <w:r>
        <w:rPr>
          <w:rFonts w:ascii="Arial" w:cs="Arial" w:eastAsia="Arial" w:hAnsi="Arial"/>
          <w:sz w:val="22"/>
          <w:szCs w:val="22"/>
          <w:color w:val="auto"/>
        </w:rPr>
        <w:t>In addition to the relief described in any other agreement that governs your noncompetition with Honeywell, your nonsolicitation of Honeywell’s</w:t>
      </w:r>
    </w:p>
    <w:p>
      <w:pPr>
        <w:sectPr>
          <w:pgSz w:w="11900" w:h="16838" w:orient="portrait"/>
          <w:cols w:equalWidth="0" w:num="1">
            <w:col w:w="11240"/>
          </w:cols>
          <w:pgMar w:left="320" w:top="1422" w:right="339" w:bottom="1440" w:gutter="0" w:footer="0" w:header="0"/>
        </w:sectPr>
      </w:pPr>
    </w:p>
    <w:bookmarkStart w:id="147" w:name="page148"/>
    <w:bookmarkEnd w:id="147"/>
    <w:p>
      <w:pPr>
        <w:jc w:val="both"/>
        <w:spacing w:after="0" w:line="258" w:lineRule="auto"/>
        <w:rPr>
          <w:sz w:val="20"/>
          <w:szCs w:val="20"/>
          <w:color w:val="auto"/>
        </w:rPr>
      </w:pPr>
      <w:r>
        <w:rPr>
          <w:rFonts w:ascii="Arial" w:cs="Arial" w:eastAsia="Arial" w:hAnsi="Arial"/>
          <w:sz w:val="22"/>
          <w:szCs w:val="22"/>
          <w:color w:val="auto"/>
        </w:rPr>
        <w:t>employees, customers, suppliers, business partners and vendors, and/or your conduct with respect to Honeywell’s trade secrets and proprietary and confidential information, if the CEO determines, in his sole judgment, that you have violated the terms of any such agreement or you have engaged in an act that violates subsection 11.b.1. of this Agreement, or you are terminated for Cause (as defined in the Plan) or you voluntarily terminate your employment with less than a 60-day notice period, (i) any Restricted Stock Units [and Additional Restricted Stock Units] that have not vested under this Agreement shall immediately be cancelled, and you shall forfeit any rights you have with respect to such Units as of the date of the CEO’s determination or the date of your Termination of Employment for Cause or voluntary Termination of Employment, as applicable, and (ii) you shall immediately deliver to the Company Shares equal in value to the Restricted Stock Units [and Additional Restricted Stock Units] you received during the period beginning twelve (12) months prior to your Termination of Employment and ending on (x) the date of the CEO’s determination in the case of a violation other than for a Termination of Employment for Cause or voluntary termination without sufficient notice, or (y) the date of your Termination of Employment in the case of a Termination of Employment for Cause or voluntary termination without sufficient notice, as applicable.</w:t>
      </w:r>
    </w:p>
    <w:p>
      <w:pPr>
        <w:spacing w:after="0" w:line="123" w:lineRule="exact"/>
        <w:rPr>
          <w:sz w:val="20"/>
          <w:szCs w:val="20"/>
          <w:color w:val="auto"/>
        </w:rPr>
      </w:pPr>
    </w:p>
    <w:p>
      <w:pPr>
        <w:jc w:val="both"/>
        <w:ind w:firstLine="1304"/>
        <w:spacing w:after="0" w:line="265" w:lineRule="auto"/>
        <w:tabs>
          <w:tab w:leader="none" w:pos="1773" w:val="left"/>
        </w:tabs>
        <w:numPr>
          <w:ilvl w:val="1"/>
          <w:numId w:val="236"/>
        </w:numPr>
        <w:rPr>
          <w:rFonts w:ascii="Arial" w:cs="Arial" w:eastAsia="Arial" w:hAnsi="Arial"/>
          <w:sz w:val="22"/>
          <w:szCs w:val="22"/>
          <w:color w:val="auto"/>
        </w:rPr>
      </w:pPr>
      <w:r>
        <w:rPr>
          <w:rFonts w:ascii="Arial" w:cs="Arial" w:eastAsia="Arial" w:hAnsi="Arial"/>
          <w:sz w:val="22"/>
          <w:szCs w:val="22"/>
          <w:color w:val="auto"/>
        </w:rPr>
        <w:t>Notwithstanding anything in the Plan or this Agreement to the contrary, you acknowledge that the Company may be entitled or required by law, Company policy or the requirements of an exchange on which the Shares are listed for trading, to recoup compensation paid to you pursuant to the Plan, and you agree to comply with any Company request or demand for recoupment.</w:t>
      </w:r>
    </w:p>
    <w:p>
      <w:pPr>
        <w:spacing w:after="0" w:line="95" w:lineRule="exact"/>
        <w:rPr>
          <w:rFonts w:ascii="Arial" w:cs="Arial" w:eastAsia="Arial" w:hAnsi="Arial"/>
          <w:sz w:val="22"/>
          <w:szCs w:val="22"/>
          <w:color w:val="auto"/>
        </w:rPr>
      </w:pPr>
    </w:p>
    <w:p>
      <w:pPr>
        <w:jc w:val="both"/>
        <w:ind w:firstLine="8"/>
        <w:spacing w:after="0" w:line="275" w:lineRule="auto"/>
        <w:tabs>
          <w:tab w:leader="none" w:pos="689" w:val="left"/>
        </w:tabs>
        <w:numPr>
          <w:ilvl w:val="0"/>
          <w:numId w:val="237"/>
        </w:numPr>
        <w:rPr>
          <w:rFonts w:ascii="Arial" w:cs="Arial" w:eastAsia="Arial" w:hAnsi="Arial"/>
          <w:sz w:val="21"/>
          <w:szCs w:val="21"/>
          <w:color w:val="auto"/>
        </w:rPr>
      </w:pPr>
      <w:r>
        <w:rPr>
          <w:rFonts w:ascii="Arial" w:cs="Arial" w:eastAsia="Arial" w:hAnsi="Arial"/>
          <w:sz w:val="21"/>
          <w:szCs w:val="21"/>
          <w:b w:val="1"/>
          <w:bCs w:val="1"/>
          <w:color w:val="auto"/>
        </w:rPr>
        <w:t xml:space="preserve">Restrictions on Payment of Shares. </w:t>
      </w:r>
      <w:r>
        <w:rPr>
          <w:rFonts w:ascii="Arial" w:cs="Arial" w:eastAsia="Arial" w:hAnsi="Arial"/>
          <w:sz w:val="21"/>
          <w:szCs w:val="21"/>
          <w:color w:val="auto"/>
        </w:rPr>
        <w:t>Payment of Shares for your Restricted Stock Units [and Additional</w:t>
      </w:r>
      <w:r>
        <w:rPr>
          <w:rFonts w:ascii="Arial" w:cs="Arial" w:eastAsia="Arial" w:hAnsi="Arial"/>
          <w:sz w:val="21"/>
          <w:szCs w:val="21"/>
          <w:b w:val="1"/>
          <w:bCs w:val="1"/>
          <w:color w:val="auto"/>
        </w:rPr>
        <w:t xml:space="preserve"> </w:t>
      </w:r>
      <w:r>
        <w:rPr>
          <w:rFonts w:ascii="Arial" w:cs="Arial" w:eastAsia="Arial" w:hAnsi="Arial"/>
          <w:sz w:val="21"/>
          <w:szCs w:val="21"/>
          <w:color w:val="auto"/>
        </w:rPr>
        <w:t>Restricted Stock Units] is subject to the conditions that, to the extent required at the time of exercise, (i) the Shares underlying the Restricted Stock Units [and Additional Restricted Stock Units] shall be duly listed, upon official notice of redemption, upon The Nasdaq Stock Market LLC (“Nasdaq”), and (ii) a Registration Statement under the Securities Act of 1933 with respect to the Shares shall be effective. The Company shall not be required to deliver any Common Stock until all applicable federal and state laws and regulations have been complied with and all legal matters in connection with the issuance and delivery of the Shares have been approved by counsel for the Company.</w:t>
      </w:r>
    </w:p>
    <w:p>
      <w:pPr>
        <w:spacing w:after="0" w:line="101" w:lineRule="exact"/>
        <w:rPr>
          <w:rFonts w:ascii="Arial" w:cs="Arial" w:eastAsia="Arial" w:hAnsi="Arial"/>
          <w:sz w:val="21"/>
          <w:szCs w:val="21"/>
          <w:color w:val="auto"/>
        </w:rPr>
      </w:pPr>
    </w:p>
    <w:p>
      <w:pPr>
        <w:ind w:firstLine="8"/>
        <w:spacing w:after="0" w:line="287" w:lineRule="auto"/>
        <w:tabs>
          <w:tab w:leader="none" w:pos="648" w:val="left"/>
        </w:tabs>
        <w:numPr>
          <w:ilvl w:val="0"/>
          <w:numId w:val="237"/>
        </w:numPr>
        <w:rPr>
          <w:rFonts w:ascii="Arial" w:cs="Arial" w:eastAsia="Arial" w:hAnsi="Arial"/>
          <w:sz w:val="22"/>
          <w:szCs w:val="22"/>
          <w:color w:val="auto"/>
        </w:rPr>
      </w:pPr>
      <w:r>
        <w:rPr>
          <w:rFonts w:ascii="Arial" w:cs="Arial" w:eastAsia="Arial" w:hAnsi="Arial"/>
          <w:sz w:val="22"/>
          <w:szCs w:val="22"/>
          <w:b w:val="1"/>
          <w:bCs w:val="1"/>
          <w:color w:val="auto"/>
        </w:rPr>
        <w:t>Adjustments</w:t>
      </w:r>
      <w:r>
        <w:rPr>
          <w:rFonts w:ascii="Arial" w:cs="Arial" w:eastAsia="Arial" w:hAnsi="Arial"/>
          <w:sz w:val="22"/>
          <w:szCs w:val="22"/>
          <w:color w:val="auto"/>
        </w:rPr>
        <w:t>. Any adjustments to the Restricted Stock Units [and Additional Restricted Stock Units] will be</w:t>
      </w:r>
      <w:r>
        <w:rPr>
          <w:rFonts w:ascii="Arial" w:cs="Arial" w:eastAsia="Arial" w:hAnsi="Arial"/>
          <w:sz w:val="22"/>
          <w:szCs w:val="22"/>
          <w:b w:val="1"/>
          <w:bCs w:val="1"/>
          <w:color w:val="auto"/>
        </w:rPr>
        <w:t xml:space="preserve"> </w:t>
      </w:r>
      <w:r>
        <w:rPr>
          <w:rFonts w:ascii="Arial" w:cs="Arial" w:eastAsia="Arial" w:hAnsi="Arial"/>
          <w:sz w:val="22"/>
          <w:szCs w:val="22"/>
          <w:color w:val="auto"/>
        </w:rPr>
        <w:t>governed by Section 5.3 of the Plan.</w:t>
      </w:r>
    </w:p>
    <w:p>
      <w:pPr>
        <w:spacing w:after="0" w:line="83" w:lineRule="exact"/>
        <w:rPr>
          <w:rFonts w:ascii="Arial" w:cs="Arial" w:eastAsia="Arial" w:hAnsi="Arial"/>
          <w:sz w:val="22"/>
          <w:szCs w:val="22"/>
          <w:color w:val="auto"/>
        </w:rPr>
      </w:pPr>
    </w:p>
    <w:p>
      <w:pPr>
        <w:jc w:val="both"/>
        <w:ind w:firstLine="8"/>
        <w:spacing w:after="0" w:line="263" w:lineRule="auto"/>
        <w:tabs>
          <w:tab w:leader="none" w:pos="608" w:val="left"/>
        </w:tabs>
        <w:numPr>
          <w:ilvl w:val="0"/>
          <w:numId w:val="237"/>
        </w:numPr>
        <w:rPr>
          <w:rFonts w:ascii="Arial" w:cs="Arial" w:eastAsia="Arial" w:hAnsi="Arial"/>
          <w:sz w:val="22"/>
          <w:szCs w:val="22"/>
          <w:color w:val="auto"/>
        </w:rPr>
      </w:pPr>
      <w:r>
        <w:rPr>
          <w:rFonts w:ascii="Arial" w:cs="Arial" w:eastAsia="Arial" w:hAnsi="Arial"/>
          <w:sz w:val="22"/>
          <w:szCs w:val="22"/>
          <w:b w:val="1"/>
          <w:bCs w:val="1"/>
          <w:color w:val="auto"/>
        </w:rPr>
        <w:t xml:space="preserve">Disposition of Securities. </w:t>
      </w:r>
      <w:r>
        <w:rPr>
          <w:rFonts w:ascii="Arial" w:cs="Arial" w:eastAsia="Arial" w:hAnsi="Arial"/>
          <w:sz w:val="22"/>
          <w:szCs w:val="22"/>
          <w:color w:val="auto"/>
        </w:rPr>
        <w:t>By accepting the Award, you acknowledge that you have read and understand (i)</w:t>
      </w:r>
      <w:r>
        <w:rPr>
          <w:rFonts w:ascii="Arial" w:cs="Arial" w:eastAsia="Arial" w:hAnsi="Arial"/>
          <w:sz w:val="22"/>
          <w:szCs w:val="22"/>
          <w:b w:val="1"/>
          <w:bCs w:val="1"/>
          <w:color w:val="auto"/>
        </w:rPr>
        <w:t xml:space="preserve"> </w:t>
      </w:r>
      <w:r>
        <w:rPr>
          <w:rFonts w:ascii="Arial" w:cs="Arial" w:eastAsia="Arial" w:hAnsi="Arial"/>
          <w:sz w:val="22"/>
          <w:szCs w:val="22"/>
          <w:color w:val="auto"/>
        </w:rPr>
        <w:t>the Company’s policy, and are aware of and understand your obligations under applicable securities laws in respect of trading in the Company’s securities, and (ii) the Company’s stock ownership guidelines as they apply to this Award. The Company shall have the right to recover, or receive reimbursement for, any compensation or profit you realize on the disposition of Shares received for Restricted</w:t>
      </w:r>
    </w:p>
    <w:p>
      <w:pPr>
        <w:sectPr>
          <w:pgSz w:w="11900" w:h="16838" w:orient="portrait"/>
          <w:cols w:equalWidth="0" w:num="1">
            <w:col w:w="11240"/>
          </w:cols>
          <w:pgMar w:left="320" w:top="1422" w:right="339" w:bottom="1440" w:gutter="0" w:footer="0" w:header="0"/>
        </w:sectPr>
      </w:pPr>
    </w:p>
    <w:bookmarkStart w:id="148" w:name="page149"/>
    <w:bookmarkEnd w:id="148"/>
    <w:p>
      <w:pPr>
        <w:spacing w:after="0" w:line="285" w:lineRule="auto"/>
        <w:rPr>
          <w:sz w:val="20"/>
          <w:szCs w:val="20"/>
          <w:color w:val="auto"/>
        </w:rPr>
      </w:pPr>
      <w:r>
        <w:rPr>
          <w:rFonts w:ascii="Arial" w:cs="Arial" w:eastAsia="Arial" w:hAnsi="Arial"/>
          <w:sz w:val="22"/>
          <w:szCs w:val="22"/>
          <w:color w:val="auto"/>
        </w:rPr>
        <w:t>Stock Units [or Additional Restricted Stock Units] to the extent that the Company has a right of recovery or reimbursement under applicable securities laws.</w:t>
      </w:r>
    </w:p>
    <w:p>
      <w:pPr>
        <w:spacing w:after="0" w:line="86" w:lineRule="exact"/>
        <w:rPr>
          <w:sz w:val="20"/>
          <w:szCs w:val="20"/>
          <w:color w:val="auto"/>
        </w:rPr>
      </w:pPr>
    </w:p>
    <w:p>
      <w:pPr>
        <w:jc w:val="both"/>
        <w:ind w:firstLine="8"/>
        <w:spacing w:after="0" w:line="274" w:lineRule="auto"/>
        <w:tabs>
          <w:tab w:leader="none" w:pos="662" w:val="left"/>
        </w:tabs>
        <w:numPr>
          <w:ilvl w:val="0"/>
          <w:numId w:val="238"/>
        </w:numPr>
        <w:rPr>
          <w:rFonts w:ascii="Arial" w:cs="Arial" w:eastAsia="Arial" w:hAnsi="Arial"/>
          <w:sz w:val="21"/>
          <w:szCs w:val="21"/>
          <w:color w:val="auto"/>
        </w:rPr>
      </w:pPr>
      <w:r>
        <w:rPr>
          <w:rFonts w:ascii="Arial" w:cs="Arial" w:eastAsia="Arial" w:hAnsi="Arial"/>
          <w:sz w:val="21"/>
          <w:szCs w:val="21"/>
          <w:b w:val="1"/>
          <w:bCs w:val="1"/>
          <w:color w:val="auto"/>
        </w:rPr>
        <w:t xml:space="preserve">Plan Terms Govern. </w:t>
      </w:r>
      <w:r>
        <w:rPr>
          <w:rFonts w:ascii="Arial" w:cs="Arial" w:eastAsia="Arial" w:hAnsi="Arial"/>
          <w:sz w:val="21"/>
          <w:szCs w:val="21"/>
          <w:color w:val="auto"/>
        </w:rPr>
        <w:t>The vesting and redemption of Restricted Stock Units [or Additional Restricted Stock</w:t>
      </w:r>
      <w:r>
        <w:rPr>
          <w:rFonts w:ascii="Arial" w:cs="Arial" w:eastAsia="Arial" w:hAnsi="Arial"/>
          <w:sz w:val="21"/>
          <w:szCs w:val="21"/>
          <w:b w:val="1"/>
          <w:bCs w:val="1"/>
          <w:color w:val="auto"/>
        </w:rPr>
        <w:t xml:space="preserve"> </w:t>
      </w:r>
      <w:r>
        <w:rPr>
          <w:rFonts w:ascii="Arial" w:cs="Arial" w:eastAsia="Arial" w:hAnsi="Arial"/>
          <w:sz w:val="21"/>
          <w:szCs w:val="21"/>
          <w:color w:val="auto"/>
        </w:rPr>
        <w:t>Units], the disposition of any Shares received for Restricted Stock Units [or Additional Restricted Stock Units], the treatment of gain on the disposition of these Shares, and the treatment of Dividend Equivalents are subject to the provisions of the Plan and any rules that the Committee may prescribe. The Plan document, as may be amended from time to time, is incorporated into this Agreement. Capitalized terms used in this Agreement have the meaning set forth in the Plan, unless otherwise stated in this Agreement. In the event of any conflict between the terms of the Plan and the terms of this Agreement, the Plan shall control. By accepting the Award, you acknowledge that the Plan and the Plan prospectus, as in effect on the date of this Agreement, have been made available to you for your review.</w:t>
      </w:r>
    </w:p>
    <w:p>
      <w:pPr>
        <w:spacing w:after="0" w:line="89" w:lineRule="exact"/>
        <w:rPr>
          <w:rFonts w:ascii="Arial" w:cs="Arial" w:eastAsia="Arial" w:hAnsi="Arial"/>
          <w:sz w:val="21"/>
          <w:szCs w:val="21"/>
          <w:color w:val="auto"/>
        </w:rPr>
      </w:pPr>
    </w:p>
    <w:p>
      <w:pPr>
        <w:ind w:left="540" w:hanging="532"/>
        <w:spacing w:after="0"/>
        <w:tabs>
          <w:tab w:leader="none" w:pos="540" w:val="left"/>
        </w:tabs>
        <w:numPr>
          <w:ilvl w:val="0"/>
          <w:numId w:val="238"/>
        </w:numPr>
        <w:rPr>
          <w:rFonts w:ascii="Arial" w:cs="Arial" w:eastAsia="Arial" w:hAnsi="Arial"/>
          <w:sz w:val="22"/>
          <w:szCs w:val="22"/>
          <w:color w:val="auto"/>
        </w:rPr>
      </w:pPr>
      <w:r>
        <w:rPr>
          <w:rFonts w:ascii="Arial" w:cs="Arial" w:eastAsia="Arial" w:hAnsi="Arial"/>
          <w:sz w:val="22"/>
          <w:szCs w:val="22"/>
          <w:b w:val="1"/>
          <w:bCs w:val="1"/>
          <w:color w:val="auto"/>
        </w:rPr>
        <w:t>Personal Data.</w:t>
      </w:r>
    </w:p>
    <w:p>
      <w:pPr>
        <w:spacing w:after="0" w:line="167" w:lineRule="exact"/>
        <w:rPr>
          <w:rFonts w:ascii="Arial" w:cs="Arial" w:eastAsia="Arial" w:hAnsi="Arial"/>
          <w:sz w:val="22"/>
          <w:szCs w:val="22"/>
          <w:color w:val="auto"/>
        </w:rPr>
      </w:pPr>
    </w:p>
    <w:p>
      <w:pPr>
        <w:jc w:val="both"/>
        <w:ind w:firstLine="648"/>
        <w:spacing w:after="0" w:line="270" w:lineRule="auto"/>
        <w:rPr>
          <w:rFonts w:ascii="Arial" w:cs="Arial" w:eastAsia="Arial" w:hAnsi="Arial"/>
          <w:sz w:val="22"/>
          <w:szCs w:val="22"/>
          <w:color w:val="auto"/>
        </w:rPr>
      </w:pPr>
      <w:r>
        <w:rPr>
          <w:rFonts w:ascii="Arial" w:cs="Arial" w:eastAsia="Arial" w:hAnsi="Arial"/>
          <w:sz w:val="22"/>
          <w:szCs w:val="22"/>
          <w:color w:val="auto"/>
        </w:rPr>
        <w:t>a. By entering into this Agreement, and as a condition of the grant of the Restricted Stock Units, you expressly consent to the collection, use, and transfer of personal data as described in this Section to the full extent permitted by and in full compliance with applicable law.</w:t>
      </w:r>
    </w:p>
    <w:p>
      <w:pPr>
        <w:spacing w:after="0" w:line="104" w:lineRule="exact"/>
        <w:rPr>
          <w:rFonts w:ascii="Arial" w:cs="Arial" w:eastAsia="Arial" w:hAnsi="Arial"/>
          <w:sz w:val="22"/>
          <w:szCs w:val="22"/>
          <w:color w:val="auto"/>
        </w:rPr>
      </w:pPr>
    </w:p>
    <w:p>
      <w:pPr>
        <w:jc w:val="both"/>
        <w:ind w:firstLine="411"/>
        <w:spacing w:after="0" w:line="263" w:lineRule="auto"/>
        <w:rPr>
          <w:rFonts w:ascii="Arial" w:cs="Arial" w:eastAsia="Arial" w:hAnsi="Arial"/>
          <w:sz w:val="22"/>
          <w:szCs w:val="22"/>
          <w:color w:val="auto"/>
        </w:rPr>
      </w:pPr>
      <w:r>
        <w:rPr>
          <w:rFonts w:ascii="Arial" w:cs="Arial" w:eastAsia="Arial" w:hAnsi="Arial"/>
          <w:sz w:val="22"/>
          <w:szCs w:val="22"/>
          <w:color w:val="auto"/>
        </w:rPr>
        <w:t>b. You understand that your local employer holds, by means of an automated data file, certain personal information about you, including, but not limited to, name, home address and telephone number, date of birth, social insurance number, salary, nationality, job title, any shares or directorships held in the Company, details of all Restricted Stock Units or other entitlement to shares awarded, canceled, exercised, vested, unvested, or outstanding in your favor, for the purpose of managing and administering the Plan (“Data”).</w:t>
      </w:r>
    </w:p>
    <w:p>
      <w:pPr>
        <w:spacing w:after="0" w:line="98" w:lineRule="exact"/>
        <w:rPr>
          <w:rFonts w:ascii="Arial" w:cs="Arial" w:eastAsia="Arial" w:hAnsi="Arial"/>
          <w:sz w:val="22"/>
          <w:szCs w:val="22"/>
          <w:color w:val="auto"/>
        </w:rPr>
      </w:pPr>
    </w:p>
    <w:p>
      <w:pPr>
        <w:jc w:val="both"/>
        <w:ind w:firstLine="252"/>
        <w:spacing w:after="0" w:line="265" w:lineRule="auto"/>
        <w:rPr>
          <w:rFonts w:ascii="Arial" w:cs="Arial" w:eastAsia="Arial" w:hAnsi="Arial"/>
          <w:sz w:val="22"/>
          <w:szCs w:val="22"/>
          <w:color w:val="auto"/>
        </w:rPr>
      </w:pPr>
      <w:r>
        <w:rPr>
          <w:rFonts w:ascii="Arial" w:cs="Arial" w:eastAsia="Arial" w:hAnsi="Arial"/>
          <w:sz w:val="22"/>
          <w:szCs w:val="22"/>
          <w:color w:val="auto"/>
        </w:rPr>
        <w:t>c. You further understand that part or all of your Data may be also held by the Company or its Affiliates, pursuant to a transfer made in the past with your consent, in respect of any previous grant of Restricted Stock Units or awards, which was made for the same purposes of managing and administering of previous award/incentive plans, or for other purposes.</w:t>
      </w:r>
    </w:p>
    <w:p>
      <w:pPr>
        <w:spacing w:after="0" w:line="111" w:lineRule="exact"/>
        <w:rPr>
          <w:rFonts w:ascii="Arial" w:cs="Arial" w:eastAsia="Arial" w:hAnsi="Arial"/>
          <w:sz w:val="22"/>
          <w:szCs w:val="22"/>
          <w:color w:val="auto"/>
        </w:rPr>
      </w:pPr>
    </w:p>
    <w:p>
      <w:pPr>
        <w:jc w:val="both"/>
        <w:ind w:firstLine="348"/>
        <w:spacing w:after="0" w:line="263" w:lineRule="auto"/>
        <w:rPr>
          <w:rFonts w:ascii="Arial" w:cs="Arial" w:eastAsia="Arial" w:hAnsi="Arial"/>
          <w:sz w:val="22"/>
          <w:szCs w:val="22"/>
          <w:color w:val="auto"/>
        </w:rPr>
      </w:pPr>
      <w:r>
        <w:rPr>
          <w:rFonts w:ascii="Arial" w:cs="Arial" w:eastAsia="Arial" w:hAnsi="Arial"/>
          <w:sz w:val="22"/>
          <w:szCs w:val="22"/>
          <w:color w:val="auto"/>
        </w:rPr>
        <w:t>d. You further understand that your local employer will transfer Data to the Company or its Affiliates among themselves as necessary for the purposes of implementation, administration, and management of your participation in the Plan, and that the Company or its Affiliates may transfer data among themselves, and/or each, in turn, further transfer Data to any third parties assisting the Company in the implementation, administration, and management of the Plan (“Data Recipients”).</w:t>
      </w:r>
    </w:p>
    <w:p>
      <w:pPr>
        <w:spacing w:after="0" w:line="112" w:lineRule="exact"/>
        <w:rPr>
          <w:rFonts w:ascii="Arial" w:cs="Arial" w:eastAsia="Arial" w:hAnsi="Arial"/>
          <w:sz w:val="22"/>
          <w:szCs w:val="22"/>
          <w:color w:val="auto"/>
        </w:rPr>
      </w:pPr>
    </w:p>
    <w:p>
      <w:pPr>
        <w:jc w:val="both"/>
        <w:ind w:firstLine="306"/>
        <w:spacing w:after="0" w:line="270" w:lineRule="auto"/>
        <w:rPr>
          <w:rFonts w:ascii="Arial" w:cs="Arial" w:eastAsia="Arial" w:hAnsi="Arial"/>
          <w:sz w:val="22"/>
          <w:szCs w:val="22"/>
          <w:color w:val="auto"/>
        </w:rPr>
      </w:pPr>
      <w:r>
        <w:rPr>
          <w:rFonts w:ascii="Arial" w:cs="Arial" w:eastAsia="Arial" w:hAnsi="Arial"/>
          <w:sz w:val="22"/>
          <w:szCs w:val="22"/>
          <w:color w:val="auto"/>
        </w:rPr>
        <w:t>e. You understand that the Company or its Affiliates, as well as the Data Recipients, are or may be located in your country of residence or elsewhere, such as the United States. You authorize the Company or its Affiliates, as well as the Data</w:t>
      </w:r>
    </w:p>
    <w:p>
      <w:pPr>
        <w:sectPr>
          <w:pgSz w:w="11900" w:h="16838" w:orient="portrait"/>
          <w:cols w:equalWidth="0" w:num="1">
            <w:col w:w="11240"/>
          </w:cols>
          <w:pgMar w:left="320" w:top="1422" w:right="339" w:bottom="1440" w:gutter="0" w:footer="0" w:header="0"/>
        </w:sectPr>
      </w:pPr>
    </w:p>
    <w:bookmarkStart w:id="149" w:name="page150"/>
    <w:bookmarkEnd w:id="149"/>
    <w:p>
      <w:pPr>
        <w:jc w:val="both"/>
        <w:spacing w:after="0" w:line="265" w:lineRule="auto"/>
        <w:rPr>
          <w:sz w:val="20"/>
          <w:szCs w:val="20"/>
          <w:color w:val="auto"/>
        </w:rPr>
      </w:pPr>
      <w:r>
        <w:rPr>
          <w:rFonts w:ascii="Arial" w:cs="Arial" w:eastAsia="Arial" w:hAnsi="Arial"/>
          <w:sz w:val="22"/>
          <w:szCs w:val="22"/>
          <w:color w:val="auto"/>
        </w:rPr>
        <w:t>Recipients, to receive, possess, use, retain, and transfer Data in electronic or other form, for the purposes of implementing, administering, and managing your participation in the Plan, including any transfer of such Data, as may be required for the administration of the Plan and/or the subsequent holding of Shares on your behalf, to a broker or third party with whom the Shares may be deposited.</w:t>
      </w:r>
    </w:p>
    <w:p>
      <w:pPr>
        <w:spacing w:after="0" w:line="111" w:lineRule="exact"/>
        <w:rPr>
          <w:sz w:val="20"/>
          <w:szCs w:val="20"/>
          <w:color w:val="auto"/>
        </w:rPr>
      </w:pPr>
    </w:p>
    <w:p>
      <w:pPr>
        <w:jc w:val="both"/>
        <w:ind w:firstLine="656"/>
        <w:spacing w:after="0" w:line="265" w:lineRule="auto"/>
        <w:tabs>
          <w:tab w:leader="none" w:pos="1035" w:val="left"/>
        </w:tabs>
        <w:numPr>
          <w:ilvl w:val="3"/>
          <w:numId w:val="239"/>
        </w:numPr>
        <w:rPr>
          <w:rFonts w:ascii="Arial" w:cs="Arial" w:eastAsia="Arial" w:hAnsi="Arial"/>
          <w:sz w:val="22"/>
          <w:szCs w:val="22"/>
          <w:color w:val="auto"/>
        </w:rPr>
      </w:pPr>
      <w:r>
        <w:rPr>
          <w:rFonts w:ascii="Arial" w:cs="Arial" w:eastAsia="Arial" w:hAnsi="Arial"/>
          <w:sz w:val="22"/>
          <w:szCs w:val="22"/>
          <w:color w:val="auto"/>
        </w:rPr>
        <w:t>You understand that you may show your opposition to the processing and transfer of your Data, and, may at any time, review the Data, request that any necessary amendments be made to it, or withdraw your consent herein in writing by contacting the Company. You further understand that withdrawing consent may affect your ability to participate in the Plan.</w:t>
      </w:r>
    </w:p>
    <w:p>
      <w:pPr>
        <w:spacing w:after="0" w:line="97" w:lineRule="exact"/>
        <w:rPr>
          <w:rFonts w:ascii="Arial" w:cs="Arial" w:eastAsia="Arial" w:hAnsi="Arial"/>
          <w:sz w:val="22"/>
          <w:szCs w:val="22"/>
          <w:color w:val="auto"/>
        </w:rPr>
      </w:pPr>
    </w:p>
    <w:p>
      <w:pPr>
        <w:jc w:val="both"/>
        <w:ind w:firstLine="656"/>
        <w:spacing w:after="0" w:line="278" w:lineRule="auto"/>
        <w:tabs>
          <w:tab w:leader="none" w:pos="1094" w:val="left"/>
        </w:tabs>
        <w:numPr>
          <w:ilvl w:val="3"/>
          <w:numId w:val="239"/>
        </w:numPr>
        <w:rPr>
          <w:rFonts w:ascii="Arial" w:cs="Arial" w:eastAsia="Arial" w:hAnsi="Arial"/>
          <w:sz w:val="21"/>
          <w:szCs w:val="21"/>
          <w:color w:val="auto"/>
        </w:rPr>
      </w:pPr>
      <w:r>
        <w:rPr>
          <w:rFonts w:ascii="Arial" w:cs="Arial" w:eastAsia="Arial" w:hAnsi="Arial"/>
          <w:sz w:val="21"/>
          <w:szCs w:val="21"/>
          <w:color w:val="auto"/>
        </w:rPr>
        <w:t>You further understand the Company or the Affiliate(s) for which you act as a director or officer may need your Data to fulfill the applicable statutory requirements or prepare annual financial statements. You hereby consent that the Company or Affiliate(s) may transfer the Data among themselves, and/or each, in turn, further transfer Data to any third parties assisting the Company or the Affiliate(s) in fulfilling the applicable statutory requirements or preparing annual financial statements whether during your employment or after your Termination of Employment.</w:t>
      </w:r>
    </w:p>
    <w:p>
      <w:pPr>
        <w:spacing w:after="0" w:line="97" w:lineRule="exact"/>
        <w:rPr>
          <w:rFonts w:ascii="Arial" w:cs="Arial" w:eastAsia="Arial" w:hAnsi="Arial"/>
          <w:sz w:val="21"/>
          <w:szCs w:val="21"/>
          <w:color w:val="auto"/>
        </w:rPr>
      </w:pPr>
    </w:p>
    <w:p>
      <w:pPr>
        <w:ind w:firstLine="8"/>
        <w:spacing w:after="0" w:line="287" w:lineRule="auto"/>
        <w:tabs>
          <w:tab w:leader="none" w:pos="635" w:val="left"/>
        </w:tabs>
        <w:numPr>
          <w:ilvl w:val="0"/>
          <w:numId w:val="240"/>
        </w:numPr>
        <w:rPr>
          <w:rFonts w:ascii="Arial" w:cs="Arial" w:eastAsia="Arial" w:hAnsi="Arial"/>
          <w:sz w:val="22"/>
          <w:szCs w:val="22"/>
          <w:color w:val="auto"/>
        </w:rPr>
      </w:pPr>
      <w:r>
        <w:rPr>
          <w:rFonts w:ascii="Arial" w:cs="Arial" w:eastAsia="Arial" w:hAnsi="Arial"/>
          <w:sz w:val="22"/>
          <w:szCs w:val="22"/>
          <w:b w:val="1"/>
          <w:bCs w:val="1"/>
          <w:color w:val="auto"/>
        </w:rPr>
        <w:t xml:space="preserve">Discretionary Nature and Acceptance of Award. </w:t>
      </w:r>
      <w:r>
        <w:rPr>
          <w:rFonts w:ascii="Arial" w:cs="Arial" w:eastAsia="Arial" w:hAnsi="Arial"/>
          <w:sz w:val="22"/>
          <w:szCs w:val="22"/>
          <w:color w:val="auto"/>
        </w:rPr>
        <w:t>By accepting this Award, you agree to be bound by the</w:t>
      </w:r>
      <w:r>
        <w:rPr>
          <w:rFonts w:ascii="Arial" w:cs="Arial" w:eastAsia="Arial" w:hAnsi="Arial"/>
          <w:sz w:val="22"/>
          <w:szCs w:val="22"/>
          <w:b w:val="1"/>
          <w:bCs w:val="1"/>
          <w:color w:val="auto"/>
        </w:rPr>
        <w:t xml:space="preserve"> </w:t>
      </w:r>
      <w:r>
        <w:rPr>
          <w:rFonts w:ascii="Arial" w:cs="Arial" w:eastAsia="Arial" w:hAnsi="Arial"/>
          <w:sz w:val="22"/>
          <w:szCs w:val="22"/>
          <w:color w:val="auto"/>
        </w:rPr>
        <w:t>terms of this Agreement and acknowledge that:</w:t>
      </w:r>
    </w:p>
    <w:p>
      <w:pPr>
        <w:spacing w:after="0" w:line="85" w:lineRule="exact"/>
        <w:rPr>
          <w:rFonts w:ascii="Arial" w:cs="Arial" w:eastAsia="Arial" w:hAnsi="Arial"/>
          <w:sz w:val="22"/>
          <w:szCs w:val="22"/>
          <w:color w:val="auto"/>
        </w:rPr>
      </w:pPr>
    </w:p>
    <w:p>
      <w:pPr>
        <w:jc w:val="both"/>
        <w:ind w:firstLine="656"/>
        <w:spacing w:after="0" w:line="270" w:lineRule="auto"/>
        <w:tabs>
          <w:tab w:leader="none" w:pos="1229" w:val="left"/>
        </w:tabs>
        <w:numPr>
          <w:ilvl w:val="3"/>
          <w:numId w:val="240"/>
        </w:numPr>
        <w:rPr>
          <w:rFonts w:ascii="Arial" w:cs="Arial" w:eastAsia="Arial" w:hAnsi="Arial"/>
          <w:sz w:val="22"/>
          <w:szCs w:val="22"/>
          <w:color w:val="auto"/>
        </w:rPr>
      </w:pPr>
      <w:r>
        <w:rPr>
          <w:rFonts w:ascii="Arial" w:cs="Arial" w:eastAsia="Arial" w:hAnsi="Arial"/>
          <w:sz w:val="22"/>
          <w:szCs w:val="22"/>
          <w:color w:val="auto"/>
        </w:rPr>
        <w:t>The Company (and not your local employer) is granting your Restricted Stock Units [and Additional Restricted Stock Units]. Furthermore, this Agreement is not derived from any preexisting labor relationship between you and the Company, but rather from a mercantile relationship.</w:t>
      </w:r>
    </w:p>
    <w:p>
      <w:pPr>
        <w:spacing w:after="0" w:line="91" w:lineRule="exact"/>
        <w:rPr>
          <w:rFonts w:ascii="Arial" w:cs="Arial" w:eastAsia="Arial" w:hAnsi="Arial"/>
          <w:sz w:val="22"/>
          <w:szCs w:val="22"/>
          <w:color w:val="auto"/>
        </w:rPr>
      </w:pPr>
    </w:p>
    <w:p>
      <w:pPr>
        <w:ind w:firstLine="345"/>
        <w:spacing w:after="0" w:line="285" w:lineRule="auto"/>
        <w:tabs>
          <w:tab w:leader="none" w:pos="850" w:val="left"/>
        </w:tabs>
        <w:numPr>
          <w:ilvl w:val="2"/>
          <w:numId w:val="240"/>
        </w:numPr>
        <w:rPr>
          <w:rFonts w:ascii="Arial" w:cs="Arial" w:eastAsia="Arial" w:hAnsi="Arial"/>
          <w:sz w:val="22"/>
          <w:szCs w:val="22"/>
          <w:color w:val="auto"/>
        </w:rPr>
      </w:pPr>
      <w:r>
        <w:rPr>
          <w:rFonts w:ascii="Arial" w:cs="Arial" w:eastAsia="Arial" w:hAnsi="Arial"/>
          <w:sz w:val="22"/>
          <w:szCs w:val="22"/>
          <w:color w:val="auto"/>
        </w:rPr>
        <w:t>The Company may administer the Plan from outside your country of residence and United States law will govern all Restricted Stock Units [and Additional Restricted Stock Units] granted under the Plan.</w:t>
      </w:r>
    </w:p>
    <w:p>
      <w:pPr>
        <w:spacing w:after="0" w:line="87" w:lineRule="exact"/>
        <w:rPr>
          <w:rFonts w:ascii="Arial" w:cs="Arial" w:eastAsia="Arial" w:hAnsi="Arial"/>
          <w:sz w:val="22"/>
          <w:szCs w:val="22"/>
          <w:color w:val="auto"/>
        </w:rPr>
      </w:pPr>
    </w:p>
    <w:p>
      <w:pPr>
        <w:ind w:firstLine="281"/>
        <w:spacing w:after="0" w:line="285" w:lineRule="auto"/>
        <w:tabs>
          <w:tab w:leader="none" w:pos="714" w:val="left"/>
        </w:tabs>
        <w:numPr>
          <w:ilvl w:val="1"/>
          <w:numId w:val="240"/>
        </w:numPr>
        <w:rPr>
          <w:rFonts w:ascii="Arial" w:cs="Arial" w:eastAsia="Arial" w:hAnsi="Arial"/>
          <w:sz w:val="22"/>
          <w:szCs w:val="22"/>
          <w:color w:val="auto"/>
        </w:rPr>
      </w:pPr>
      <w:r>
        <w:rPr>
          <w:rFonts w:ascii="Arial" w:cs="Arial" w:eastAsia="Arial" w:hAnsi="Arial"/>
          <w:sz w:val="22"/>
          <w:szCs w:val="22"/>
          <w:color w:val="auto"/>
        </w:rPr>
        <w:t>Benefits and rights provided under the Plan are wholly discretionary and, although provided by the Company, do not constitute regular or periodic payments.</w:t>
      </w:r>
    </w:p>
    <w:p>
      <w:pPr>
        <w:spacing w:after="0" w:line="87" w:lineRule="exact"/>
        <w:rPr>
          <w:rFonts w:ascii="Arial" w:cs="Arial" w:eastAsia="Arial" w:hAnsi="Arial"/>
          <w:sz w:val="22"/>
          <w:szCs w:val="22"/>
          <w:color w:val="auto"/>
        </w:rPr>
      </w:pPr>
    </w:p>
    <w:p>
      <w:pPr>
        <w:jc w:val="both"/>
        <w:ind w:firstLine="277"/>
        <w:spacing w:after="0" w:line="260" w:lineRule="auto"/>
        <w:tabs>
          <w:tab w:leader="none" w:pos="714" w:val="left"/>
        </w:tabs>
        <w:numPr>
          <w:ilvl w:val="1"/>
          <w:numId w:val="240"/>
        </w:numPr>
        <w:rPr>
          <w:rFonts w:ascii="Arial" w:cs="Arial" w:eastAsia="Arial" w:hAnsi="Arial"/>
          <w:sz w:val="22"/>
          <w:szCs w:val="22"/>
          <w:color w:val="auto"/>
        </w:rPr>
      </w:pPr>
      <w:r>
        <w:rPr>
          <w:rFonts w:ascii="Arial" w:cs="Arial" w:eastAsia="Arial" w:hAnsi="Arial"/>
          <w:sz w:val="22"/>
          <w:szCs w:val="22"/>
          <w:color w:val="auto"/>
        </w:rPr>
        <w:t>The benefits and rights provided under the Plan are not to be considered part of your salary or compensation under your employment with your local employer for purposes of calculating any severance, resignation, redundancy or other end of service payments, vacation, bonuses, long-term service awards, indemnification, pension or retirement benefits, or any other payments, benefits or rights of any kind. You waive any and all rights to compensation or damages as a result of the termination of employment with your local employer for any reason whatsoever insofar as those rights result, or may result, from the loss or diminution in value of such rights under the Plan or your ceasing to have any rights under, or ceasing to be entitled to any rights under, the Plan as a result of such termination.</w:t>
      </w:r>
    </w:p>
    <w:p>
      <w:pPr>
        <w:sectPr>
          <w:pgSz w:w="11900" w:h="16838" w:orient="portrait"/>
          <w:cols w:equalWidth="0" w:num="1">
            <w:col w:w="11240"/>
          </w:cols>
          <w:pgMar w:left="320" w:top="1422" w:right="339" w:bottom="1440" w:gutter="0" w:footer="0" w:header="0"/>
        </w:sectPr>
      </w:pPr>
    </w:p>
    <w:bookmarkStart w:id="150" w:name="page151"/>
    <w:bookmarkEnd w:id="150"/>
    <w:p>
      <w:pPr>
        <w:jc w:val="both"/>
        <w:ind w:left="-8" w:firstLine="275"/>
        <w:spacing w:after="0" w:line="260" w:lineRule="auto"/>
        <w:tabs>
          <w:tab w:leader="none" w:pos="702" w:val="left"/>
        </w:tabs>
        <w:numPr>
          <w:ilvl w:val="1"/>
          <w:numId w:val="241"/>
        </w:numPr>
        <w:rPr>
          <w:rFonts w:ascii="Arial" w:cs="Arial" w:eastAsia="Arial" w:hAnsi="Arial"/>
          <w:sz w:val="22"/>
          <w:szCs w:val="22"/>
          <w:color w:val="auto"/>
        </w:rPr>
      </w:pPr>
      <w:r>
        <w:rPr>
          <w:rFonts w:ascii="Arial" w:cs="Arial" w:eastAsia="Arial" w:hAnsi="Arial"/>
          <w:sz w:val="22"/>
          <w:szCs w:val="22"/>
          <w:color w:val="auto"/>
        </w:rPr>
        <w:t>The grant of Restricted Stock Units [and Additional Restricted Stock Units] hereunder, and any future grant of Restricted Stock Units [or Additional Restricted Stock Units] under the Plan, is entirely voluntary, and at the complete discretion of the Company. Neither the grant of the Restricted Stock Units, [the Additional Restricted Stock Units] nor any future grant by the Company will be deemed to create any obligation to make any future grants, whether or not such a reservation is explicitly stated at the time of such a grant. The Company has the right, at any time and/or on an annual basis, to amend, suspend or terminate the Plan; provided, however, that no such amendment, suspension, or termination will adversely affect your rights hereunder.</w:t>
      </w:r>
    </w:p>
    <w:p>
      <w:pPr>
        <w:spacing w:after="0" w:line="120" w:lineRule="exact"/>
        <w:rPr>
          <w:rFonts w:ascii="Arial" w:cs="Arial" w:eastAsia="Arial" w:hAnsi="Arial"/>
          <w:sz w:val="22"/>
          <w:szCs w:val="22"/>
          <w:color w:val="auto"/>
        </w:rPr>
      </w:pPr>
    </w:p>
    <w:p>
      <w:pPr>
        <w:jc w:val="both"/>
        <w:ind w:left="-8" w:firstLine="267"/>
        <w:spacing w:after="0" w:line="270" w:lineRule="auto"/>
        <w:tabs>
          <w:tab w:leader="none" w:pos="625" w:val="left"/>
        </w:tabs>
        <w:numPr>
          <w:ilvl w:val="1"/>
          <w:numId w:val="241"/>
        </w:numPr>
        <w:rPr>
          <w:rFonts w:ascii="Arial" w:cs="Arial" w:eastAsia="Arial" w:hAnsi="Arial"/>
          <w:sz w:val="22"/>
          <w:szCs w:val="22"/>
          <w:color w:val="auto"/>
        </w:rPr>
      </w:pPr>
      <w:r>
        <w:rPr>
          <w:rFonts w:ascii="Arial" w:cs="Arial" w:eastAsia="Arial" w:hAnsi="Arial"/>
          <w:sz w:val="22"/>
          <w:szCs w:val="22"/>
          <w:color w:val="auto"/>
        </w:rPr>
        <w:t>The Plan will not be deemed to constitute, and will not be construed by you to constitute, part of the terms and conditions of employment. Neither the Company nor your local employer will incur any liability of any kind to you as a result of any change or amendment, or any cancellation, of the Plan at any time.</w:t>
      </w:r>
    </w:p>
    <w:p>
      <w:pPr>
        <w:spacing w:after="0" w:line="91" w:lineRule="exact"/>
        <w:rPr>
          <w:rFonts w:ascii="Arial" w:cs="Arial" w:eastAsia="Arial" w:hAnsi="Arial"/>
          <w:sz w:val="22"/>
          <w:szCs w:val="22"/>
          <w:color w:val="auto"/>
        </w:rPr>
      </w:pPr>
    </w:p>
    <w:p>
      <w:pPr>
        <w:ind w:left="-8" w:right="20" w:firstLine="656"/>
        <w:spacing w:after="0" w:line="285" w:lineRule="auto"/>
        <w:tabs>
          <w:tab w:leader="none" w:pos="1091" w:val="left"/>
        </w:tabs>
        <w:numPr>
          <w:ilvl w:val="2"/>
          <w:numId w:val="241"/>
        </w:numPr>
        <w:rPr>
          <w:rFonts w:ascii="Arial" w:cs="Arial" w:eastAsia="Arial" w:hAnsi="Arial"/>
          <w:sz w:val="22"/>
          <w:szCs w:val="22"/>
          <w:color w:val="auto"/>
        </w:rPr>
      </w:pPr>
      <w:r>
        <w:rPr>
          <w:rFonts w:ascii="Arial" w:cs="Arial" w:eastAsia="Arial" w:hAnsi="Arial"/>
          <w:sz w:val="22"/>
          <w:szCs w:val="22"/>
          <w:color w:val="auto"/>
        </w:rPr>
        <w:t>Participation in the Plan will not be deemed to constitute, and will not be deemed by you to constitute, an employment or labor relationship of any kind with the Company.</w:t>
      </w:r>
    </w:p>
    <w:p>
      <w:pPr>
        <w:spacing w:after="0" w:line="85" w:lineRule="exact"/>
        <w:rPr>
          <w:rFonts w:ascii="Arial" w:cs="Arial" w:eastAsia="Arial" w:hAnsi="Arial"/>
          <w:sz w:val="22"/>
          <w:szCs w:val="22"/>
          <w:color w:val="auto"/>
        </w:rPr>
      </w:pPr>
    </w:p>
    <w:p>
      <w:pPr>
        <w:jc w:val="both"/>
        <w:ind w:left="-8" w:firstLine="8"/>
        <w:spacing w:after="0" w:line="261" w:lineRule="auto"/>
        <w:tabs>
          <w:tab w:leader="none" w:pos="694" w:val="left"/>
        </w:tabs>
        <w:numPr>
          <w:ilvl w:val="0"/>
          <w:numId w:val="242"/>
        </w:numPr>
        <w:rPr>
          <w:rFonts w:ascii="Arial" w:cs="Arial" w:eastAsia="Arial" w:hAnsi="Arial"/>
          <w:sz w:val="22"/>
          <w:szCs w:val="22"/>
          <w:color w:val="auto"/>
        </w:rPr>
      </w:pPr>
      <w:r>
        <w:rPr>
          <w:rFonts w:ascii="Arial" w:cs="Arial" w:eastAsia="Arial" w:hAnsi="Arial"/>
          <w:sz w:val="22"/>
          <w:szCs w:val="22"/>
          <w:b w:val="1"/>
          <w:bCs w:val="1"/>
          <w:color w:val="auto"/>
        </w:rPr>
        <w:t xml:space="preserve">Limitations. </w:t>
      </w:r>
      <w:r>
        <w:rPr>
          <w:rFonts w:ascii="Arial" w:cs="Arial" w:eastAsia="Arial" w:hAnsi="Arial"/>
          <w:sz w:val="22"/>
          <w:szCs w:val="22"/>
          <w:color w:val="auto"/>
        </w:rPr>
        <w:t>Nothing in this Agreement or the Plan gives you any right to continue in the employ of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or any of its Affiliates or to interfere in any way with the right of the Company or any Affiliate to terminate your employment at any time. Payment of your Restricted Stock Units [and Additional Restricted Stock Units] is not secured by a trust, insurance contract or other funding medium, and you do not have any interest in any fund or specific asset of the Company by reason of this Award or the account established on your behalf. You have no rights as a shareowner of the Company pursuant to the Restricted Stock Units [or Additional Restricted Stock Units] until Shares are actually delivered to you.</w:t>
      </w:r>
    </w:p>
    <w:p>
      <w:pPr>
        <w:spacing w:after="0" w:line="112" w:lineRule="exact"/>
        <w:rPr>
          <w:rFonts w:ascii="Arial" w:cs="Arial" w:eastAsia="Arial" w:hAnsi="Arial"/>
          <w:sz w:val="22"/>
          <w:szCs w:val="22"/>
          <w:color w:val="auto"/>
        </w:rPr>
      </w:pPr>
    </w:p>
    <w:p>
      <w:pPr>
        <w:jc w:val="both"/>
        <w:ind w:left="-8" w:firstLine="8"/>
        <w:spacing w:after="0" w:line="266" w:lineRule="auto"/>
        <w:tabs>
          <w:tab w:leader="none" w:pos="721" w:val="left"/>
        </w:tabs>
        <w:numPr>
          <w:ilvl w:val="0"/>
          <w:numId w:val="242"/>
        </w:numPr>
        <w:rPr>
          <w:rFonts w:ascii="Arial" w:cs="Arial" w:eastAsia="Arial" w:hAnsi="Arial"/>
          <w:sz w:val="22"/>
          <w:szCs w:val="22"/>
          <w:color w:val="auto"/>
        </w:rPr>
      </w:pPr>
      <w:r>
        <w:rPr>
          <w:rFonts w:ascii="Arial" w:cs="Arial" w:eastAsia="Arial" w:hAnsi="Arial"/>
          <w:sz w:val="22"/>
          <w:szCs w:val="22"/>
          <w:b w:val="1"/>
          <w:bCs w:val="1"/>
          <w:color w:val="auto"/>
        </w:rPr>
        <w:t xml:space="preserve">Incorporation of Other Agreements. </w:t>
      </w:r>
      <w:r>
        <w:rPr>
          <w:rFonts w:ascii="Arial" w:cs="Arial" w:eastAsia="Arial" w:hAnsi="Arial"/>
          <w:sz w:val="22"/>
          <w:szCs w:val="22"/>
          <w:color w:val="auto"/>
        </w:rPr>
        <w:t>This Agreement and the Plan constitute the entire understanding</w:t>
      </w:r>
      <w:r>
        <w:rPr>
          <w:rFonts w:ascii="Arial" w:cs="Arial" w:eastAsia="Arial" w:hAnsi="Arial"/>
          <w:sz w:val="22"/>
          <w:szCs w:val="22"/>
          <w:b w:val="1"/>
          <w:bCs w:val="1"/>
          <w:color w:val="auto"/>
        </w:rPr>
        <w:t xml:space="preserve"> </w:t>
      </w:r>
      <w:r>
        <w:rPr>
          <w:rFonts w:ascii="Arial" w:cs="Arial" w:eastAsia="Arial" w:hAnsi="Arial"/>
          <w:sz w:val="22"/>
          <w:szCs w:val="22"/>
          <w:color w:val="auto"/>
        </w:rPr>
        <w:t>between you and the Company regarding the Restricted Stock Units. This Agreement supersedes any prior agreements, commitments or negotiations concerning the Restricted Stock Units [and the Additional Restricted Stock Units].</w:t>
      </w:r>
    </w:p>
    <w:p>
      <w:pPr>
        <w:spacing w:after="0" w:line="93" w:lineRule="exact"/>
        <w:rPr>
          <w:rFonts w:ascii="Arial" w:cs="Arial" w:eastAsia="Arial" w:hAnsi="Arial"/>
          <w:sz w:val="22"/>
          <w:szCs w:val="22"/>
          <w:color w:val="auto"/>
        </w:rPr>
      </w:pPr>
    </w:p>
    <w:p>
      <w:pPr>
        <w:jc w:val="both"/>
        <w:ind w:left="-8" w:firstLine="8"/>
        <w:spacing w:after="0" w:line="266" w:lineRule="auto"/>
        <w:tabs>
          <w:tab w:leader="none" w:pos="559" w:val="left"/>
        </w:tabs>
        <w:numPr>
          <w:ilvl w:val="0"/>
          <w:numId w:val="242"/>
        </w:numPr>
        <w:rPr>
          <w:rFonts w:ascii="Arial" w:cs="Arial" w:eastAsia="Arial" w:hAnsi="Arial"/>
          <w:sz w:val="22"/>
          <w:szCs w:val="22"/>
          <w:color w:val="auto"/>
        </w:rPr>
      </w:pPr>
      <w:r>
        <w:rPr>
          <w:rFonts w:ascii="Arial" w:cs="Arial" w:eastAsia="Arial" w:hAnsi="Arial"/>
          <w:sz w:val="22"/>
          <w:szCs w:val="22"/>
          <w:b w:val="1"/>
          <w:bCs w:val="1"/>
          <w:color w:val="auto"/>
        </w:rPr>
        <w:t xml:space="preserve">Severability. </w:t>
      </w:r>
      <w:r>
        <w:rPr>
          <w:rFonts w:ascii="Arial" w:cs="Arial" w:eastAsia="Arial" w:hAnsi="Arial"/>
          <w:sz w:val="22"/>
          <w:szCs w:val="22"/>
          <w:color w:val="auto"/>
        </w:rPr>
        <w:t>The invalidity or unenforceability of any provision of this Agreement shall not affect the validity or</w:t>
      </w:r>
      <w:r>
        <w:rPr>
          <w:rFonts w:ascii="Arial" w:cs="Arial" w:eastAsia="Arial" w:hAnsi="Arial"/>
          <w:sz w:val="22"/>
          <w:szCs w:val="22"/>
          <w:b w:val="1"/>
          <w:bCs w:val="1"/>
          <w:color w:val="auto"/>
        </w:rPr>
        <w:t xml:space="preserve"> </w:t>
      </w:r>
      <w:r>
        <w:rPr>
          <w:rFonts w:ascii="Arial" w:cs="Arial" w:eastAsia="Arial" w:hAnsi="Arial"/>
          <w:sz w:val="22"/>
          <w:szCs w:val="22"/>
          <w:color w:val="auto"/>
        </w:rPr>
        <w:t>enforceability of the other provisions of the Agreement, which shall remain in full force and effect. Moreover, if any provision is found to be excessively broad in duration, scope or covered activity, the provision shall be construed so as to be enforceable to the maximum extent compatible with applicable law.</w:t>
      </w:r>
    </w:p>
    <w:p>
      <w:pPr>
        <w:spacing w:after="0" w:line="107" w:lineRule="exact"/>
        <w:rPr>
          <w:rFonts w:ascii="Arial" w:cs="Arial" w:eastAsia="Arial" w:hAnsi="Arial"/>
          <w:sz w:val="22"/>
          <w:szCs w:val="22"/>
          <w:color w:val="auto"/>
        </w:rPr>
      </w:pPr>
    </w:p>
    <w:p>
      <w:pPr>
        <w:jc w:val="both"/>
        <w:ind w:left="-8" w:firstLine="8"/>
        <w:spacing w:after="0" w:line="271" w:lineRule="auto"/>
        <w:tabs>
          <w:tab w:leader="none" w:pos="586" w:val="left"/>
        </w:tabs>
        <w:numPr>
          <w:ilvl w:val="0"/>
          <w:numId w:val="242"/>
        </w:numPr>
        <w:rPr>
          <w:rFonts w:ascii="Arial" w:cs="Arial" w:eastAsia="Arial" w:hAnsi="Arial"/>
          <w:sz w:val="22"/>
          <w:szCs w:val="22"/>
          <w:color w:val="auto"/>
        </w:rPr>
      </w:pPr>
      <w:r>
        <w:rPr>
          <w:rFonts w:ascii="Arial" w:cs="Arial" w:eastAsia="Arial" w:hAnsi="Arial"/>
          <w:sz w:val="22"/>
          <w:szCs w:val="22"/>
          <w:b w:val="1"/>
          <w:bCs w:val="1"/>
          <w:color w:val="auto"/>
        </w:rPr>
        <w:t xml:space="preserve">Governing Law. </w:t>
      </w:r>
      <w:r>
        <w:rPr>
          <w:rFonts w:ascii="Arial" w:cs="Arial" w:eastAsia="Arial" w:hAnsi="Arial"/>
          <w:sz w:val="22"/>
          <w:szCs w:val="22"/>
          <w:color w:val="auto"/>
        </w:rPr>
        <w:t>The Plan, this Agreement, and all determinations made and actions taken under the Plan or</w:t>
      </w:r>
      <w:r>
        <w:rPr>
          <w:rFonts w:ascii="Arial" w:cs="Arial" w:eastAsia="Arial" w:hAnsi="Arial"/>
          <w:sz w:val="22"/>
          <w:szCs w:val="22"/>
          <w:b w:val="1"/>
          <w:bCs w:val="1"/>
          <w:color w:val="auto"/>
        </w:rPr>
        <w:t xml:space="preserve"> </w:t>
      </w:r>
      <w:r>
        <w:rPr>
          <w:rFonts w:ascii="Arial" w:cs="Arial" w:eastAsia="Arial" w:hAnsi="Arial"/>
          <w:sz w:val="22"/>
          <w:szCs w:val="22"/>
          <w:color w:val="auto"/>
        </w:rPr>
        <w:t>this Agreement shall be governed by the internal substantive laws, and not the choice of law rules, of the State of Delaware and construed accordingly, to the extent not superseded by applicable federal law.</w:t>
      </w:r>
    </w:p>
    <w:p>
      <w:pPr>
        <w:sectPr>
          <w:pgSz w:w="11900" w:h="16838" w:orient="portrait"/>
          <w:cols w:equalWidth="0" w:num="1">
            <w:col w:w="11232"/>
          </w:cols>
          <w:pgMar w:left="328" w:top="1422" w:right="339" w:bottom="1440" w:gutter="0" w:footer="0" w:header="0"/>
        </w:sectPr>
      </w:pPr>
    </w:p>
    <w:bookmarkStart w:id="151" w:name="page152"/>
    <w:bookmarkEnd w:id="151"/>
    <w:p>
      <w:pPr>
        <w:jc w:val="both"/>
        <w:ind w:firstLine="8"/>
        <w:spacing w:after="0" w:line="271" w:lineRule="auto"/>
        <w:tabs>
          <w:tab w:leader="none" w:pos="608" w:val="left"/>
        </w:tabs>
        <w:numPr>
          <w:ilvl w:val="0"/>
          <w:numId w:val="243"/>
        </w:numPr>
        <w:rPr>
          <w:rFonts w:ascii="Arial" w:cs="Arial" w:eastAsia="Arial" w:hAnsi="Arial"/>
          <w:sz w:val="22"/>
          <w:szCs w:val="22"/>
          <w:color w:val="auto"/>
        </w:rPr>
      </w:pPr>
      <w:r>
        <w:rPr>
          <w:rFonts w:ascii="Arial" w:cs="Arial" w:eastAsia="Arial" w:hAnsi="Arial"/>
          <w:sz w:val="22"/>
          <w:szCs w:val="22"/>
          <w:b w:val="1"/>
          <w:bCs w:val="1"/>
          <w:color w:val="auto"/>
        </w:rPr>
        <w:t xml:space="preserve">Agreement Changes. </w:t>
      </w:r>
      <w:r>
        <w:rPr>
          <w:rFonts w:ascii="Arial" w:cs="Arial" w:eastAsia="Arial" w:hAnsi="Arial"/>
          <w:sz w:val="22"/>
          <w:szCs w:val="22"/>
          <w:color w:val="auto"/>
        </w:rPr>
        <w:t>The Company reserves the right to change the terms of this Agreement and the Plan</w:t>
      </w:r>
      <w:r>
        <w:rPr>
          <w:rFonts w:ascii="Arial" w:cs="Arial" w:eastAsia="Arial" w:hAnsi="Arial"/>
          <w:sz w:val="22"/>
          <w:szCs w:val="22"/>
          <w:b w:val="1"/>
          <w:bCs w:val="1"/>
          <w:color w:val="auto"/>
        </w:rPr>
        <w:t xml:space="preserve"> </w:t>
      </w:r>
      <w:r>
        <w:rPr>
          <w:rFonts w:ascii="Arial" w:cs="Arial" w:eastAsia="Arial" w:hAnsi="Arial"/>
          <w:sz w:val="22"/>
          <w:szCs w:val="22"/>
          <w:color w:val="auto"/>
        </w:rPr>
        <w:t>without your consent to the extent necessary or desirable to comply with the requirements of Code section 409A, the Treasury regulations and other guidance thereunder.</w:t>
      </w:r>
    </w:p>
    <w:p>
      <w:pPr>
        <w:spacing w:after="0" w:line="101" w:lineRule="exact"/>
        <w:rPr>
          <w:rFonts w:ascii="Arial" w:cs="Arial" w:eastAsia="Arial" w:hAnsi="Arial"/>
          <w:sz w:val="22"/>
          <w:szCs w:val="22"/>
          <w:color w:val="auto"/>
        </w:rPr>
      </w:pPr>
    </w:p>
    <w:p>
      <w:pPr>
        <w:jc w:val="both"/>
        <w:ind w:firstLine="8"/>
        <w:spacing w:after="0" w:line="263" w:lineRule="auto"/>
        <w:tabs>
          <w:tab w:leader="none" w:pos="648" w:val="left"/>
        </w:tabs>
        <w:numPr>
          <w:ilvl w:val="0"/>
          <w:numId w:val="243"/>
        </w:numPr>
        <w:rPr>
          <w:rFonts w:ascii="Arial" w:cs="Arial" w:eastAsia="Arial" w:hAnsi="Arial"/>
          <w:sz w:val="22"/>
          <w:szCs w:val="22"/>
          <w:color w:val="auto"/>
        </w:rPr>
      </w:pPr>
      <w:r>
        <w:rPr>
          <w:rFonts w:ascii="Arial" w:cs="Arial" w:eastAsia="Arial" w:hAnsi="Arial"/>
          <w:sz w:val="22"/>
          <w:szCs w:val="22"/>
          <w:b w:val="1"/>
          <w:bCs w:val="1"/>
          <w:color w:val="auto"/>
        </w:rPr>
        <w:t xml:space="preserve">Acknowledgements and Acceptance. </w:t>
      </w:r>
      <w:r>
        <w:rPr>
          <w:rFonts w:ascii="Arial" w:cs="Arial" w:eastAsia="Arial" w:hAnsi="Arial"/>
          <w:sz w:val="22"/>
          <w:szCs w:val="22"/>
          <w:color w:val="auto"/>
        </w:rPr>
        <w:t>By accepting this Agreement, you agree that: (i) you have carefully</w:t>
      </w:r>
      <w:r>
        <w:rPr>
          <w:rFonts w:ascii="Arial" w:cs="Arial" w:eastAsia="Arial" w:hAnsi="Arial"/>
          <w:sz w:val="22"/>
          <w:szCs w:val="22"/>
          <w:b w:val="1"/>
          <w:bCs w:val="1"/>
          <w:color w:val="auto"/>
        </w:rPr>
        <w:t xml:space="preserve"> </w:t>
      </w:r>
      <w:r>
        <w:rPr>
          <w:rFonts w:ascii="Arial" w:cs="Arial" w:eastAsia="Arial" w:hAnsi="Arial"/>
          <w:sz w:val="22"/>
          <w:szCs w:val="22"/>
          <w:color w:val="auto"/>
        </w:rPr>
        <w:t>read, fully understand and agree to all of the terms and conditions described in this Agreement, the Plan, the Plan’s prospectus and all accompanying documentation; and (ii) you understand and agree that this Agreement and the Plan constitute the entire understanding between you and the Company regarding the Award, and that any prior agreements, commitments, or negotiations concerning the Award are replaced and superseded.</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color w:val="auto"/>
        </w:rPr>
        <w:t>To retain this Award, you must accept it on the Morgan Stanley website.</w:t>
      </w:r>
    </w:p>
    <w:p>
      <w:pPr>
        <w:sectPr>
          <w:pgSz w:w="11900" w:h="16838" w:orient="portrait"/>
          <w:cols w:equalWidth="0" w:num="1">
            <w:col w:w="11240"/>
          </w:cols>
          <w:pgMar w:left="320" w:top="1420" w:right="339" w:bottom="1440" w:gutter="0" w:footer="0" w:header="0"/>
        </w:sectPr>
      </w:pPr>
    </w:p>
    <w:bookmarkStart w:id="152" w:name="page153"/>
    <w:bookmarkEnd w:id="152"/>
    <w:p>
      <w:pPr>
        <w:jc w:val="center"/>
        <w:spacing w:after="0"/>
        <w:rPr>
          <w:sz w:val="20"/>
          <w:szCs w:val="20"/>
          <w:color w:val="auto"/>
        </w:rPr>
      </w:pPr>
      <w:r>
        <w:rPr>
          <w:rFonts w:ascii="Arial" w:cs="Arial" w:eastAsia="Arial" w:hAnsi="Arial"/>
          <w:sz w:val="22"/>
          <w:szCs w:val="22"/>
          <w:b w:val="1"/>
          <w:bCs w:val="1"/>
          <w:color w:val="auto"/>
        </w:rPr>
        <w:t>VESTING SCHEDULE TABLE</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[VESTING PROVISIONS CONSISTENT WITH THE PLAN]</w:t>
      </w:r>
    </w:p>
    <w:p>
      <w:pPr>
        <w:sectPr>
          <w:pgSz w:w="11900" w:h="16838" w:orient="portrait"/>
          <w:cols w:equalWidth="0" w:num="1">
            <w:col w:w="9019"/>
          </w:cols>
          <w:pgMar w:left="1440" w:top="1421" w:right="1440" w:bottom="1440" w:gutter="0" w:footer="0" w:header="0"/>
        </w:sectPr>
      </w:pPr>
    </w:p>
    <w:bookmarkStart w:id="153" w:name="page154"/>
    <w:bookmarkEnd w:id="153"/>
    <w:p>
      <w:pPr>
        <w:jc w:val="right"/>
        <w:spacing w:after="0"/>
        <w:rPr>
          <w:sz w:val="20"/>
          <w:szCs w:val="20"/>
          <w:color w:val="auto"/>
        </w:rPr>
      </w:pPr>
      <w:r>
        <w:rPr>
          <w:rFonts w:ascii="Arial" w:cs="Arial" w:eastAsia="Arial" w:hAnsi="Arial"/>
          <w:sz w:val="22"/>
          <w:szCs w:val="22"/>
          <w:b w:val="1"/>
          <w:bCs w:val="1"/>
          <w:color w:val="auto"/>
        </w:rPr>
        <w:t>EXHIBIT 10.45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left="340" w:right="2480"/>
        <w:spacing w:after="0" w:line="393" w:lineRule="auto"/>
        <w:rPr>
          <w:sz w:val="20"/>
          <w:szCs w:val="20"/>
          <w:color w:val="auto"/>
        </w:rPr>
      </w:pPr>
      <w:r>
        <w:rPr>
          <w:rFonts w:ascii="Arial" w:cs="Arial" w:eastAsia="Arial" w:hAnsi="Arial"/>
          <w:sz w:val="22"/>
          <w:szCs w:val="22"/>
          <w:b w:val="1"/>
          <w:bCs w:val="1"/>
          <w:color w:val="auto"/>
        </w:rPr>
        <w:t>2016 STOCK INCENTIVE PLAN OF HONEYWELL INTERNATIONAL INC. AND ITS AFFILIATES RESTRICTED STOCK UNIT AGREEMENT, FORM 2</w:t>
      </w:r>
    </w:p>
    <w:p>
      <w:pPr>
        <w:spacing w:after="0" w:line="1" w:lineRule="exact"/>
        <w:rPr>
          <w:sz w:val="20"/>
          <w:szCs w:val="20"/>
          <w:color w:val="auto"/>
        </w:rPr>
      </w:pPr>
    </w:p>
    <w:p>
      <w:pPr>
        <w:ind w:right="20"/>
        <w:spacing w:after="0" w:line="285" w:lineRule="auto"/>
        <w:rPr>
          <w:sz w:val="20"/>
          <w:szCs w:val="20"/>
          <w:color w:val="auto"/>
        </w:rPr>
      </w:pPr>
      <w:r>
        <w:rPr>
          <w:rFonts w:ascii="Arial" w:cs="Arial" w:eastAsia="Arial" w:hAnsi="Arial"/>
          <w:sz w:val="22"/>
          <w:szCs w:val="22"/>
          <w:color w:val="auto"/>
        </w:rPr>
        <w:t>This RESTRICTED STOCK UNIT AGREEMENT made in Charlotte, North Carolina, as of [DATE] (the “Grant Date”), between Honeywell International Inc. (the “Company”) and [EMPLOYEE NAME] (“Participant”).</w:t>
      </w:r>
    </w:p>
    <w:p>
      <w:pPr>
        <w:spacing w:after="0" w:line="86" w:lineRule="exact"/>
        <w:rPr>
          <w:sz w:val="20"/>
          <w:szCs w:val="20"/>
          <w:color w:val="auto"/>
        </w:rPr>
      </w:pPr>
    </w:p>
    <w:p>
      <w:pPr>
        <w:jc w:val="both"/>
        <w:ind w:firstLine="8"/>
        <w:spacing w:after="0" w:line="266" w:lineRule="auto"/>
        <w:tabs>
          <w:tab w:leader="none" w:pos="447" w:val="left"/>
        </w:tabs>
        <w:numPr>
          <w:ilvl w:val="0"/>
          <w:numId w:val="244"/>
        </w:numPr>
        <w:rPr>
          <w:rFonts w:ascii="Arial" w:cs="Arial" w:eastAsia="Arial" w:hAnsi="Arial"/>
          <w:sz w:val="22"/>
          <w:szCs w:val="22"/>
          <w:color w:val="auto"/>
        </w:rPr>
      </w:pPr>
      <w:r>
        <w:rPr>
          <w:rFonts w:ascii="Arial" w:cs="Arial" w:eastAsia="Arial" w:hAnsi="Arial"/>
          <w:sz w:val="22"/>
          <w:szCs w:val="22"/>
          <w:b w:val="1"/>
          <w:bCs w:val="1"/>
          <w:color w:val="auto"/>
        </w:rPr>
        <w:t xml:space="preserve">Grant of Award. </w:t>
      </w:r>
      <w:r>
        <w:rPr>
          <w:rFonts w:ascii="Arial" w:cs="Arial" w:eastAsia="Arial" w:hAnsi="Arial"/>
          <w:sz w:val="22"/>
          <w:szCs w:val="22"/>
          <w:color w:val="auto"/>
        </w:rPr>
        <w:t>The Company has granted you [NUMBER] Restricted Stock Units, subject to the provisions of</w:t>
      </w:r>
      <w:r>
        <w:rPr>
          <w:rFonts w:ascii="Arial" w:cs="Arial" w:eastAsia="Arial" w:hAnsi="Arial"/>
          <w:sz w:val="22"/>
          <w:szCs w:val="22"/>
          <w:b w:val="1"/>
          <w:bCs w:val="1"/>
          <w:color w:val="auto"/>
        </w:rPr>
        <w:t xml:space="preserve"> </w:t>
      </w:r>
      <w:r>
        <w:rPr>
          <w:rFonts w:ascii="Arial" w:cs="Arial" w:eastAsia="Arial" w:hAnsi="Arial"/>
          <w:sz w:val="22"/>
          <w:szCs w:val="22"/>
          <w:color w:val="auto"/>
        </w:rPr>
        <w:t>this Agreement and the 2016 Stock Incentive Plan of Honeywell International Inc. and its Affiliates (the “Plan”). The Company will hold the Restricted Stock Units [and Additional Restricted Stock Units (as defined in Section 4)] in a bookkeeping account on your behalf until they become payable or are forfeited or cancelled.</w:t>
      </w:r>
    </w:p>
    <w:p>
      <w:pPr>
        <w:spacing w:after="0" w:line="96" w:lineRule="exact"/>
        <w:rPr>
          <w:sz w:val="20"/>
          <w:szCs w:val="20"/>
          <w:color w:val="auto"/>
        </w:rPr>
      </w:pPr>
    </w:p>
    <w:p>
      <w:pPr>
        <w:jc w:val="both"/>
        <w:spacing w:after="0" w:line="265" w:lineRule="auto"/>
        <w:rPr>
          <w:sz w:val="20"/>
          <w:szCs w:val="20"/>
          <w:color w:val="auto"/>
        </w:rPr>
      </w:pPr>
      <w:r>
        <w:rPr>
          <w:rFonts w:ascii="Arial" w:cs="Arial" w:eastAsia="Arial" w:hAnsi="Arial"/>
          <w:sz w:val="22"/>
          <w:szCs w:val="22"/>
          <w:color w:val="auto"/>
        </w:rPr>
        <w:t>The Restricted Stock Unit Plan Details for this grant can be found on the Morgan Stanley StockPlan Connect website at www.stockplanconnect.com. The Company reserves the right to change or correct any information contained on the Morgan Stanley StockPlan Connect website to reflect the terms of the Award actually made by the Company on the Grant Date or the Plan.</w:t>
      </w:r>
    </w:p>
    <w:p>
      <w:pPr>
        <w:spacing w:after="0" w:line="109" w:lineRule="exact"/>
        <w:rPr>
          <w:sz w:val="20"/>
          <w:szCs w:val="20"/>
          <w:color w:val="auto"/>
        </w:rPr>
      </w:pPr>
    </w:p>
    <w:p>
      <w:pPr>
        <w:ind w:left="420" w:hanging="412"/>
        <w:spacing w:after="0"/>
        <w:tabs>
          <w:tab w:leader="none" w:pos="420" w:val="left"/>
        </w:tabs>
        <w:numPr>
          <w:ilvl w:val="0"/>
          <w:numId w:val="245"/>
        </w:numPr>
        <w:rPr>
          <w:rFonts w:ascii="Arial" w:cs="Arial" w:eastAsia="Arial" w:hAnsi="Arial"/>
          <w:sz w:val="22"/>
          <w:szCs w:val="22"/>
          <w:color w:val="auto"/>
        </w:rPr>
      </w:pPr>
      <w:r>
        <w:rPr>
          <w:rFonts w:ascii="Arial" w:cs="Arial" w:eastAsia="Arial" w:hAnsi="Arial"/>
          <w:sz w:val="22"/>
          <w:szCs w:val="22"/>
          <w:b w:val="1"/>
          <w:bCs w:val="1"/>
          <w:color w:val="auto"/>
        </w:rPr>
        <w:t xml:space="preserve">Definitions. </w:t>
      </w:r>
      <w:r>
        <w:rPr>
          <w:rFonts w:ascii="Arial" w:cs="Arial" w:eastAsia="Arial" w:hAnsi="Arial"/>
          <w:sz w:val="22"/>
          <w:szCs w:val="22"/>
          <w:color w:val="auto"/>
        </w:rPr>
        <w:t>For purposes of this Agreement, the following definitions apply:</w:t>
      </w:r>
    </w:p>
    <w:p>
      <w:pPr>
        <w:spacing w:after="0" w:line="167" w:lineRule="exact"/>
        <w:rPr>
          <w:rFonts w:ascii="Arial" w:cs="Arial" w:eastAsia="Arial" w:hAnsi="Arial"/>
          <w:sz w:val="22"/>
          <w:szCs w:val="22"/>
          <w:color w:val="auto"/>
        </w:rPr>
      </w:pPr>
    </w:p>
    <w:p>
      <w:pPr>
        <w:ind w:firstLine="648"/>
        <w:spacing w:after="0" w:line="285" w:lineRule="auto"/>
        <w:rPr>
          <w:rFonts w:ascii="Arial" w:cs="Arial" w:eastAsia="Arial" w:hAnsi="Arial"/>
          <w:sz w:val="22"/>
          <w:szCs w:val="22"/>
          <w:color w:val="auto"/>
        </w:rPr>
      </w:pPr>
      <w:r>
        <w:rPr>
          <w:rFonts w:ascii="Arial" w:cs="Arial" w:eastAsia="Arial" w:hAnsi="Arial"/>
          <w:sz w:val="22"/>
          <w:szCs w:val="22"/>
          <w:color w:val="auto"/>
        </w:rPr>
        <w:t>a. “Actual Award” means the product of (i) the Plan Payout Percentage (as determined under Section 3), and (ii) your Target Award.</w:t>
      </w:r>
    </w:p>
    <w:p>
      <w:pPr>
        <w:spacing w:after="0" w:line="74" w:lineRule="exact"/>
        <w:rPr>
          <w:rFonts w:ascii="Arial" w:cs="Arial" w:eastAsia="Arial" w:hAnsi="Arial"/>
          <w:sz w:val="22"/>
          <w:szCs w:val="22"/>
          <w:color w:val="auto"/>
        </w:rPr>
      </w:pPr>
    </w:p>
    <w:p>
      <w:pPr>
        <w:jc w:val="both"/>
        <w:ind w:firstLine="324"/>
        <w:spacing w:after="0" w:line="260" w:lineRule="auto"/>
        <w:rPr>
          <w:rFonts w:ascii="Arial" w:cs="Arial" w:eastAsia="Arial" w:hAnsi="Arial"/>
          <w:sz w:val="22"/>
          <w:szCs w:val="22"/>
          <w:color w:val="auto"/>
        </w:rPr>
      </w:pPr>
      <w:r>
        <w:rPr>
          <w:rFonts w:ascii="Arial" w:cs="Arial" w:eastAsia="Arial" w:hAnsi="Arial"/>
          <w:sz w:val="22"/>
          <w:szCs w:val="22"/>
          <w:color w:val="auto"/>
        </w:rPr>
        <w:t>b. “Compensation Peer Group” means [INSERT COMPANY NAMES]. If there is any change in the corporate capitalization of a company in the Compensation Peer Group during a Measurement Period (such as a stock split, corporate transaction or any partial or complete liquidation), the Committee, in its sole discretion, may take such change into account in determining the Total Shareholder Return of that company. If any company included in the Compensation Peer Group ceases to exist or to be publicly traded during the Measurement Period, or undergoes any other similar change, the Committee shall determine the consequences of such event for purposes of this Agreement, including without limitation, the replacement of such company in the Compensation Peer Group.</w:t>
      </w:r>
    </w:p>
    <w:p>
      <w:pPr>
        <w:spacing w:after="0" w:line="120" w:lineRule="exact"/>
        <w:rPr>
          <w:rFonts w:ascii="Arial" w:cs="Arial" w:eastAsia="Arial" w:hAnsi="Arial"/>
          <w:sz w:val="22"/>
          <w:szCs w:val="22"/>
          <w:color w:val="auto"/>
        </w:rPr>
      </w:pPr>
    </w:p>
    <w:p>
      <w:pPr>
        <w:ind w:left="660" w:hanging="412"/>
        <w:spacing w:after="0"/>
        <w:tabs>
          <w:tab w:leader="none" w:pos="660" w:val="left"/>
        </w:tabs>
        <w:numPr>
          <w:ilvl w:val="1"/>
          <w:numId w:val="245"/>
        </w:numPr>
        <w:rPr>
          <w:rFonts w:ascii="Arial" w:cs="Arial" w:eastAsia="Arial" w:hAnsi="Arial"/>
          <w:sz w:val="22"/>
          <w:szCs w:val="22"/>
          <w:color w:val="auto"/>
        </w:rPr>
      </w:pPr>
      <w:r>
        <w:rPr>
          <w:rFonts w:ascii="Arial" w:cs="Arial" w:eastAsia="Arial" w:hAnsi="Arial"/>
          <w:sz w:val="22"/>
          <w:szCs w:val="22"/>
          <w:color w:val="auto"/>
        </w:rPr>
        <w:t>“Measurement Period” means [DESCRIBE MEASUREMENT PERIOD].</w:t>
      </w:r>
    </w:p>
    <w:p>
      <w:pPr>
        <w:spacing w:after="0" w:line="165" w:lineRule="exact"/>
        <w:rPr>
          <w:rFonts w:ascii="Arial" w:cs="Arial" w:eastAsia="Arial" w:hAnsi="Arial"/>
          <w:sz w:val="22"/>
          <w:szCs w:val="22"/>
          <w:color w:val="auto"/>
        </w:rPr>
      </w:pPr>
    </w:p>
    <w:p>
      <w:pPr>
        <w:ind w:left="660" w:hanging="412"/>
        <w:spacing w:after="0"/>
        <w:tabs>
          <w:tab w:leader="none" w:pos="660" w:val="left"/>
        </w:tabs>
        <w:numPr>
          <w:ilvl w:val="1"/>
          <w:numId w:val="245"/>
        </w:numPr>
        <w:rPr>
          <w:rFonts w:ascii="Arial" w:cs="Arial" w:eastAsia="Arial" w:hAnsi="Arial"/>
          <w:sz w:val="22"/>
          <w:szCs w:val="22"/>
          <w:color w:val="auto"/>
        </w:rPr>
      </w:pPr>
      <w:r>
        <w:rPr>
          <w:rFonts w:ascii="Arial" w:cs="Arial" w:eastAsia="Arial" w:hAnsi="Arial"/>
          <w:sz w:val="22"/>
          <w:szCs w:val="22"/>
          <w:color w:val="auto"/>
        </w:rPr>
        <w:t>“Performance Cycle” means the period beginning on [DATE] and ending on [DATE].</w:t>
      </w:r>
    </w:p>
    <w:p>
      <w:pPr>
        <w:spacing w:after="0" w:line="152" w:lineRule="exact"/>
        <w:rPr>
          <w:rFonts w:ascii="Arial" w:cs="Arial" w:eastAsia="Arial" w:hAnsi="Arial"/>
          <w:sz w:val="22"/>
          <w:szCs w:val="22"/>
          <w:color w:val="auto"/>
        </w:rPr>
      </w:pPr>
    </w:p>
    <w:p>
      <w:pPr>
        <w:ind w:firstLine="265"/>
        <w:spacing w:after="0" w:line="285" w:lineRule="auto"/>
        <w:rPr>
          <w:rFonts w:ascii="Arial" w:cs="Arial" w:eastAsia="Arial" w:hAnsi="Arial"/>
          <w:sz w:val="22"/>
          <w:szCs w:val="22"/>
          <w:color w:val="auto"/>
        </w:rPr>
      </w:pPr>
      <w:r>
        <w:rPr>
          <w:rFonts w:ascii="Arial" w:cs="Arial" w:eastAsia="Arial" w:hAnsi="Arial"/>
          <w:sz w:val="22"/>
          <w:szCs w:val="22"/>
          <w:color w:val="auto"/>
        </w:rPr>
        <w:t>e. “Target Award” means the number of Restricted Stock Units awarded to you for the Performance Cycle under Section 1 of this Agreement.</w:t>
      </w:r>
    </w:p>
    <w:p>
      <w:pPr>
        <w:sectPr>
          <w:pgSz w:w="11900" w:h="16838" w:orient="portrait"/>
          <w:cols w:equalWidth="0" w:num="1">
            <w:col w:w="11240"/>
          </w:cols>
          <w:pgMar w:left="320" w:top="125" w:right="339" w:bottom="1440" w:gutter="0" w:footer="0" w:header="0"/>
        </w:sectPr>
      </w:pPr>
    </w:p>
    <w:bookmarkStart w:id="154" w:name="page155"/>
    <w:bookmarkEnd w:id="154"/>
    <w:p>
      <w:pPr>
        <w:jc w:val="both"/>
        <w:ind w:firstLine="354"/>
        <w:spacing w:after="0" w:line="263" w:lineRule="auto"/>
        <w:tabs>
          <w:tab w:leader="none" w:pos="812" w:val="left"/>
        </w:tabs>
        <w:numPr>
          <w:ilvl w:val="1"/>
          <w:numId w:val="246"/>
        </w:numPr>
        <w:rPr>
          <w:rFonts w:ascii="Arial" w:cs="Arial" w:eastAsia="Arial" w:hAnsi="Arial"/>
          <w:sz w:val="22"/>
          <w:szCs w:val="22"/>
          <w:color w:val="auto"/>
        </w:rPr>
      </w:pPr>
      <w:r>
        <w:rPr>
          <w:rFonts w:ascii="Arial" w:cs="Arial" w:eastAsia="Arial" w:hAnsi="Arial"/>
          <w:sz w:val="22"/>
          <w:szCs w:val="22"/>
          <w:color w:val="auto"/>
        </w:rPr>
        <w:t>“Total Shareholder Return” means the ratio of (A) a company’s share price as of the last trading day of a Measurement Period (determined using the average closing share price over the 30 preceding trading days) plus earned dividends per share during the Measurement Period, over (B) the company’s share price as of the first trading day of a Measurement Period (determined using the average closing share price over the 30 preceding trading days). Dividends are assumed earned and reinvested on the ex-dividend date.</w:t>
      </w:r>
    </w:p>
    <w:p>
      <w:pPr>
        <w:spacing w:after="0" w:line="112" w:lineRule="exact"/>
        <w:rPr>
          <w:rFonts w:ascii="Arial" w:cs="Arial" w:eastAsia="Arial" w:hAnsi="Arial"/>
          <w:sz w:val="22"/>
          <w:szCs w:val="22"/>
          <w:color w:val="auto"/>
        </w:rPr>
      </w:pPr>
    </w:p>
    <w:p>
      <w:pPr>
        <w:ind w:left="1080" w:hanging="424"/>
        <w:spacing w:after="0"/>
        <w:tabs>
          <w:tab w:leader="none" w:pos="1080" w:val="left"/>
        </w:tabs>
        <w:numPr>
          <w:ilvl w:val="2"/>
          <w:numId w:val="246"/>
        </w:numPr>
        <w:rPr>
          <w:rFonts w:ascii="Arial" w:cs="Arial" w:eastAsia="Arial" w:hAnsi="Arial"/>
          <w:sz w:val="22"/>
          <w:szCs w:val="22"/>
          <w:color w:val="auto"/>
        </w:rPr>
      </w:pPr>
      <w:r>
        <w:rPr>
          <w:rFonts w:ascii="Arial" w:cs="Arial" w:eastAsia="Arial" w:hAnsi="Arial"/>
          <w:sz w:val="22"/>
          <w:szCs w:val="22"/>
          <w:color w:val="auto"/>
        </w:rPr>
        <w:t>[INSERT ADDITIONAL BUSINESS-RELATED DEFINITIONS AS APPLICABLE].</w:t>
      </w:r>
    </w:p>
    <w:p>
      <w:pPr>
        <w:spacing w:after="0" w:line="150" w:lineRule="exact"/>
        <w:rPr>
          <w:rFonts w:ascii="Arial" w:cs="Arial" w:eastAsia="Arial" w:hAnsi="Arial"/>
          <w:sz w:val="22"/>
          <w:szCs w:val="22"/>
          <w:color w:val="auto"/>
        </w:rPr>
      </w:pPr>
    </w:p>
    <w:p>
      <w:pPr>
        <w:jc w:val="both"/>
        <w:ind w:firstLine="8"/>
        <w:spacing w:after="0" w:line="266" w:lineRule="auto"/>
        <w:tabs>
          <w:tab w:leader="none" w:pos="596" w:val="left"/>
        </w:tabs>
        <w:numPr>
          <w:ilvl w:val="0"/>
          <w:numId w:val="247"/>
        </w:numPr>
        <w:rPr>
          <w:rFonts w:ascii="Arial" w:cs="Arial" w:eastAsia="Arial" w:hAnsi="Arial"/>
          <w:sz w:val="22"/>
          <w:szCs w:val="22"/>
          <w:color w:val="auto"/>
        </w:rPr>
      </w:pPr>
      <w:r>
        <w:rPr>
          <w:rFonts w:ascii="Arial" w:cs="Arial" w:eastAsia="Arial" w:hAnsi="Arial"/>
          <w:sz w:val="22"/>
          <w:szCs w:val="22"/>
          <w:b w:val="1"/>
          <w:bCs w:val="1"/>
          <w:color w:val="auto"/>
        </w:rPr>
        <w:t xml:space="preserve">Performance Measures. </w:t>
      </w:r>
      <w:r>
        <w:rPr>
          <w:rFonts w:ascii="Arial" w:cs="Arial" w:eastAsia="Arial" w:hAnsi="Arial"/>
          <w:sz w:val="22"/>
          <w:szCs w:val="22"/>
          <w:color w:val="auto"/>
        </w:rPr>
        <w:t>For each Measurement Period, the Company’s Total Shareholder Return will be</w:t>
      </w:r>
      <w:r>
        <w:rPr>
          <w:rFonts w:ascii="Arial" w:cs="Arial" w:eastAsia="Arial" w:hAnsi="Arial"/>
          <w:sz w:val="22"/>
          <w:szCs w:val="22"/>
          <w:b w:val="1"/>
          <w:bCs w:val="1"/>
          <w:color w:val="auto"/>
        </w:rPr>
        <w:t xml:space="preserve"> </w:t>
      </w:r>
      <w:r>
        <w:rPr>
          <w:rFonts w:ascii="Arial" w:cs="Arial" w:eastAsia="Arial" w:hAnsi="Arial"/>
          <w:sz w:val="22"/>
          <w:szCs w:val="22"/>
          <w:color w:val="auto"/>
        </w:rPr>
        <w:t>compared to the Total Shareholder Return of each company in the Compensation Peer Group, and the Total Shareholder Return of the Compensation Peer Group and the Company shall be ranked. [DESCRIBE OTHER BUSINESS-RELATED PERFORMANCE MEASURES AS APPLICABLE].</w:t>
      </w:r>
    </w:p>
    <w:p>
      <w:pPr>
        <w:spacing w:after="0" w:line="109" w:lineRule="exact"/>
        <w:rPr>
          <w:sz w:val="20"/>
          <w:szCs w:val="20"/>
          <w:color w:val="auto"/>
        </w:rPr>
      </w:pPr>
    </w:p>
    <w:p>
      <w:pPr>
        <w:spacing w:after="0" w:line="285" w:lineRule="auto"/>
        <w:rPr>
          <w:sz w:val="20"/>
          <w:szCs w:val="20"/>
          <w:color w:val="auto"/>
        </w:rPr>
      </w:pPr>
      <w:r>
        <w:rPr>
          <w:rFonts w:ascii="Arial" w:cs="Arial" w:eastAsia="Arial" w:hAnsi="Arial"/>
          <w:sz w:val="22"/>
          <w:szCs w:val="22"/>
          <w:color w:val="auto"/>
        </w:rPr>
        <w:t>The Plan Payout Percentage shall be determined based on the following for the Performance Cycle: [DESCRIBE HOW PLAN PAYOUT PERCENTAGE IS DETERMINED].</w:t>
      </w:r>
    </w:p>
    <w:p>
      <w:pPr>
        <w:spacing w:after="0" w:line="86" w:lineRule="exact"/>
        <w:rPr>
          <w:sz w:val="20"/>
          <w:szCs w:val="20"/>
          <w:color w:val="auto"/>
        </w:rPr>
      </w:pPr>
    </w:p>
    <w:p>
      <w:pPr>
        <w:jc w:val="both"/>
        <w:ind w:firstLine="8"/>
        <w:spacing w:after="0" w:line="257" w:lineRule="auto"/>
        <w:tabs>
          <w:tab w:leader="none" w:pos="596" w:val="left"/>
        </w:tabs>
        <w:numPr>
          <w:ilvl w:val="0"/>
          <w:numId w:val="248"/>
        </w:numPr>
        <w:rPr>
          <w:rFonts w:ascii="Arial" w:cs="Arial" w:eastAsia="Arial" w:hAnsi="Arial"/>
          <w:sz w:val="22"/>
          <w:szCs w:val="22"/>
          <w:color w:val="auto"/>
        </w:rPr>
      </w:pPr>
      <w:r>
        <w:rPr>
          <w:rFonts w:ascii="Arial" w:cs="Arial" w:eastAsia="Arial" w:hAnsi="Arial"/>
          <w:sz w:val="22"/>
          <w:szCs w:val="22"/>
          <w:b w:val="1"/>
          <w:bCs w:val="1"/>
          <w:color w:val="auto"/>
        </w:rPr>
        <w:t xml:space="preserve">[FOLLOWING INCLUDED AT COMMITTEE’S DISCRETION: Dividend Equivalents. </w:t>
      </w:r>
      <w:r>
        <w:rPr>
          <w:rFonts w:ascii="Arial" w:cs="Arial" w:eastAsia="Arial" w:hAnsi="Arial"/>
          <w:sz w:val="22"/>
          <w:szCs w:val="22"/>
          <w:color w:val="auto"/>
        </w:rPr>
        <w:t>Except as otherwise</w:t>
      </w:r>
      <w:r>
        <w:rPr>
          <w:rFonts w:ascii="Arial" w:cs="Arial" w:eastAsia="Arial" w:hAnsi="Arial"/>
          <w:sz w:val="22"/>
          <w:szCs w:val="22"/>
          <w:b w:val="1"/>
          <w:bCs w:val="1"/>
          <w:color w:val="auto"/>
        </w:rPr>
        <w:t xml:space="preserve"> </w:t>
      </w:r>
      <w:r>
        <w:rPr>
          <w:rFonts w:ascii="Arial" w:cs="Arial" w:eastAsia="Arial" w:hAnsi="Arial"/>
          <w:sz w:val="22"/>
          <w:szCs w:val="22"/>
          <w:color w:val="auto"/>
        </w:rPr>
        <w:t>determined by the Management Development and Compensation Committee (the “Committee”), in its sole discretion, you will earn Dividend Equivalents in an amount equal to the value of any cash or stock dividends paid by the Company upon one Share of Common Stock for each unvested Restricted Stock Unit or Additional Restricted Stock Unit (as defined below) credited to your bookkeeping account on a dividend payment date. At the vesting date(s) specified in Section 6, such Dividend Equivalents shall be adjusted up or down based on your Actual Award. In the case of cash dividends, the Company shall credit to your bookkeeping account, on each dividend payment date, an additional number of Restricted Stock Units (“Additional Restricted Stock Units”) equal to (a) divided by (b), where (a) equals the total number of unvested Restricted Stock Units and Additional Restricted Stock Units, if any, subject to this Agreement on such date multiplied by the dollar amount of the cash dividend paid per Share of Common Stock on such date, and (b) equals the Fair Market Value of a Share on such date. If a dividend is paid to holders of Common Stock in Shares, the Company shall credit to you, on each dividend payment date, Additional Restricted Stock Units equal to the total number of unvested Restricted Stock Units and Additional Restricted Stock Units subject to this Agreement on such date multiplied by the Share dividend paid per Share of Common Stock on such date. Additional Restricted Stock Units are subject to the same restrictions, including but not limited to vesting, transferability and payment restrictions, that apply to the Restricted Stock Units to which they relate, with any fractional Shares rounded up to the nearest whole Share. You will continue to earn Additional Restricted Stock Units on unpaid Restricted Stock Units and Additional Restricted Stock Units that are held in your</w:t>
      </w:r>
    </w:p>
    <w:p>
      <w:pPr>
        <w:sectPr>
          <w:pgSz w:w="11900" w:h="16838" w:orient="portrait"/>
          <w:cols w:equalWidth="0" w:num="1">
            <w:col w:w="11240"/>
          </w:cols>
          <w:pgMar w:left="320" w:top="1423" w:right="339" w:bottom="1440" w:gutter="0" w:footer="0" w:header="0"/>
        </w:sectPr>
      </w:pPr>
    </w:p>
    <w:bookmarkStart w:id="155" w:name="page156"/>
    <w:bookmarkEnd w:id="155"/>
    <w:p>
      <w:pPr>
        <w:spacing w:after="0"/>
        <w:rPr>
          <w:sz w:val="20"/>
          <w:szCs w:val="20"/>
          <w:color w:val="auto"/>
        </w:rPr>
      </w:pPr>
      <w:r>
        <w:rPr>
          <w:rFonts w:ascii="Arial" w:cs="Arial" w:eastAsia="Arial" w:hAnsi="Arial"/>
          <w:sz w:val="22"/>
          <w:szCs w:val="22"/>
          <w:color w:val="auto"/>
        </w:rPr>
        <w:t>bookkeeping account pursuant to a deferral election until the vested Shares are paid to you.]</w:t>
      </w:r>
    </w:p>
    <w:p>
      <w:pPr>
        <w:spacing w:after="0" w:line="164" w:lineRule="exact"/>
        <w:rPr>
          <w:sz w:val="20"/>
          <w:szCs w:val="20"/>
          <w:color w:val="auto"/>
        </w:rPr>
      </w:pPr>
    </w:p>
    <w:p>
      <w:pPr>
        <w:ind w:firstLine="8"/>
        <w:spacing w:after="0" w:line="287" w:lineRule="auto"/>
        <w:tabs>
          <w:tab w:leader="none" w:pos="420" w:val="left"/>
        </w:tabs>
        <w:numPr>
          <w:ilvl w:val="0"/>
          <w:numId w:val="249"/>
        </w:numPr>
        <w:rPr>
          <w:rFonts w:ascii="Arial" w:cs="Arial" w:eastAsia="Arial" w:hAnsi="Arial"/>
          <w:sz w:val="22"/>
          <w:szCs w:val="22"/>
          <w:color w:val="auto"/>
        </w:rPr>
      </w:pPr>
      <w:r>
        <w:rPr>
          <w:rFonts w:ascii="Arial" w:cs="Arial" w:eastAsia="Arial" w:hAnsi="Arial"/>
          <w:sz w:val="22"/>
          <w:szCs w:val="22"/>
          <w:b w:val="1"/>
          <w:bCs w:val="1"/>
          <w:color w:val="auto"/>
        </w:rPr>
        <w:t xml:space="preserve">Payment Amount. </w:t>
      </w:r>
      <w:r>
        <w:rPr>
          <w:rFonts w:ascii="Arial" w:cs="Arial" w:eastAsia="Arial" w:hAnsi="Arial"/>
          <w:sz w:val="22"/>
          <w:szCs w:val="22"/>
          <w:color w:val="auto"/>
        </w:rPr>
        <w:t>Each Restricted Stock Unit [and Additional Restricted Stock Unit] represents one (1) Share of</w:t>
      </w:r>
      <w:r>
        <w:rPr>
          <w:rFonts w:ascii="Arial" w:cs="Arial" w:eastAsia="Arial" w:hAnsi="Arial"/>
          <w:sz w:val="22"/>
          <w:szCs w:val="22"/>
          <w:b w:val="1"/>
          <w:bCs w:val="1"/>
          <w:color w:val="auto"/>
        </w:rPr>
        <w:t xml:space="preserve"> </w:t>
      </w:r>
      <w:r>
        <w:rPr>
          <w:rFonts w:ascii="Arial" w:cs="Arial" w:eastAsia="Arial" w:hAnsi="Arial"/>
          <w:sz w:val="22"/>
          <w:szCs w:val="22"/>
          <w:color w:val="auto"/>
        </w:rPr>
        <w:t>Common Stock.</w:t>
      </w:r>
    </w:p>
    <w:p>
      <w:pPr>
        <w:spacing w:after="0" w:line="69" w:lineRule="exact"/>
        <w:rPr>
          <w:rFonts w:ascii="Arial" w:cs="Arial" w:eastAsia="Arial" w:hAnsi="Arial"/>
          <w:sz w:val="22"/>
          <w:szCs w:val="22"/>
          <w:color w:val="auto"/>
        </w:rPr>
      </w:pPr>
    </w:p>
    <w:p>
      <w:pPr>
        <w:jc w:val="both"/>
        <w:ind w:firstLine="8"/>
        <w:spacing w:after="0" w:line="266" w:lineRule="auto"/>
        <w:tabs>
          <w:tab w:leader="none" w:pos="420" w:val="left"/>
        </w:tabs>
        <w:numPr>
          <w:ilvl w:val="0"/>
          <w:numId w:val="249"/>
        </w:numPr>
        <w:rPr>
          <w:rFonts w:ascii="Arial" w:cs="Arial" w:eastAsia="Arial" w:hAnsi="Arial"/>
          <w:sz w:val="22"/>
          <w:szCs w:val="22"/>
          <w:color w:val="auto"/>
        </w:rPr>
      </w:pPr>
      <w:r>
        <w:rPr>
          <w:rFonts w:ascii="Arial" w:cs="Arial" w:eastAsia="Arial" w:hAnsi="Arial"/>
          <w:sz w:val="22"/>
          <w:szCs w:val="22"/>
          <w:b w:val="1"/>
          <w:bCs w:val="1"/>
          <w:color w:val="auto"/>
        </w:rPr>
        <w:t xml:space="preserve">Vesting and Payment. </w:t>
      </w:r>
      <w:r>
        <w:rPr>
          <w:rFonts w:ascii="Arial" w:cs="Arial" w:eastAsia="Arial" w:hAnsi="Arial"/>
          <w:sz w:val="22"/>
          <w:szCs w:val="22"/>
          <w:color w:val="auto"/>
        </w:rPr>
        <w:t>Except as otherwise provided in Sections 8, 9, and 10 and a deferral election, the vesting</w:t>
      </w:r>
      <w:r>
        <w:rPr>
          <w:rFonts w:ascii="Arial" w:cs="Arial" w:eastAsia="Arial" w:hAnsi="Arial"/>
          <w:sz w:val="22"/>
          <w:szCs w:val="22"/>
          <w:b w:val="1"/>
          <w:bCs w:val="1"/>
          <w:color w:val="auto"/>
        </w:rPr>
        <w:t xml:space="preserve"> </w:t>
      </w:r>
      <w:r>
        <w:rPr>
          <w:rFonts w:ascii="Arial" w:cs="Arial" w:eastAsia="Arial" w:hAnsi="Arial"/>
          <w:sz w:val="22"/>
          <w:szCs w:val="22"/>
          <w:color w:val="auto"/>
        </w:rPr>
        <w:t>and payment of Restricted Stock Units [and related Additional Restricted Stock Units] is/are contingent upon you remaining actively employed by the Company on the applicable vesting date(s) specified below: [DESCRIBE VESTING DATE(S)].</w:t>
      </w:r>
    </w:p>
    <w:p>
      <w:pPr>
        <w:spacing w:after="0" w:line="109" w:lineRule="exact"/>
        <w:rPr>
          <w:sz w:val="20"/>
          <w:szCs w:val="20"/>
          <w:color w:val="auto"/>
        </w:rPr>
      </w:pPr>
    </w:p>
    <w:p>
      <w:pPr>
        <w:jc w:val="both"/>
        <w:spacing w:after="0" w:line="270" w:lineRule="auto"/>
        <w:rPr>
          <w:sz w:val="20"/>
          <w:szCs w:val="20"/>
          <w:color w:val="auto"/>
        </w:rPr>
      </w:pPr>
      <w:r>
        <w:rPr>
          <w:rFonts w:ascii="Arial" w:cs="Arial" w:eastAsia="Arial" w:hAnsi="Arial"/>
          <w:sz w:val="22"/>
          <w:szCs w:val="22"/>
          <w:color w:val="auto"/>
        </w:rPr>
        <w:t>Except as otherwise provided in Sections 8, 9, and 10 and a deferral election, payment will be made as soon as practicable following the vesting date, but in no event later than 2-1/2 months after the end of the calendar year in which vesting occurs.</w:t>
      </w:r>
    </w:p>
    <w:p>
      <w:pPr>
        <w:spacing w:after="0" w:line="105" w:lineRule="exact"/>
        <w:rPr>
          <w:sz w:val="20"/>
          <w:szCs w:val="20"/>
          <w:color w:val="auto"/>
        </w:rPr>
      </w:pPr>
    </w:p>
    <w:p>
      <w:pPr>
        <w:jc w:val="both"/>
        <w:ind w:right="20"/>
        <w:spacing w:after="0" w:line="285" w:lineRule="auto"/>
        <w:rPr>
          <w:sz w:val="20"/>
          <w:szCs w:val="20"/>
          <w:color w:val="auto"/>
        </w:rPr>
      </w:pPr>
      <w:r>
        <w:rPr>
          <w:rFonts w:ascii="Arial" w:cs="Arial" w:eastAsia="Arial" w:hAnsi="Arial"/>
          <w:sz w:val="22"/>
          <w:szCs w:val="22"/>
          <w:color w:val="auto"/>
        </w:rPr>
        <w:t>The Actual Award [and related Additional Restricted Stock Units] will be paid solely in Shares. [In no event will Additional Restricted Stock Units be paid if the related Restricted Stock Units have not vested.]</w:t>
      </w:r>
    </w:p>
    <w:p>
      <w:pPr>
        <w:spacing w:after="0" w:line="72" w:lineRule="exact"/>
        <w:rPr>
          <w:sz w:val="20"/>
          <w:szCs w:val="20"/>
          <w:color w:val="auto"/>
        </w:rPr>
      </w:pPr>
    </w:p>
    <w:p>
      <w:pPr>
        <w:jc w:val="both"/>
        <w:ind w:firstLine="8"/>
        <w:spacing w:after="0" w:line="266" w:lineRule="auto"/>
        <w:tabs>
          <w:tab w:leader="none" w:pos="690" w:val="left"/>
        </w:tabs>
        <w:numPr>
          <w:ilvl w:val="0"/>
          <w:numId w:val="250"/>
        </w:numPr>
        <w:rPr>
          <w:rFonts w:ascii="Arial" w:cs="Arial" w:eastAsia="Arial" w:hAnsi="Arial"/>
          <w:sz w:val="22"/>
          <w:szCs w:val="22"/>
          <w:color w:val="auto"/>
        </w:rPr>
      </w:pPr>
      <w:r>
        <w:rPr>
          <w:rFonts w:ascii="Arial" w:cs="Arial" w:eastAsia="Arial" w:hAnsi="Arial"/>
          <w:sz w:val="22"/>
          <w:szCs w:val="22"/>
          <w:b w:val="1"/>
          <w:bCs w:val="1"/>
          <w:color w:val="auto"/>
        </w:rPr>
        <w:t xml:space="preserve">Termination of Employment. </w:t>
      </w:r>
      <w:r>
        <w:rPr>
          <w:rFonts w:ascii="Arial" w:cs="Arial" w:eastAsia="Arial" w:hAnsi="Arial"/>
          <w:sz w:val="22"/>
          <w:szCs w:val="22"/>
          <w:color w:val="auto"/>
        </w:rPr>
        <w:t>Except as otherwise provided in this Agreement, if your Termination of</w:t>
      </w:r>
      <w:r>
        <w:rPr>
          <w:rFonts w:ascii="Arial" w:cs="Arial" w:eastAsia="Arial" w:hAnsi="Arial"/>
          <w:sz w:val="22"/>
          <w:szCs w:val="22"/>
          <w:b w:val="1"/>
          <w:bCs w:val="1"/>
          <w:color w:val="auto"/>
        </w:rPr>
        <w:t xml:space="preserve"> </w:t>
      </w:r>
      <w:r>
        <w:rPr>
          <w:rFonts w:ascii="Arial" w:cs="Arial" w:eastAsia="Arial" w:hAnsi="Arial"/>
          <w:sz w:val="22"/>
          <w:szCs w:val="22"/>
          <w:color w:val="auto"/>
        </w:rPr>
        <w:t>Employment occurs for any reason before the vesting date(s) specified above, any unvested Restricted Stock Units [and Additional Restricted Stock Units] will immediately be forfeited, and your rights with respect to these Restricted Stock Units [and Additional Restricted Stock Units] will end.</w:t>
      </w:r>
    </w:p>
    <w:p>
      <w:pPr>
        <w:spacing w:after="0" w:line="107" w:lineRule="exact"/>
        <w:rPr>
          <w:rFonts w:ascii="Arial" w:cs="Arial" w:eastAsia="Arial" w:hAnsi="Arial"/>
          <w:sz w:val="22"/>
          <w:szCs w:val="22"/>
          <w:color w:val="auto"/>
        </w:rPr>
      </w:pPr>
    </w:p>
    <w:p>
      <w:pPr>
        <w:ind w:left="420" w:hanging="412"/>
        <w:spacing w:after="0"/>
        <w:tabs>
          <w:tab w:leader="none" w:pos="420" w:val="left"/>
        </w:tabs>
        <w:numPr>
          <w:ilvl w:val="0"/>
          <w:numId w:val="250"/>
        </w:numPr>
        <w:rPr>
          <w:rFonts w:ascii="Arial" w:cs="Arial" w:eastAsia="Arial" w:hAnsi="Arial"/>
          <w:sz w:val="22"/>
          <w:szCs w:val="22"/>
          <w:color w:val="auto"/>
        </w:rPr>
      </w:pPr>
      <w:r>
        <w:rPr>
          <w:rFonts w:ascii="Arial" w:cs="Arial" w:eastAsia="Arial" w:hAnsi="Arial"/>
          <w:sz w:val="22"/>
          <w:szCs w:val="22"/>
          <w:b w:val="1"/>
          <w:bCs w:val="1"/>
          <w:color w:val="auto"/>
        </w:rPr>
        <w:t>Retirement, Death or Disability.</w:t>
      </w:r>
    </w:p>
    <w:p>
      <w:pPr>
        <w:spacing w:after="0" w:line="165" w:lineRule="exact"/>
        <w:rPr>
          <w:rFonts w:ascii="Arial" w:cs="Arial" w:eastAsia="Arial" w:hAnsi="Arial"/>
          <w:sz w:val="22"/>
          <w:szCs w:val="22"/>
          <w:color w:val="auto"/>
        </w:rPr>
      </w:pPr>
    </w:p>
    <w:p>
      <w:pPr>
        <w:jc w:val="both"/>
        <w:ind w:firstLine="260"/>
        <w:spacing w:after="0" w:line="263" w:lineRule="auto"/>
        <w:rPr>
          <w:rFonts w:ascii="Arial" w:cs="Arial" w:eastAsia="Arial" w:hAnsi="Arial"/>
          <w:sz w:val="22"/>
          <w:szCs w:val="22"/>
          <w:color w:val="auto"/>
        </w:rPr>
      </w:pPr>
      <w:r>
        <w:rPr>
          <w:rFonts w:ascii="Arial" w:cs="Arial" w:eastAsia="Arial" w:hAnsi="Arial"/>
          <w:sz w:val="22"/>
          <w:szCs w:val="22"/>
          <w:color w:val="auto"/>
        </w:rPr>
        <w:t xml:space="preserve">a. </w:t>
      </w:r>
      <w:r>
        <w:rPr>
          <w:rFonts w:ascii="Arial" w:cs="Arial" w:eastAsia="Arial" w:hAnsi="Arial"/>
          <w:sz w:val="22"/>
          <w:szCs w:val="22"/>
          <w:b w:val="1"/>
          <w:bCs w:val="1"/>
          <w:color w:val="auto"/>
        </w:rPr>
        <w:t>[FOLLOWING INCLUDED AT COMMITTEE’S DISCRETION: Vesting and Payment Following Retirement.</w:t>
      </w:r>
      <w:r>
        <w:rPr>
          <w:rFonts w:ascii="Arial" w:cs="Arial" w:eastAsia="Arial" w:hAnsi="Arial"/>
          <w:sz w:val="22"/>
          <w:szCs w:val="22"/>
          <w:color w:val="auto"/>
        </w:rPr>
        <w:t xml:space="preserve"> If you terminate employment with the Company and its Affiliates (i) not for Cause, and (ii) after you attain at least 70 points (actual age plus Years of Service, with minimum age 55), and (iii) after you provide the Company at least 120 days’ advance notice of your Termination of Employment, and (iv) you comply with all applicable post-termination restrictive covenants, the following special provisions shall apply:</w:t>
      </w:r>
    </w:p>
    <w:p>
      <w:pPr>
        <w:spacing w:after="0" w:line="100" w:lineRule="exact"/>
        <w:rPr>
          <w:rFonts w:ascii="Arial" w:cs="Arial" w:eastAsia="Arial" w:hAnsi="Arial"/>
          <w:sz w:val="22"/>
          <w:szCs w:val="22"/>
          <w:color w:val="auto"/>
        </w:rPr>
      </w:pPr>
    </w:p>
    <w:p>
      <w:pPr>
        <w:jc w:val="both"/>
        <w:ind w:left="660" w:firstLine="283"/>
        <w:spacing w:after="0" w:line="263" w:lineRule="auto"/>
        <w:tabs>
          <w:tab w:leader="none" w:pos="1521" w:val="left"/>
        </w:tabs>
        <w:numPr>
          <w:ilvl w:val="2"/>
          <w:numId w:val="250"/>
        </w:numPr>
        <w:rPr>
          <w:rFonts w:ascii="Arial" w:cs="Arial" w:eastAsia="Arial" w:hAnsi="Arial"/>
          <w:sz w:val="22"/>
          <w:szCs w:val="22"/>
          <w:color w:val="auto"/>
        </w:rPr>
      </w:pPr>
      <w:r>
        <w:rPr>
          <w:rFonts w:ascii="Arial" w:cs="Arial" w:eastAsia="Arial" w:hAnsi="Arial"/>
          <w:sz w:val="22"/>
          <w:szCs w:val="22"/>
          <w:color w:val="auto"/>
        </w:rPr>
        <w:t>the amount of unvested Restricted Stock Units [and Additional Restricted Stock Units] that shall vest under this Section 8 shall equal (1) the Actual Award, (2) multiplied by a fraction, the numerator of which is your Years of Service from the Grant Date to your Termination of Employment and the denominator of which is the total years of service from the Grant Date to the final vesting date of this Award, then (3) minus the total number of Shares that vested on or before your Termination of Employment; and</w:t>
      </w:r>
    </w:p>
    <w:p>
      <w:pPr>
        <w:spacing w:after="0" w:line="112" w:lineRule="exact"/>
        <w:rPr>
          <w:rFonts w:ascii="Arial" w:cs="Arial" w:eastAsia="Arial" w:hAnsi="Arial"/>
          <w:sz w:val="22"/>
          <w:szCs w:val="22"/>
          <w:color w:val="auto"/>
        </w:rPr>
      </w:pPr>
    </w:p>
    <w:p>
      <w:pPr>
        <w:ind w:left="660" w:right="20" w:firstLine="332"/>
        <w:spacing w:after="0" w:line="285" w:lineRule="auto"/>
        <w:tabs>
          <w:tab w:leader="none" w:pos="1621" w:val="left"/>
        </w:tabs>
        <w:numPr>
          <w:ilvl w:val="3"/>
          <w:numId w:val="250"/>
        </w:numPr>
        <w:rPr>
          <w:rFonts w:ascii="Arial" w:cs="Arial" w:eastAsia="Arial" w:hAnsi="Arial"/>
          <w:sz w:val="22"/>
          <w:szCs w:val="22"/>
          <w:color w:val="auto"/>
        </w:rPr>
      </w:pPr>
      <w:r>
        <w:rPr>
          <w:rFonts w:ascii="Arial" w:cs="Arial" w:eastAsia="Arial" w:hAnsi="Arial"/>
          <w:sz w:val="22"/>
          <w:szCs w:val="22"/>
          <w:color w:val="auto"/>
        </w:rPr>
        <w:t>Shares that vest pursuant to Paragraph (A) above shall be distributed at the Award’s next regular vesting date, not to exceed the number of</w:t>
      </w:r>
    </w:p>
    <w:p>
      <w:pPr>
        <w:sectPr>
          <w:pgSz w:w="11900" w:h="16838" w:orient="portrait"/>
          <w:cols w:equalWidth="0" w:num="1">
            <w:col w:w="11240"/>
          </w:cols>
          <w:pgMar w:left="320" w:top="1423" w:right="339" w:bottom="1440" w:gutter="0" w:footer="0" w:header="0"/>
        </w:sectPr>
      </w:pPr>
    </w:p>
    <w:bookmarkStart w:id="156" w:name="page157"/>
    <w:bookmarkEnd w:id="156"/>
    <w:p>
      <w:pPr>
        <w:ind w:left="660"/>
        <w:spacing w:after="0" w:line="285" w:lineRule="auto"/>
        <w:rPr>
          <w:sz w:val="20"/>
          <w:szCs w:val="20"/>
          <w:color w:val="auto"/>
        </w:rPr>
      </w:pPr>
      <w:r>
        <w:rPr>
          <w:rFonts w:ascii="Arial" w:cs="Arial" w:eastAsia="Arial" w:hAnsi="Arial"/>
          <w:sz w:val="22"/>
          <w:szCs w:val="22"/>
          <w:color w:val="auto"/>
        </w:rPr>
        <w:t>Shares that would have vested at such date under the original vesting schedule, with excess Shares vesting at a future vesting date if necessary.]</w:t>
      </w:r>
    </w:p>
    <w:p>
      <w:pPr>
        <w:spacing w:after="0" w:line="86" w:lineRule="exact"/>
        <w:rPr>
          <w:sz w:val="20"/>
          <w:szCs w:val="20"/>
          <w:color w:val="auto"/>
        </w:rPr>
      </w:pPr>
    </w:p>
    <w:p>
      <w:pPr>
        <w:ind w:left="1080" w:hanging="424"/>
        <w:spacing w:after="0"/>
        <w:tabs>
          <w:tab w:leader="none" w:pos="1080" w:val="left"/>
        </w:tabs>
        <w:numPr>
          <w:ilvl w:val="1"/>
          <w:numId w:val="251"/>
        </w:numPr>
        <w:rPr>
          <w:rFonts w:ascii="Arial" w:cs="Arial" w:eastAsia="Arial" w:hAnsi="Arial"/>
          <w:sz w:val="22"/>
          <w:szCs w:val="22"/>
          <w:color w:val="auto"/>
        </w:rPr>
      </w:pPr>
      <w:r>
        <w:rPr>
          <w:rFonts w:ascii="Arial" w:cs="Arial" w:eastAsia="Arial" w:hAnsi="Arial"/>
          <w:sz w:val="22"/>
          <w:szCs w:val="22"/>
          <w:b w:val="1"/>
          <w:bCs w:val="1"/>
          <w:color w:val="auto"/>
        </w:rPr>
        <w:t>Vesting and Payment Following Death or Disability.</w:t>
      </w:r>
    </w:p>
    <w:p>
      <w:pPr>
        <w:spacing w:after="0" w:line="154" w:lineRule="exact"/>
        <w:rPr>
          <w:rFonts w:ascii="Arial" w:cs="Arial" w:eastAsia="Arial" w:hAnsi="Arial"/>
          <w:sz w:val="22"/>
          <w:szCs w:val="22"/>
          <w:color w:val="auto"/>
        </w:rPr>
      </w:pPr>
    </w:p>
    <w:p>
      <w:pPr>
        <w:jc w:val="both"/>
        <w:ind w:left="1300" w:firstLine="4"/>
        <w:spacing w:after="0" w:line="265" w:lineRule="auto"/>
        <w:tabs>
          <w:tab w:leader="none" w:pos="1745" w:val="left"/>
        </w:tabs>
        <w:numPr>
          <w:ilvl w:val="2"/>
          <w:numId w:val="251"/>
        </w:numPr>
        <w:rPr>
          <w:rFonts w:ascii="Arial" w:cs="Arial" w:eastAsia="Arial" w:hAnsi="Arial"/>
          <w:sz w:val="22"/>
          <w:szCs w:val="22"/>
          <w:color w:val="auto"/>
        </w:rPr>
      </w:pPr>
      <w:r>
        <w:rPr>
          <w:rFonts w:ascii="Arial" w:cs="Arial" w:eastAsia="Arial" w:hAnsi="Arial"/>
          <w:sz w:val="22"/>
          <w:szCs w:val="22"/>
          <w:color w:val="auto"/>
        </w:rPr>
        <w:t>If your Termination of Employment occurs because of your death or Disability before the last day of the Performance Cycle, you or your estate will receive your Target Award as your Actual Award for the Performance Cycle. [No Additional Restricted Stock Units will be paid in this case. OR Additional Restricted Stock Units will be calculated as provided in Section 4.]</w:t>
      </w:r>
    </w:p>
    <w:p>
      <w:pPr>
        <w:spacing w:after="0" w:line="111" w:lineRule="exact"/>
        <w:rPr>
          <w:rFonts w:ascii="Arial" w:cs="Arial" w:eastAsia="Arial" w:hAnsi="Arial"/>
          <w:sz w:val="22"/>
          <w:szCs w:val="22"/>
          <w:color w:val="auto"/>
        </w:rPr>
      </w:pPr>
    </w:p>
    <w:p>
      <w:pPr>
        <w:jc w:val="both"/>
        <w:ind w:left="1300" w:firstLine="4"/>
        <w:spacing w:after="0" w:line="263" w:lineRule="auto"/>
        <w:tabs>
          <w:tab w:leader="none" w:pos="1820" w:val="left"/>
        </w:tabs>
        <w:numPr>
          <w:ilvl w:val="2"/>
          <w:numId w:val="251"/>
        </w:numPr>
        <w:rPr>
          <w:rFonts w:ascii="Arial" w:cs="Arial" w:eastAsia="Arial" w:hAnsi="Arial"/>
          <w:sz w:val="22"/>
          <w:szCs w:val="22"/>
          <w:color w:val="auto"/>
        </w:rPr>
      </w:pPr>
      <w:r>
        <w:rPr>
          <w:rFonts w:ascii="Arial" w:cs="Arial" w:eastAsia="Arial" w:hAnsi="Arial"/>
          <w:sz w:val="22"/>
          <w:szCs w:val="22"/>
          <w:color w:val="auto"/>
        </w:rPr>
        <w:t>If your Termination of Employment occurs because of your death or Disability after the last day of the Performance Cycle but before the Actual Award is fully paid, you or your estate will receive the remainder of your unpaid Actual Award for the Performance Cycle. [No Additional Restricted Stock Units will be paid in this case. OR Additional Restricted Stock Units will be calculated as provided in Section 4.]</w:t>
      </w:r>
    </w:p>
    <w:p>
      <w:pPr>
        <w:spacing w:after="0" w:line="112" w:lineRule="exact"/>
        <w:rPr>
          <w:rFonts w:ascii="Arial" w:cs="Arial" w:eastAsia="Arial" w:hAnsi="Arial"/>
          <w:sz w:val="22"/>
          <w:szCs w:val="22"/>
          <w:color w:val="auto"/>
        </w:rPr>
      </w:pPr>
    </w:p>
    <w:p>
      <w:pPr>
        <w:jc w:val="both"/>
        <w:ind w:right="20" w:firstLine="656"/>
        <w:spacing w:after="0" w:line="265" w:lineRule="auto"/>
        <w:tabs>
          <w:tab w:leader="none" w:pos="1067" w:val="left"/>
        </w:tabs>
        <w:numPr>
          <w:ilvl w:val="1"/>
          <w:numId w:val="251"/>
        </w:numPr>
        <w:rPr>
          <w:rFonts w:ascii="Arial" w:cs="Arial" w:eastAsia="Arial" w:hAnsi="Arial"/>
          <w:sz w:val="22"/>
          <w:szCs w:val="22"/>
          <w:color w:val="auto"/>
        </w:rPr>
      </w:pPr>
      <w:r>
        <w:rPr>
          <w:rFonts w:ascii="Arial" w:cs="Arial" w:eastAsia="Arial" w:hAnsi="Arial"/>
          <w:sz w:val="22"/>
          <w:szCs w:val="22"/>
          <w:color w:val="auto"/>
        </w:rPr>
        <w:t>If your Termination of Employment due to retirement occurs before the vesting date described in Section 6 of this Agreement and you do not satisfy the requirements of Section 8 above, all unvested Restricted Stock Units [and Additional Restricted Stock Units] will be forfeited and your rights with respect to any award under this Agreement will terminate.</w:t>
      </w:r>
    </w:p>
    <w:p>
      <w:pPr>
        <w:spacing w:after="0" w:line="95" w:lineRule="exact"/>
        <w:rPr>
          <w:rFonts w:ascii="Arial" w:cs="Arial" w:eastAsia="Arial" w:hAnsi="Arial"/>
          <w:sz w:val="22"/>
          <w:szCs w:val="22"/>
          <w:color w:val="auto"/>
        </w:rPr>
      </w:pPr>
    </w:p>
    <w:p>
      <w:pPr>
        <w:jc w:val="both"/>
        <w:ind w:firstLine="8"/>
        <w:spacing w:after="0" w:line="266" w:lineRule="auto"/>
        <w:tabs>
          <w:tab w:leader="none" w:pos="488" w:val="left"/>
        </w:tabs>
        <w:numPr>
          <w:ilvl w:val="0"/>
          <w:numId w:val="252"/>
        </w:numPr>
        <w:rPr>
          <w:rFonts w:ascii="Arial" w:cs="Arial" w:eastAsia="Arial" w:hAnsi="Arial"/>
          <w:sz w:val="22"/>
          <w:szCs w:val="22"/>
          <w:color w:val="auto"/>
        </w:rPr>
      </w:pPr>
      <w:r>
        <w:rPr>
          <w:rFonts w:ascii="Arial" w:cs="Arial" w:eastAsia="Arial" w:hAnsi="Arial"/>
          <w:sz w:val="22"/>
          <w:szCs w:val="22"/>
          <w:b w:val="1"/>
          <w:bCs w:val="1"/>
          <w:color w:val="auto"/>
        </w:rPr>
        <w:t xml:space="preserve">[FOLLOWING INCLUDED AT COMMITTEE’S DISCRETION: Retirement. </w:t>
      </w:r>
      <w:r>
        <w:rPr>
          <w:rFonts w:ascii="Arial" w:cs="Arial" w:eastAsia="Arial" w:hAnsi="Arial"/>
          <w:sz w:val="22"/>
          <w:szCs w:val="22"/>
          <w:color w:val="auto"/>
        </w:rPr>
        <w:t>For the avoidance of doubt, if your</w:t>
      </w:r>
      <w:r>
        <w:rPr>
          <w:rFonts w:ascii="Arial" w:cs="Arial" w:eastAsia="Arial" w:hAnsi="Arial"/>
          <w:sz w:val="22"/>
          <w:szCs w:val="22"/>
          <w:b w:val="1"/>
          <w:bCs w:val="1"/>
          <w:color w:val="auto"/>
        </w:rPr>
        <w:t xml:space="preserve"> </w:t>
      </w:r>
      <w:r>
        <w:rPr>
          <w:rFonts w:ascii="Arial" w:cs="Arial" w:eastAsia="Arial" w:hAnsi="Arial"/>
          <w:sz w:val="22"/>
          <w:szCs w:val="22"/>
          <w:color w:val="auto"/>
        </w:rPr>
        <w:t>Termination of Employment occurs solely because of your Retirement at any age before the last day of the Performance Cycle, all unvested Restricted Stock Units [and Additional Restricted Stock Units] will be forfeited and your rights with respect to any award under this Agreement will end.</w:t>
      </w:r>
    </w:p>
    <w:p>
      <w:pPr>
        <w:spacing w:after="0" w:line="109" w:lineRule="exact"/>
        <w:rPr>
          <w:sz w:val="20"/>
          <w:szCs w:val="20"/>
          <w:color w:val="auto"/>
        </w:rPr>
      </w:pPr>
    </w:p>
    <w:p>
      <w:pPr>
        <w:spacing w:after="0"/>
        <w:rPr>
          <w:sz w:val="20"/>
          <w:szCs w:val="20"/>
          <w:color w:val="auto"/>
        </w:rPr>
      </w:pPr>
      <w:r>
        <w:rPr>
          <w:rFonts w:ascii="Arial" w:cs="Arial" w:eastAsia="Arial" w:hAnsi="Arial"/>
          <w:sz w:val="22"/>
          <w:szCs w:val="22"/>
          <w:color w:val="auto"/>
        </w:rPr>
        <w:t>OR</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22"/>
          <w:szCs w:val="22"/>
          <w:color w:val="auto"/>
        </w:rPr>
        <w:t>If your Termination of Employment occurs solely because of your Retirement on or after age [AGE] before the last day of the Performance Cycle, you will receive a pro-rata payment of your Target Award as your Actual Award equal to the product of (a) times (b), minus (c), where (a) equals the total number of Restricted Stock Units set forth in Section 1 above [plus the total number of Additional Restricted Stock Units credited to you as of your Termination of Employment], (b) equals the ratio of your complete years of service as an employee of the Company or its Affiliates between the Award Date and your Termination of Employment, and the number of complete years of service required under this Agreement to be fully vested in all Restricted Stock Units [and Additional Restricted Stock Units], and (c) equals the number of Restricted Stock Units [and Additional Restricted Stock Units] that vested before your Termination of Employment.</w:t>
      </w:r>
    </w:p>
    <w:p>
      <w:pPr>
        <w:spacing w:after="0" w:line="108" w:lineRule="exact"/>
        <w:rPr>
          <w:sz w:val="20"/>
          <w:szCs w:val="20"/>
          <w:color w:val="auto"/>
        </w:rPr>
      </w:pPr>
    </w:p>
    <w:p>
      <w:pPr>
        <w:spacing w:after="0"/>
        <w:rPr>
          <w:sz w:val="20"/>
          <w:szCs w:val="20"/>
          <w:color w:val="auto"/>
        </w:rPr>
      </w:pPr>
      <w:r>
        <w:rPr>
          <w:rFonts w:ascii="Arial" w:cs="Arial" w:eastAsia="Arial" w:hAnsi="Arial"/>
          <w:sz w:val="22"/>
          <w:szCs w:val="22"/>
          <w:color w:val="auto"/>
        </w:rPr>
        <w:t>OR</w:t>
      </w:r>
    </w:p>
    <w:p>
      <w:pPr>
        <w:sectPr>
          <w:pgSz w:w="11900" w:h="16838" w:orient="portrait"/>
          <w:cols w:equalWidth="0" w:num="1">
            <w:col w:w="11240"/>
          </w:cols>
          <w:pgMar w:left="320" w:top="1423" w:right="339" w:bottom="1440" w:gutter="0" w:footer="0" w:header="0"/>
        </w:sectPr>
      </w:pPr>
    </w:p>
    <w:bookmarkStart w:id="157" w:name="page158"/>
    <w:bookmarkEnd w:id="157"/>
    <w:p>
      <w:pPr>
        <w:jc w:val="both"/>
        <w:spacing w:after="0" w:line="265" w:lineRule="auto"/>
        <w:rPr>
          <w:sz w:val="20"/>
          <w:szCs w:val="20"/>
          <w:color w:val="auto"/>
        </w:rPr>
      </w:pPr>
      <w:r>
        <w:rPr>
          <w:rFonts w:ascii="Arial" w:cs="Arial" w:eastAsia="Arial" w:hAnsi="Arial"/>
          <w:sz w:val="22"/>
          <w:szCs w:val="22"/>
          <w:color w:val="auto"/>
        </w:rPr>
        <w:t>If your Termination of Employment occurs solely because of your Retirement on or after age [AGE] before the last day of the Performance Cycle, you will be vested in an additional number of Restricted Stock Units [and related Additional Restricted Stock Units] equal to [INSERT VESTING PROVISION ON RETIREMENT AT OR AFTER THE SPECIFIED AGE].]</w:t>
      </w:r>
    </w:p>
    <w:p>
      <w:pPr>
        <w:spacing w:after="0" w:line="111" w:lineRule="exact"/>
        <w:rPr>
          <w:sz w:val="20"/>
          <w:szCs w:val="20"/>
          <w:color w:val="auto"/>
        </w:rPr>
      </w:pPr>
    </w:p>
    <w:p>
      <w:pPr>
        <w:jc w:val="both"/>
        <w:spacing w:after="0" w:line="270" w:lineRule="auto"/>
        <w:rPr>
          <w:sz w:val="20"/>
          <w:szCs w:val="20"/>
          <w:color w:val="auto"/>
        </w:rPr>
      </w:pPr>
      <w:r>
        <w:rPr>
          <w:rFonts w:ascii="Arial" w:cs="Arial" w:eastAsia="Arial" w:hAnsi="Arial"/>
          <w:sz w:val="22"/>
          <w:szCs w:val="22"/>
          <w:color w:val="auto"/>
        </w:rPr>
        <w:t>[INCLUDE AS APPLICABLE: If your Termination of Employment occurs solely because of your Retirement on or after age [AGE] after the last day of the Performance Cycle but before the Actual Award is fully paid, you will receive the remainder of your unpaid Actual Award for the Performance Cycle.</w:t>
      </w:r>
    </w:p>
    <w:p>
      <w:pPr>
        <w:spacing w:after="0" w:line="91" w:lineRule="exact"/>
        <w:rPr>
          <w:sz w:val="20"/>
          <w:szCs w:val="20"/>
          <w:color w:val="auto"/>
        </w:rPr>
      </w:pPr>
    </w:p>
    <w:p>
      <w:pPr>
        <w:spacing w:after="0"/>
        <w:rPr>
          <w:sz w:val="20"/>
          <w:szCs w:val="20"/>
          <w:color w:val="auto"/>
        </w:rPr>
      </w:pPr>
      <w:r>
        <w:rPr>
          <w:rFonts w:ascii="Arial" w:cs="Arial" w:eastAsia="Arial" w:hAnsi="Arial"/>
          <w:sz w:val="22"/>
          <w:szCs w:val="22"/>
          <w:color w:val="auto"/>
        </w:rPr>
        <w:t>OR</w:t>
      </w:r>
    </w:p>
    <w:p>
      <w:pPr>
        <w:spacing w:after="0" w:line="166" w:lineRule="exact"/>
        <w:rPr>
          <w:sz w:val="20"/>
          <w:szCs w:val="20"/>
          <w:color w:val="auto"/>
        </w:rPr>
      </w:pPr>
    </w:p>
    <w:p>
      <w:pPr>
        <w:jc w:val="both"/>
        <w:ind w:right="20"/>
        <w:spacing w:after="0" w:line="270" w:lineRule="auto"/>
        <w:rPr>
          <w:sz w:val="20"/>
          <w:szCs w:val="20"/>
          <w:color w:val="auto"/>
        </w:rPr>
      </w:pPr>
      <w:r>
        <w:rPr>
          <w:rFonts w:ascii="Arial" w:cs="Arial" w:eastAsia="Arial" w:hAnsi="Arial"/>
          <w:sz w:val="22"/>
          <w:szCs w:val="22"/>
          <w:color w:val="auto"/>
        </w:rPr>
        <w:t>If your Termination of Employment occurs solely because of your Retirement on or after age [AGE] after the last day of the Performance Cycle but before the Actual Award is fully paid, any unpaid Actual Award will be forfeited and your rights with respect to any such Actual Award under this Agreement will terminate.</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auto"/>
        </w:rPr>
        <w:t>OR</w:t>
      </w:r>
    </w:p>
    <w:p>
      <w:pPr>
        <w:spacing w:after="0" w:line="152" w:lineRule="exact"/>
        <w:rPr>
          <w:sz w:val="20"/>
          <w:szCs w:val="20"/>
          <w:color w:val="auto"/>
        </w:rPr>
      </w:pPr>
    </w:p>
    <w:p>
      <w:pPr>
        <w:jc w:val="both"/>
        <w:ind w:right="20"/>
        <w:spacing w:after="0" w:line="270" w:lineRule="auto"/>
        <w:rPr>
          <w:sz w:val="20"/>
          <w:szCs w:val="20"/>
          <w:color w:val="auto"/>
        </w:rPr>
      </w:pPr>
      <w:r>
        <w:rPr>
          <w:rFonts w:ascii="Arial" w:cs="Arial" w:eastAsia="Arial" w:hAnsi="Arial"/>
          <w:sz w:val="22"/>
          <w:szCs w:val="22"/>
          <w:color w:val="auto"/>
        </w:rPr>
        <w:t>If your Termination of Employment occurs solely because of your Retirement on or after age [AGE] after the last day of the Performance Cycle but before the Actual Award is fully paid, any unpaid Actual Award will be paid as follows: [INSERT VESTING PROVISION ON RETIREMENT ON OR AFTER AGE [AGE]].]</w:t>
      </w:r>
    </w:p>
    <w:p>
      <w:pPr>
        <w:spacing w:after="0" w:line="105" w:lineRule="exact"/>
        <w:rPr>
          <w:sz w:val="20"/>
          <w:szCs w:val="20"/>
          <w:color w:val="auto"/>
        </w:rPr>
      </w:pPr>
    </w:p>
    <w:p>
      <w:pPr>
        <w:jc w:val="both"/>
        <w:spacing w:after="0" w:line="285" w:lineRule="auto"/>
        <w:rPr>
          <w:sz w:val="20"/>
          <w:szCs w:val="20"/>
          <w:color w:val="auto"/>
        </w:rPr>
      </w:pPr>
      <w:r>
        <w:rPr>
          <w:rFonts w:ascii="Arial" w:cs="Arial" w:eastAsia="Arial" w:hAnsi="Arial"/>
          <w:sz w:val="22"/>
          <w:szCs w:val="22"/>
          <w:color w:val="auto"/>
        </w:rPr>
        <w:t>[No Additional Restricted Stock Units will be paid in this case. OR Additional Restricted Stock Units will be calculated as provided in Section 4.]</w:t>
      </w:r>
    </w:p>
    <w:p>
      <w:pPr>
        <w:spacing w:after="0" w:line="88"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[INCLUDE AS APPLICABLE: Notwithstanding the preceding sentence, if you are a “specified employee” under Section 409A of the Code as of the date your Termination of Employment occurs due to Retirement, payment for vested Restricted Stock Units [and Additional Restricted Stock Units] will be made on the first business day of the first calendar month that begins after the six-month anniversary of your Termination of Employment, or, if earlier, your death.</w:t>
      </w:r>
    </w:p>
    <w:p>
      <w:pPr>
        <w:spacing w:after="0" w:line="99" w:lineRule="exact"/>
        <w:rPr>
          <w:sz w:val="20"/>
          <w:szCs w:val="20"/>
          <w:color w:val="auto"/>
        </w:rPr>
      </w:pPr>
    </w:p>
    <w:p>
      <w:pPr>
        <w:jc w:val="both"/>
        <w:spacing w:after="0" w:line="261" w:lineRule="auto"/>
        <w:rPr>
          <w:sz w:val="20"/>
          <w:szCs w:val="20"/>
          <w:color w:val="auto"/>
        </w:rPr>
      </w:pPr>
      <w:r>
        <w:rPr>
          <w:rFonts w:ascii="Arial" w:cs="Arial" w:eastAsia="Arial" w:hAnsi="Arial"/>
          <w:sz w:val="22"/>
          <w:szCs w:val="22"/>
          <w:color w:val="auto"/>
        </w:rPr>
        <w:t>Subject to a deferral election, if (i) you are eligible for Retirement on or after age [AGE] on the Award Date or you become eligible for Retirement on or after age [AGE] before the last vesting date described in Section 6 of this Agreement and (ii) your Termination of Employment does not occur before the last vesting date described in Section 6 of this Agreement, payment for vested Restricted Stock Units [and Additional Restricted Stock Units] will be made as soon as practicable following the applicable vesting date described in Section 6 of this Agreement but in no event later than the last day of the calendar year in which each such vesting date occurs.]</w:t>
      </w:r>
    </w:p>
    <w:p>
      <w:pPr>
        <w:spacing w:after="0" w:line="116" w:lineRule="exact"/>
        <w:rPr>
          <w:sz w:val="20"/>
          <w:szCs w:val="20"/>
          <w:color w:val="auto"/>
        </w:rPr>
      </w:pPr>
    </w:p>
    <w:p>
      <w:pPr>
        <w:ind w:firstLine="8"/>
        <w:spacing w:after="0" w:line="287" w:lineRule="auto"/>
        <w:tabs>
          <w:tab w:leader="none" w:pos="581" w:val="left"/>
        </w:tabs>
        <w:numPr>
          <w:ilvl w:val="0"/>
          <w:numId w:val="253"/>
        </w:numPr>
        <w:rPr>
          <w:rFonts w:ascii="Arial" w:cs="Arial" w:eastAsia="Arial" w:hAnsi="Arial"/>
          <w:sz w:val="22"/>
          <w:szCs w:val="22"/>
          <w:color w:val="auto"/>
        </w:rPr>
      </w:pPr>
      <w:r>
        <w:rPr>
          <w:rFonts w:ascii="Arial" w:cs="Arial" w:eastAsia="Arial" w:hAnsi="Arial"/>
          <w:sz w:val="22"/>
          <w:szCs w:val="22"/>
          <w:b w:val="1"/>
          <w:bCs w:val="1"/>
          <w:color w:val="auto"/>
        </w:rPr>
        <w:t xml:space="preserve">Change in Control. </w:t>
      </w:r>
      <w:r>
        <w:rPr>
          <w:rFonts w:ascii="Arial" w:cs="Arial" w:eastAsia="Arial" w:hAnsi="Arial"/>
          <w:sz w:val="22"/>
          <w:szCs w:val="22"/>
          <w:color w:val="auto"/>
        </w:rPr>
        <w:t>Notwithstanding anything in Sections 2 through 9 above to the contrary, in the event of a</w:t>
      </w:r>
      <w:r>
        <w:rPr>
          <w:rFonts w:ascii="Arial" w:cs="Arial" w:eastAsia="Arial" w:hAnsi="Arial"/>
          <w:sz w:val="22"/>
          <w:szCs w:val="22"/>
          <w:b w:val="1"/>
          <w:bCs w:val="1"/>
          <w:color w:val="auto"/>
        </w:rPr>
        <w:t xml:space="preserve"> </w:t>
      </w:r>
      <w:r>
        <w:rPr>
          <w:rFonts w:ascii="Arial" w:cs="Arial" w:eastAsia="Arial" w:hAnsi="Arial"/>
          <w:sz w:val="22"/>
          <w:szCs w:val="22"/>
          <w:color w:val="auto"/>
        </w:rPr>
        <w:t>Change in Control (as defined in the Plan), the following provisions apply:</w:t>
      </w:r>
    </w:p>
    <w:p>
      <w:pPr>
        <w:sectPr>
          <w:pgSz w:w="11900" w:h="16838" w:orient="portrait"/>
          <w:cols w:equalWidth="0" w:num="1">
            <w:col w:w="11240"/>
          </w:cols>
          <w:pgMar w:left="320" w:top="1423" w:right="339" w:bottom="1440" w:gutter="0" w:footer="0" w:header="0"/>
        </w:sectPr>
      </w:pPr>
    </w:p>
    <w:bookmarkStart w:id="158" w:name="page159"/>
    <w:bookmarkEnd w:id="158"/>
    <w:p>
      <w:pPr>
        <w:jc w:val="both"/>
        <w:ind w:left="-8" w:firstLine="656"/>
        <w:spacing w:after="0" w:line="258" w:lineRule="auto"/>
        <w:tabs>
          <w:tab w:leader="none" w:pos="1128" w:val="left"/>
        </w:tabs>
        <w:numPr>
          <w:ilvl w:val="1"/>
          <w:numId w:val="254"/>
        </w:numPr>
        <w:rPr>
          <w:rFonts w:ascii="Arial" w:cs="Arial" w:eastAsia="Arial" w:hAnsi="Arial"/>
          <w:sz w:val="22"/>
          <w:szCs w:val="22"/>
          <w:color w:val="auto"/>
        </w:rPr>
      </w:pPr>
      <w:r>
        <w:rPr>
          <w:rFonts w:ascii="Arial" w:cs="Arial" w:eastAsia="Arial" w:hAnsi="Arial"/>
          <w:sz w:val="22"/>
          <w:szCs w:val="22"/>
          <w:b w:val="1"/>
          <w:bCs w:val="1"/>
          <w:color w:val="auto"/>
        </w:rPr>
        <w:t xml:space="preserve">Rollover of Awards. </w:t>
      </w:r>
      <w:r>
        <w:rPr>
          <w:rFonts w:ascii="Arial" w:cs="Arial" w:eastAsia="Arial" w:hAnsi="Arial"/>
          <w:sz w:val="22"/>
          <w:szCs w:val="22"/>
          <w:color w:val="auto"/>
        </w:rPr>
        <w:t>If adjusted or exchanged pursuant to Section 5.3(c), 5.3(d), 5.3(e) or 5.3(f) of the</w:t>
      </w:r>
      <w:r>
        <w:rPr>
          <w:rFonts w:ascii="Arial" w:cs="Arial" w:eastAsia="Arial" w:hAnsi="Arial"/>
          <w:sz w:val="22"/>
          <w:szCs w:val="22"/>
          <w:b w:val="1"/>
          <w:bCs w:val="1"/>
          <w:color w:val="auto"/>
        </w:rPr>
        <w:t xml:space="preserve"> </w:t>
      </w:r>
      <w:r>
        <w:rPr>
          <w:rFonts w:ascii="Arial" w:cs="Arial" w:eastAsia="Arial" w:hAnsi="Arial"/>
          <w:sz w:val="22"/>
          <w:szCs w:val="22"/>
          <w:color w:val="auto"/>
        </w:rPr>
        <w:t>Plan, Restricted Stock Units [and Additional Restricted Stock Units] that have not vested or terminated as of the date of the Change in Control will continue to vest in accordance with the schedule described in Section 6 of this Agreement (or as adjusted if more favorable); provided, however, that (x) if you incur an involuntary Termination of Employment not for Cause (as defined in Section 2.7 of the Plan) or a voluntary Termination of Employment for Good Reason (as defined in Section 5.4(d) of the Plan) on or before the second anniversary of the date of the Change in Control and after the Performance Cycle has ended, [subject to the terms of a deferral election,] the unpaid portion of your Actual Award will immediately vest in full and be settled no later than the earlier of 90 days after the Termination of Employment or two and one-half months after the end of the calendar year in which the Termination of Employment occurs, or (y) if you incur an involuntary Termination of Employment not for Cause (as defined in Section 2.7 of the Plan) or a voluntary Termination of Employment for Good Reason (as defined in Section 5.4(d) of the Plan) during the two-year period following the Change in Control and before the Performance Cycle has ended, [subject to the terms of a deferral election,] an amount equal to the Target Award, pro-rated to reflect the portion of the Performance Cycle that elapsed prior to such Termination of Employment, will be paid in Shares no later than the earlier of 90 days after the Termination of Employment or two and one-half months after the end of the calendar year in which the Termination of Employment occurs.</w:t>
      </w:r>
    </w:p>
    <w:p>
      <w:pPr>
        <w:spacing w:after="0" w:line="117" w:lineRule="exact"/>
        <w:rPr>
          <w:rFonts w:ascii="Arial" w:cs="Arial" w:eastAsia="Arial" w:hAnsi="Arial"/>
          <w:sz w:val="22"/>
          <w:szCs w:val="22"/>
          <w:color w:val="auto"/>
        </w:rPr>
      </w:pPr>
    </w:p>
    <w:p>
      <w:pPr>
        <w:jc w:val="both"/>
        <w:ind w:left="-8" w:firstLine="656"/>
        <w:spacing w:after="0" w:line="269" w:lineRule="auto"/>
        <w:tabs>
          <w:tab w:leader="none" w:pos="1101" w:val="left"/>
        </w:tabs>
        <w:numPr>
          <w:ilvl w:val="1"/>
          <w:numId w:val="254"/>
        </w:numPr>
        <w:rPr>
          <w:rFonts w:ascii="Arial" w:cs="Arial" w:eastAsia="Arial" w:hAnsi="Arial"/>
          <w:sz w:val="21"/>
          <w:szCs w:val="21"/>
          <w:color w:val="auto"/>
        </w:rPr>
      </w:pPr>
      <w:r>
        <w:rPr>
          <w:rFonts w:ascii="Arial" w:cs="Arial" w:eastAsia="Arial" w:hAnsi="Arial"/>
          <w:sz w:val="21"/>
          <w:szCs w:val="21"/>
          <w:b w:val="1"/>
          <w:bCs w:val="1"/>
          <w:color w:val="auto"/>
        </w:rPr>
        <w:t xml:space="preserve">Cashout of Awards. </w:t>
      </w:r>
      <w:r>
        <w:rPr>
          <w:rFonts w:ascii="Arial" w:cs="Arial" w:eastAsia="Arial" w:hAnsi="Arial"/>
          <w:sz w:val="21"/>
          <w:szCs w:val="21"/>
          <w:color w:val="auto"/>
        </w:rPr>
        <w:t>Unless adjusted or exchanged pursuant to Section 5.3(c), 5.3(d)(ii), 5.3(e) or 5.3(f)</w:t>
      </w:r>
      <w:r>
        <w:rPr>
          <w:rFonts w:ascii="Arial" w:cs="Arial" w:eastAsia="Arial" w:hAnsi="Arial"/>
          <w:sz w:val="21"/>
          <w:szCs w:val="21"/>
          <w:b w:val="1"/>
          <w:bCs w:val="1"/>
          <w:color w:val="auto"/>
        </w:rPr>
        <w:t xml:space="preserve"> </w:t>
      </w:r>
      <w:r>
        <w:rPr>
          <w:rFonts w:ascii="Arial" w:cs="Arial" w:eastAsia="Arial" w:hAnsi="Arial"/>
          <w:sz w:val="21"/>
          <w:szCs w:val="21"/>
          <w:color w:val="auto"/>
        </w:rPr>
        <w:t>of the Plan (concerning rollover of outstanding awards in certain circumstances), Restricted Stock Units [and Additional Restricted Stock Units] that have not vested or terminated as of the date of the Change in Control will immediately vest. If the Change in Control occurs after the Performance Cycle has ended, [subject to the terms of a deferral election,] you will receive the portion of your unpaid Actual Award. If the Change in Control occurs before the Performance Cycle has ended, [subject to the terms of a deferral election,] the Actual Award will be based on the Target Award or other level of substantially achieved performance, as determined by the Committee prior to the Change in Control. No later than the earlier of 90 days after the date of the Change in Control or two and one-half months after the end of the calendar year in which the Change in Control occurs, you will receive for the Restricted Stock Units [and Additional Restricted Stock Units] a single payment in cash equal to the product of the number of vested and outstanding Restricted Stock Units [and Additional Restricted Stock Units] as of the date of the Change in Control (including any Restricted Stock Units [and Additional Restricted Stock Units] that vest pursuant to this Section</w:t>
      </w:r>
    </w:p>
    <w:p>
      <w:pPr>
        <w:spacing w:after="0" w:line="7" w:lineRule="exact"/>
        <w:rPr>
          <w:rFonts w:ascii="Arial" w:cs="Arial" w:eastAsia="Arial" w:hAnsi="Arial"/>
          <w:sz w:val="21"/>
          <w:szCs w:val="21"/>
          <w:color w:val="auto"/>
        </w:rPr>
      </w:pPr>
    </w:p>
    <w:p>
      <w:pPr>
        <w:jc w:val="both"/>
        <w:ind w:left="-8" w:firstLine="8"/>
        <w:spacing w:after="0" w:line="261" w:lineRule="auto"/>
        <w:tabs>
          <w:tab w:leader="none" w:pos="367" w:val="left"/>
        </w:tabs>
        <w:numPr>
          <w:ilvl w:val="0"/>
          <w:numId w:val="255"/>
        </w:numPr>
        <w:rPr>
          <w:rFonts w:ascii="Arial" w:cs="Arial" w:eastAsia="Arial" w:hAnsi="Arial"/>
          <w:sz w:val="22"/>
          <w:szCs w:val="22"/>
          <w:color w:val="auto"/>
        </w:rPr>
      </w:pPr>
      <w:r>
        <w:rPr>
          <w:rFonts w:ascii="Arial" w:cs="Arial" w:eastAsia="Arial" w:hAnsi="Arial"/>
          <w:sz w:val="22"/>
          <w:szCs w:val="22"/>
          <w:color w:val="auto"/>
        </w:rPr>
        <w:t>and an amount equal to the greater of (i) the highest price per Share paid by the successor, as determined by the Committee, and (ii) the highest Fair Market Value during the period of 90 days that ends on the date of the Change in Control. Any securities or other property that is part or all of the consideration paid for Shares pursuant to the Change in Control will be valued at the higher of (x) the valuation placed</w:t>
      </w:r>
    </w:p>
    <w:p>
      <w:pPr>
        <w:sectPr>
          <w:pgSz w:w="11900" w:h="16838" w:orient="portrait"/>
          <w:cols w:equalWidth="0" w:num="1">
            <w:col w:w="11232"/>
          </w:cols>
          <w:pgMar w:left="328" w:top="1421" w:right="339" w:bottom="1440" w:gutter="0" w:footer="0" w:header="0"/>
        </w:sectPr>
      </w:pPr>
    </w:p>
    <w:bookmarkStart w:id="159" w:name="page160"/>
    <w:bookmarkEnd w:id="159"/>
    <w:p>
      <w:pPr>
        <w:spacing w:after="0" w:line="285" w:lineRule="auto"/>
        <w:rPr>
          <w:sz w:val="20"/>
          <w:szCs w:val="20"/>
          <w:color w:val="auto"/>
        </w:rPr>
      </w:pPr>
      <w:r>
        <w:rPr>
          <w:rFonts w:ascii="Arial" w:cs="Arial" w:eastAsia="Arial" w:hAnsi="Arial"/>
          <w:sz w:val="22"/>
          <w:szCs w:val="22"/>
          <w:color w:val="auto"/>
        </w:rPr>
        <w:t>on the securities or property by any entity that is a party with the Company to the Change in Control, or (y) the valuation placed on the securities or property by the Committee.</w:t>
      </w:r>
    </w:p>
    <w:p>
      <w:pPr>
        <w:spacing w:after="0" w:line="86" w:lineRule="exact"/>
        <w:rPr>
          <w:sz w:val="20"/>
          <w:szCs w:val="20"/>
          <w:color w:val="auto"/>
        </w:rPr>
      </w:pPr>
    </w:p>
    <w:p>
      <w:pPr>
        <w:jc w:val="both"/>
        <w:ind w:firstLine="8"/>
        <w:spacing w:after="0" w:line="261" w:lineRule="auto"/>
        <w:tabs>
          <w:tab w:leader="none" w:pos="578" w:val="left"/>
        </w:tabs>
        <w:numPr>
          <w:ilvl w:val="0"/>
          <w:numId w:val="256"/>
        </w:numPr>
        <w:rPr>
          <w:rFonts w:ascii="Arial" w:cs="Arial" w:eastAsia="Arial" w:hAnsi="Arial"/>
          <w:sz w:val="22"/>
          <w:szCs w:val="22"/>
          <w:color w:val="auto"/>
        </w:rPr>
      </w:pPr>
      <w:r>
        <w:rPr>
          <w:rFonts w:ascii="Arial" w:cs="Arial" w:eastAsia="Arial" w:hAnsi="Arial"/>
          <w:sz w:val="22"/>
          <w:szCs w:val="22"/>
          <w:b w:val="1"/>
          <w:bCs w:val="1"/>
          <w:color w:val="auto"/>
        </w:rPr>
        <w:t xml:space="preserve">[FOLLOWING INCLUDED AT COMMITTEE’S DISCRETION: Deferral of Payment. </w:t>
      </w:r>
      <w:r>
        <w:rPr>
          <w:rFonts w:ascii="Arial" w:cs="Arial" w:eastAsia="Arial" w:hAnsi="Arial"/>
          <w:sz w:val="22"/>
          <w:szCs w:val="22"/>
          <w:color w:val="auto"/>
        </w:rPr>
        <w:t>If you would like to defer</w:t>
      </w:r>
      <w:r>
        <w:rPr>
          <w:rFonts w:ascii="Arial" w:cs="Arial" w:eastAsia="Arial" w:hAnsi="Arial"/>
          <w:sz w:val="22"/>
          <w:szCs w:val="22"/>
          <w:b w:val="1"/>
          <w:bCs w:val="1"/>
          <w:color w:val="auto"/>
        </w:rPr>
        <w:t xml:space="preserve"> </w:t>
      </w:r>
      <w:r>
        <w:rPr>
          <w:rFonts w:ascii="Arial" w:cs="Arial" w:eastAsia="Arial" w:hAnsi="Arial"/>
          <w:sz w:val="22"/>
          <w:szCs w:val="22"/>
          <w:color w:val="auto"/>
        </w:rPr>
        <w:t>payment on the Restricted Stock Units and related Additional Restricted Stock Units, you may do so in writing on the deferral form provided with this grant setting forth your desired payment schedule. The deferral shall not be permitted if, within the determination of the Company, such deferral would result in a violation of Section 409A of the Internal Revenue Code of 1986, as amended (the “Code”) and the regulations promulgated thereunder. If the deferral is not permitted, then payment shall be made as provided in this Agreement. All Additional Restricted Stock Units shall be subject to the same deferral restrictions as the Restricted Stock Units to which they relate.]</w:t>
      </w:r>
    </w:p>
    <w:p>
      <w:pPr>
        <w:spacing w:after="0" w:line="99" w:lineRule="exact"/>
        <w:rPr>
          <w:rFonts w:ascii="Arial" w:cs="Arial" w:eastAsia="Arial" w:hAnsi="Arial"/>
          <w:sz w:val="22"/>
          <w:szCs w:val="22"/>
          <w:color w:val="auto"/>
        </w:rPr>
      </w:pPr>
    </w:p>
    <w:p>
      <w:pPr>
        <w:jc w:val="both"/>
        <w:ind w:firstLine="8"/>
        <w:spacing w:after="0" w:line="262" w:lineRule="auto"/>
        <w:tabs>
          <w:tab w:leader="none" w:pos="581" w:val="left"/>
        </w:tabs>
        <w:numPr>
          <w:ilvl w:val="0"/>
          <w:numId w:val="256"/>
        </w:numPr>
        <w:rPr>
          <w:rFonts w:ascii="Arial" w:cs="Arial" w:eastAsia="Arial" w:hAnsi="Arial"/>
          <w:sz w:val="22"/>
          <w:szCs w:val="22"/>
          <w:color w:val="auto"/>
        </w:rPr>
      </w:pPr>
      <w:r>
        <w:rPr>
          <w:rFonts w:ascii="Arial" w:cs="Arial" w:eastAsia="Arial" w:hAnsi="Arial"/>
          <w:sz w:val="22"/>
          <w:szCs w:val="22"/>
          <w:b w:val="1"/>
          <w:bCs w:val="1"/>
          <w:color w:val="auto"/>
        </w:rPr>
        <w:t xml:space="preserve">Withholdings. </w:t>
      </w:r>
      <w:r>
        <w:rPr>
          <w:rFonts w:ascii="Arial" w:cs="Arial" w:eastAsia="Arial" w:hAnsi="Arial"/>
          <w:sz w:val="22"/>
          <w:szCs w:val="22"/>
          <w:color w:val="auto"/>
        </w:rPr>
        <w:t>The Company or your local employer shall have the power and the right to deduct or withhold,</w:t>
      </w:r>
      <w:r>
        <w:rPr>
          <w:rFonts w:ascii="Arial" w:cs="Arial" w:eastAsia="Arial" w:hAnsi="Arial"/>
          <w:sz w:val="22"/>
          <w:szCs w:val="22"/>
          <w:b w:val="1"/>
          <w:bCs w:val="1"/>
          <w:color w:val="auto"/>
        </w:rPr>
        <w:t xml:space="preserve"> </w:t>
      </w:r>
      <w:r>
        <w:rPr>
          <w:rFonts w:ascii="Arial" w:cs="Arial" w:eastAsia="Arial" w:hAnsi="Arial"/>
          <w:sz w:val="22"/>
          <w:szCs w:val="22"/>
          <w:color w:val="auto"/>
        </w:rPr>
        <w:t>or require you to remit to the Company or to your local employer, prior to any issuance or delivery of Shares on Restricted Stock Units [or Additional Restricted Stock Units], an amount sufficient to satisfy taxes imposed under the laws of any country, state, province, city or other jurisdiction, including but not limited to income taxes, capital gain taxes, transfer taxes, and social security contributions, and National Insurance Contributions, that are required by law to be withheld as determined by the Company or your local employer.</w:t>
      </w:r>
    </w:p>
    <w:p>
      <w:pPr>
        <w:spacing w:after="0" w:line="111" w:lineRule="exact"/>
        <w:rPr>
          <w:rFonts w:ascii="Arial" w:cs="Arial" w:eastAsia="Arial" w:hAnsi="Arial"/>
          <w:sz w:val="22"/>
          <w:szCs w:val="22"/>
          <w:color w:val="auto"/>
        </w:rPr>
      </w:pPr>
    </w:p>
    <w:p>
      <w:pPr>
        <w:jc w:val="both"/>
        <w:ind w:firstLine="8"/>
        <w:spacing w:after="0" w:line="271" w:lineRule="auto"/>
        <w:tabs>
          <w:tab w:leader="none" w:pos="554" w:val="left"/>
        </w:tabs>
        <w:numPr>
          <w:ilvl w:val="0"/>
          <w:numId w:val="256"/>
        </w:numPr>
        <w:rPr>
          <w:rFonts w:ascii="Arial" w:cs="Arial" w:eastAsia="Arial" w:hAnsi="Arial"/>
          <w:sz w:val="22"/>
          <w:szCs w:val="22"/>
          <w:color w:val="auto"/>
        </w:rPr>
      </w:pPr>
      <w:r>
        <w:rPr>
          <w:rFonts w:ascii="Arial" w:cs="Arial" w:eastAsia="Arial" w:hAnsi="Arial"/>
          <w:sz w:val="22"/>
          <w:szCs w:val="22"/>
          <w:b w:val="1"/>
          <w:bCs w:val="1"/>
          <w:color w:val="auto"/>
        </w:rPr>
        <w:t xml:space="preserve">Transfer of Award. </w:t>
      </w:r>
      <w:r>
        <w:rPr>
          <w:rFonts w:ascii="Arial" w:cs="Arial" w:eastAsia="Arial" w:hAnsi="Arial"/>
          <w:sz w:val="22"/>
          <w:szCs w:val="22"/>
          <w:color w:val="auto"/>
        </w:rPr>
        <w:t>You may not transfer the Restricted Stock Units [, Additional Restricted Stock Units] or any</w:t>
      </w:r>
      <w:r>
        <w:rPr>
          <w:rFonts w:ascii="Arial" w:cs="Arial" w:eastAsia="Arial" w:hAnsi="Arial"/>
          <w:sz w:val="22"/>
          <w:szCs w:val="22"/>
          <w:b w:val="1"/>
          <w:bCs w:val="1"/>
          <w:color w:val="auto"/>
        </w:rPr>
        <w:t xml:space="preserve"> </w:t>
      </w:r>
      <w:r>
        <w:rPr>
          <w:rFonts w:ascii="Arial" w:cs="Arial" w:eastAsia="Arial" w:hAnsi="Arial"/>
          <w:sz w:val="22"/>
          <w:szCs w:val="22"/>
          <w:color w:val="auto"/>
        </w:rPr>
        <w:t>interest in such Units except by will or the laws of descent and distribution or except as permitted by the Committee and as specified in the Plan. Any other attempt to dispose of your interest will be null and void.</w:t>
      </w:r>
    </w:p>
    <w:p>
      <w:pPr>
        <w:spacing w:after="0" w:line="101" w:lineRule="exact"/>
        <w:rPr>
          <w:rFonts w:ascii="Arial" w:cs="Arial" w:eastAsia="Arial" w:hAnsi="Arial"/>
          <w:sz w:val="22"/>
          <w:szCs w:val="22"/>
          <w:color w:val="auto"/>
        </w:rPr>
      </w:pPr>
    </w:p>
    <w:p>
      <w:pPr>
        <w:ind w:left="540" w:hanging="532"/>
        <w:spacing w:after="0"/>
        <w:tabs>
          <w:tab w:leader="none" w:pos="540" w:val="left"/>
        </w:tabs>
        <w:numPr>
          <w:ilvl w:val="0"/>
          <w:numId w:val="256"/>
        </w:numPr>
        <w:rPr>
          <w:rFonts w:ascii="Arial" w:cs="Arial" w:eastAsia="Arial" w:hAnsi="Arial"/>
          <w:sz w:val="22"/>
          <w:szCs w:val="22"/>
          <w:color w:val="auto"/>
        </w:rPr>
      </w:pPr>
      <w:r>
        <w:rPr>
          <w:rFonts w:ascii="Arial" w:cs="Arial" w:eastAsia="Arial" w:hAnsi="Arial"/>
          <w:sz w:val="22"/>
          <w:szCs w:val="22"/>
          <w:b w:val="1"/>
          <w:bCs w:val="1"/>
          <w:color w:val="auto"/>
        </w:rPr>
        <w:t>Requirements for and Forfeiture of Award.</w:t>
      </w:r>
    </w:p>
    <w:p>
      <w:pPr>
        <w:spacing w:after="0" w:line="152" w:lineRule="exact"/>
        <w:rPr>
          <w:rFonts w:ascii="Arial" w:cs="Arial" w:eastAsia="Arial" w:hAnsi="Arial"/>
          <w:sz w:val="22"/>
          <w:szCs w:val="22"/>
          <w:color w:val="auto"/>
        </w:rPr>
      </w:pPr>
    </w:p>
    <w:p>
      <w:pPr>
        <w:jc w:val="both"/>
        <w:ind w:firstLine="656"/>
        <w:spacing w:after="0" w:line="260" w:lineRule="auto"/>
        <w:tabs>
          <w:tab w:leader="none" w:pos="1068" w:val="left"/>
        </w:tabs>
        <w:numPr>
          <w:ilvl w:val="1"/>
          <w:numId w:val="256"/>
        </w:numPr>
        <w:rPr>
          <w:rFonts w:ascii="Arial" w:cs="Arial" w:eastAsia="Arial" w:hAnsi="Arial"/>
          <w:sz w:val="22"/>
          <w:szCs w:val="22"/>
          <w:color w:val="auto"/>
        </w:rPr>
      </w:pPr>
      <w:r>
        <w:rPr>
          <w:rFonts w:ascii="Arial" w:cs="Arial" w:eastAsia="Arial" w:hAnsi="Arial"/>
          <w:sz w:val="22"/>
          <w:szCs w:val="22"/>
          <w:b w:val="1"/>
          <w:bCs w:val="1"/>
          <w:color w:val="auto"/>
        </w:rPr>
        <w:t xml:space="preserve">General. </w:t>
      </w:r>
      <w:r>
        <w:rPr>
          <w:rFonts w:ascii="Arial" w:cs="Arial" w:eastAsia="Arial" w:hAnsi="Arial"/>
          <w:sz w:val="22"/>
          <w:szCs w:val="22"/>
          <w:color w:val="auto"/>
        </w:rPr>
        <w:t>The Award is expressly contingent upon you complying with the terms, conditions and definitions</w:t>
      </w:r>
      <w:r>
        <w:rPr>
          <w:rFonts w:ascii="Arial" w:cs="Arial" w:eastAsia="Arial" w:hAnsi="Arial"/>
          <w:sz w:val="22"/>
          <w:szCs w:val="22"/>
          <w:b w:val="1"/>
          <w:bCs w:val="1"/>
          <w:color w:val="auto"/>
        </w:rPr>
        <w:t xml:space="preserve"> </w:t>
      </w:r>
      <w:r>
        <w:rPr>
          <w:rFonts w:ascii="Arial" w:cs="Arial" w:eastAsia="Arial" w:hAnsi="Arial"/>
          <w:sz w:val="22"/>
          <w:szCs w:val="22"/>
          <w:color w:val="auto"/>
        </w:rPr>
        <w:t>contained in this Section 14 and in any other agreement that governs your noncompetition with Honeywell, your nonsolicitation of Honeywell’s employees, customers, suppliers, business partners and vendors, and/or your conduct with respect to Honeywell’s trade secrets and proprietary and confidential information. For purposes of this Section 14, the term “Honeywell” is defined as Honeywell International Inc. (a Delaware corporation having a place of business in Charlotte, North Carolina), its predecessors, designees and successors, as well as its past, present and future operating companies, divisions, subsidiaries, affiliates and other business units, including businesses acquired by purchase of assets, stock, merger or otherwise.</w:t>
      </w:r>
    </w:p>
    <w:p>
      <w:pPr>
        <w:spacing w:after="0" w:line="116" w:lineRule="exact"/>
        <w:rPr>
          <w:rFonts w:ascii="Arial" w:cs="Arial" w:eastAsia="Arial" w:hAnsi="Arial"/>
          <w:sz w:val="22"/>
          <w:szCs w:val="22"/>
          <w:color w:val="auto"/>
        </w:rPr>
      </w:pPr>
    </w:p>
    <w:p>
      <w:pPr>
        <w:ind w:left="1080" w:hanging="424"/>
        <w:spacing w:after="0"/>
        <w:tabs>
          <w:tab w:leader="none" w:pos="1080" w:val="left"/>
        </w:tabs>
        <w:numPr>
          <w:ilvl w:val="1"/>
          <w:numId w:val="256"/>
        </w:numPr>
        <w:rPr>
          <w:rFonts w:ascii="Arial" w:cs="Arial" w:eastAsia="Arial" w:hAnsi="Arial"/>
          <w:sz w:val="22"/>
          <w:szCs w:val="22"/>
          <w:color w:val="auto"/>
        </w:rPr>
      </w:pPr>
      <w:r>
        <w:rPr>
          <w:rFonts w:ascii="Arial" w:cs="Arial" w:eastAsia="Arial" w:hAnsi="Arial"/>
          <w:sz w:val="22"/>
          <w:szCs w:val="22"/>
          <w:b w:val="1"/>
          <w:bCs w:val="1"/>
          <w:color w:val="auto"/>
        </w:rPr>
        <w:t>Remedies.</w:t>
      </w:r>
    </w:p>
    <w:p>
      <w:pPr>
        <w:sectPr>
          <w:pgSz w:w="11900" w:h="16838" w:orient="portrait"/>
          <w:cols w:equalWidth="0" w:num="1">
            <w:col w:w="11240"/>
          </w:cols>
          <w:pgMar w:left="320" w:top="1423" w:right="339" w:bottom="1440" w:gutter="0" w:footer="0" w:header="0"/>
        </w:sectPr>
      </w:pPr>
    </w:p>
    <w:bookmarkStart w:id="160" w:name="page161"/>
    <w:bookmarkEnd w:id="160"/>
    <w:p>
      <w:pPr>
        <w:jc w:val="both"/>
        <w:ind w:firstLine="1304"/>
        <w:spacing w:after="0" w:line="270" w:lineRule="auto"/>
        <w:tabs>
          <w:tab w:leader="none" w:pos="1808" w:val="left"/>
        </w:tabs>
        <w:numPr>
          <w:ilvl w:val="0"/>
          <w:numId w:val="257"/>
        </w:numPr>
        <w:rPr>
          <w:rFonts w:ascii="Arial" w:cs="Arial" w:eastAsia="Arial" w:hAnsi="Arial"/>
          <w:sz w:val="21"/>
          <w:szCs w:val="21"/>
          <w:color w:val="auto"/>
        </w:rPr>
      </w:pPr>
      <w:r>
        <w:rPr>
          <w:rFonts w:ascii="Arial" w:cs="Arial" w:eastAsia="Arial" w:hAnsi="Arial"/>
          <w:sz w:val="21"/>
          <w:szCs w:val="21"/>
          <w:color w:val="auto"/>
        </w:rPr>
        <w:t>You expressly agree and acknowledge that the forfeiture provisions of subsection 14.b.2. of this Agreement shall apply if: (A) you are terminated for Cause (as defined in the Plan) or you voluntarily terminate your employment with less than a 60-day notice period, or (B) from the Grant Date until the date that is twenty-four (24) months after your Termination of Employment for any reason, you (i) enter into an employment, consultation or similar agreement or arrangement (including any arrangement for service as an agent, partner, stockholder, consultant, officer or director) with any entity or person engaged in a business in which Honeywell is engaged if the business is competitive (in the sole judgment of the Honeywell International Inc. Chief Executive Officer (“CEO”)) and the CEO has not approved the agreement or arrangement in writing, or (ii) make any statement, publicly or privately (other than to your spouse and legal advisors), which would be disparaging (as defined below) to Honeywell or its businesses, products, strategies, prospects, condition, or reputation or that of its directors, employees, officers or members; provided, however, that nothing shall preclude you from making any statement in good faith which is required by any applicable law or regulation or the order of a court or other governmental body, or (iii) write or contribute to a book, article or other media publication, whether in written or electronic format, that is in any way descriptive of Honeywell or your career with Honeywell without first submitting a draft thereof, at least thirty (30) days in advance, to the Honeywell International Inc. Senior Vice President and General Counsel, whose judgment about whether such book, article or other media publication is disparaging shall be determinative; or such a book, article or other media publication is published after a determination that it is disparaging; provided, however, that nothing herein shall preclude you from reporting (in good faith) possible violations of federal law or regulation to any governmental agency or entity, including but not limited to, the Department of Justice, the Securities and Exchange Commission, the Congress, and/or any agency Inspector General, or making any other disclosures that are protected under the whistleblower provisions of federal or state law or regulation, or from otherwise making any statement (in good faith) which is required by any applicable law or regulation or the order of a court or other governmental body.</w:t>
      </w:r>
    </w:p>
    <w:p>
      <w:pPr>
        <w:spacing w:after="0" w:line="112" w:lineRule="exact"/>
        <w:rPr>
          <w:sz w:val="20"/>
          <w:szCs w:val="20"/>
          <w:color w:val="auto"/>
        </w:rPr>
      </w:pPr>
    </w:p>
    <w:p>
      <w:pPr>
        <w:jc w:val="both"/>
        <w:spacing w:after="0" w:line="265" w:lineRule="auto"/>
        <w:rPr>
          <w:sz w:val="20"/>
          <w:szCs w:val="20"/>
          <w:color w:val="auto"/>
        </w:rPr>
      </w:pPr>
      <w:r>
        <w:rPr>
          <w:rFonts w:ascii="Arial" w:cs="Arial" w:eastAsia="Arial" w:hAnsi="Arial"/>
          <w:sz w:val="22"/>
          <w:szCs w:val="22"/>
          <w:color w:val="auto"/>
        </w:rPr>
        <w:t>For purposes of this subsection 14.b.1, the term “disparaging” shall mean any statement or representation (whether oral or written and whether true or untrue) which, directly or by implication, tends to create a negative, adverse, or derogatory impression about the subject of the statement or representation or which is intended to harm the reputation of the subject of the statement or representation.</w:t>
      </w:r>
    </w:p>
    <w:p>
      <w:pPr>
        <w:spacing w:after="0" w:line="98" w:lineRule="exact"/>
        <w:rPr>
          <w:sz w:val="20"/>
          <w:szCs w:val="20"/>
          <w:color w:val="auto"/>
        </w:rPr>
      </w:pPr>
    </w:p>
    <w:p>
      <w:pPr>
        <w:jc w:val="both"/>
        <w:ind w:firstLine="1304"/>
        <w:spacing w:after="0" w:line="261" w:lineRule="auto"/>
        <w:tabs>
          <w:tab w:leader="none" w:pos="1806" w:val="left"/>
        </w:tabs>
        <w:numPr>
          <w:ilvl w:val="0"/>
          <w:numId w:val="258"/>
        </w:numPr>
        <w:rPr>
          <w:rFonts w:ascii="Arial" w:cs="Arial" w:eastAsia="Arial" w:hAnsi="Arial"/>
          <w:sz w:val="22"/>
          <w:szCs w:val="22"/>
          <w:color w:val="auto"/>
        </w:rPr>
      </w:pPr>
      <w:r>
        <w:rPr>
          <w:rFonts w:ascii="Arial" w:cs="Arial" w:eastAsia="Arial" w:hAnsi="Arial"/>
          <w:sz w:val="22"/>
          <w:szCs w:val="22"/>
          <w:color w:val="auto"/>
        </w:rPr>
        <w:t>In addition to the relief described in any other agreement that governs your noncompetition with Honeywell, your nonsolicitation of Honeywell’s employees, customers, suppliers, business partners and vendors, and/or your conduct with respect to Honeywell’s trade secrets and proprietary and confidential information, if the CEO determines, in his sole judgment, that you have violated the terms of any such agreement or you have engaged in an act that violates subsection 14.b.1. of this Agreement or you are terminated for Cause (as defined in the Plan) or you voluntarily</w:t>
      </w:r>
    </w:p>
    <w:p>
      <w:pPr>
        <w:sectPr>
          <w:pgSz w:w="11900" w:h="16838" w:orient="portrait"/>
          <w:cols w:equalWidth="0" w:num="1">
            <w:col w:w="11240"/>
          </w:cols>
          <w:pgMar w:left="320" w:top="1423" w:right="339" w:bottom="1440" w:gutter="0" w:footer="0" w:header="0"/>
        </w:sectPr>
      </w:pPr>
    </w:p>
    <w:bookmarkStart w:id="161" w:name="page162"/>
    <w:bookmarkEnd w:id="161"/>
    <w:p>
      <w:pPr>
        <w:jc w:val="both"/>
        <w:spacing w:after="0" w:line="259" w:lineRule="auto"/>
        <w:rPr>
          <w:sz w:val="20"/>
          <w:szCs w:val="20"/>
          <w:color w:val="auto"/>
        </w:rPr>
      </w:pPr>
      <w:r>
        <w:rPr>
          <w:rFonts w:ascii="Arial" w:cs="Arial" w:eastAsia="Arial" w:hAnsi="Arial"/>
          <w:sz w:val="22"/>
          <w:szCs w:val="22"/>
          <w:color w:val="auto"/>
        </w:rPr>
        <w:t>terminate your employment with less than a 60-day notice period, (i) any Restricted Stock Units [and Additional Restricted Stock Units] that have not vested under this Agreement shall immediately be cancelled, and you shall forfeit any rights you have with respect to such Units as of the date of the CEO’s determination or the date of your Termination of Employment for Cause or voluntary Termination of Employment, as applicable, and (ii) you shall immediately deliver to the Company Shares equal in value to the Restricted Stock Units [and Additional Restricted Stock Units] you received during the period beginning twelve (12) months prior to your Termination of Employment and ending on (x) the date of the CEO’s determination in the case of a violation other than for a Termination of Employment for Cause or voluntary termination without sufficient notice, or (y) the date of your Termination of Employment in the case of a Termination of Employment for Cause or voluntary termination without sufficient notice, as applicable.</w:t>
      </w:r>
    </w:p>
    <w:p>
      <w:pPr>
        <w:spacing w:after="0" w:line="119" w:lineRule="exact"/>
        <w:rPr>
          <w:sz w:val="20"/>
          <w:szCs w:val="20"/>
          <w:color w:val="auto"/>
        </w:rPr>
      </w:pPr>
    </w:p>
    <w:p>
      <w:pPr>
        <w:jc w:val="both"/>
        <w:ind w:firstLine="1304"/>
        <w:spacing w:after="0" w:line="265" w:lineRule="auto"/>
        <w:tabs>
          <w:tab w:leader="none" w:pos="1773" w:val="left"/>
        </w:tabs>
        <w:numPr>
          <w:ilvl w:val="1"/>
          <w:numId w:val="259"/>
        </w:numPr>
        <w:rPr>
          <w:rFonts w:ascii="Arial" w:cs="Arial" w:eastAsia="Arial" w:hAnsi="Arial"/>
          <w:sz w:val="22"/>
          <w:szCs w:val="22"/>
          <w:color w:val="auto"/>
        </w:rPr>
      </w:pPr>
      <w:r>
        <w:rPr>
          <w:rFonts w:ascii="Arial" w:cs="Arial" w:eastAsia="Arial" w:hAnsi="Arial"/>
          <w:sz w:val="22"/>
          <w:szCs w:val="22"/>
          <w:color w:val="auto"/>
        </w:rPr>
        <w:t>Notwithstanding anything in the Plan or this Agreement to the contrary, you acknowledge that the Company may be entitled or required by law, Company policy or the requirements of an exchange on which the Shares are listed for trading, to recoup compensation paid to you pursuant to the Plan, and you agree to comply with any Company request or demand for recoupment.</w:t>
      </w:r>
    </w:p>
    <w:p>
      <w:pPr>
        <w:spacing w:after="0" w:line="95" w:lineRule="exact"/>
        <w:rPr>
          <w:rFonts w:ascii="Arial" w:cs="Arial" w:eastAsia="Arial" w:hAnsi="Arial"/>
          <w:sz w:val="22"/>
          <w:szCs w:val="22"/>
          <w:color w:val="auto"/>
        </w:rPr>
      </w:pPr>
    </w:p>
    <w:p>
      <w:pPr>
        <w:jc w:val="both"/>
        <w:ind w:firstLine="8"/>
        <w:spacing w:after="0" w:line="275" w:lineRule="auto"/>
        <w:tabs>
          <w:tab w:leader="none" w:pos="689" w:val="left"/>
        </w:tabs>
        <w:numPr>
          <w:ilvl w:val="0"/>
          <w:numId w:val="260"/>
        </w:numPr>
        <w:rPr>
          <w:rFonts w:ascii="Arial" w:cs="Arial" w:eastAsia="Arial" w:hAnsi="Arial"/>
          <w:sz w:val="21"/>
          <w:szCs w:val="21"/>
          <w:color w:val="auto"/>
        </w:rPr>
      </w:pPr>
      <w:r>
        <w:rPr>
          <w:rFonts w:ascii="Arial" w:cs="Arial" w:eastAsia="Arial" w:hAnsi="Arial"/>
          <w:sz w:val="21"/>
          <w:szCs w:val="21"/>
          <w:b w:val="1"/>
          <w:bCs w:val="1"/>
          <w:color w:val="auto"/>
        </w:rPr>
        <w:t xml:space="preserve">Restrictions on Payment of Shares. </w:t>
      </w:r>
      <w:r>
        <w:rPr>
          <w:rFonts w:ascii="Arial" w:cs="Arial" w:eastAsia="Arial" w:hAnsi="Arial"/>
          <w:sz w:val="21"/>
          <w:szCs w:val="21"/>
          <w:color w:val="auto"/>
        </w:rPr>
        <w:t>Payment of Shares for your Restricted Stock Units [and Additional</w:t>
      </w:r>
      <w:r>
        <w:rPr>
          <w:rFonts w:ascii="Arial" w:cs="Arial" w:eastAsia="Arial" w:hAnsi="Arial"/>
          <w:sz w:val="21"/>
          <w:szCs w:val="21"/>
          <w:b w:val="1"/>
          <w:bCs w:val="1"/>
          <w:color w:val="auto"/>
        </w:rPr>
        <w:t xml:space="preserve"> </w:t>
      </w:r>
      <w:r>
        <w:rPr>
          <w:rFonts w:ascii="Arial" w:cs="Arial" w:eastAsia="Arial" w:hAnsi="Arial"/>
          <w:sz w:val="21"/>
          <w:szCs w:val="21"/>
          <w:color w:val="auto"/>
        </w:rPr>
        <w:t>Restricted Stock Units] is subject to the conditions that, to the extent required at the time of exercise, (i) the Shares underlying the Restricted Stock Units [and Additional Restricted Stock Units] shall be duly listed, upon official notice of redemption, upon The Nasdaq Stock Market LLC (“Nasdaq”), and (ii) a Registration Statement under the Securities Act of 1933 with respect to the Shares shall be effective. The Company shall not be required to deliver any Common Stock until all applicable federal and state laws and regulations have been complied with and all legal matters in connection with the issuance and delivery of the Shares have been approved by counsel for the Company.</w:t>
      </w:r>
    </w:p>
    <w:p>
      <w:pPr>
        <w:spacing w:after="0" w:line="101" w:lineRule="exact"/>
        <w:rPr>
          <w:rFonts w:ascii="Arial" w:cs="Arial" w:eastAsia="Arial" w:hAnsi="Arial"/>
          <w:sz w:val="21"/>
          <w:szCs w:val="21"/>
          <w:color w:val="auto"/>
        </w:rPr>
      </w:pPr>
    </w:p>
    <w:p>
      <w:pPr>
        <w:ind w:firstLine="8"/>
        <w:spacing w:after="0" w:line="287" w:lineRule="auto"/>
        <w:tabs>
          <w:tab w:leader="none" w:pos="648" w:val="left"/>
        </w:tabs>
        <w:numPr>
          <w:ilvl w:val="0"/>
          <w:numId w:val="260"/>
        </w:numPr>
        <w:rPr>
          <w:rFonts w:ascii="Arial" w:cs="Arial" w:eastAsia="Arial" w:hAnsi="Arial"/>
          <w:sz w:val="22"/>
          <w:szCs w:val="22"/>
          <w:color w:val="auto"/>
        </w:rPr>
      </w:pPr>
      <w:r>
        <w:rPr>
          <w:rFonts w:ascii="Arial" w:cs="Arial" w:eastAsia="Arial" w:hAnsi="Arial"/>
          <w:sz w:val="22"/>
          <w:szCs w:val="22"/>
          <w:b w:val="1"/>
          <w:bCs w:val="1"/>
          <w:color w:val="auto"/>
        </w:rPr>
        <w:t xml:space="preserve">Adjustments. </w:t>
      </w:r>
      <w:r>
        <w:rPr>
          <w:rFonts w:ascii="Arial" w:cs="Arial" w:eastAsia="Arial" w:hAnsi="Arial"/>
          <w:sz w:val="22"/>
          <w:szCs w:val="22"/>
          <w:color w:val="auto"/>
        </w:rPr>
        <w:t>Any adjustments to the Restricted Stock Units [and Additional Restricted Stock Units] will be</w:t>
      </w:r>
      <w:r>
        <w:rPr>
          <w:rFonts w:ascii="Arial" w:cs="Arial" w:eastAsia="Arial" w:hAnsi="Arial"/>
          <w:sz w:val="22"/>
          <w:szCs w:val="22"/>
          <w:b w:val="1"/>
          <w:bCs w:val="1"/>
          <w:color w:val="auto"/>
        </w:rPr>
        <w:t xml:space="preserve"> </w:t>
      </w:r>
      <w:r>
        <w:rPr>
          <w:rFonts w:ascii="Arial" w:cs="Arial" w:eastAsia="Arial" w:hAnsi="Arial"/>
          <w:sz w:val="22"/>
          <w:szCs w:val="22"/>
          <w:color w:val="auto"/>
        </w:rPr>
        <w:t>governed by Section 5.3 of the Plan.</w:t>
      </w:r>
    </w:p>
    <w:p>
      <w:pPr>
        <w:spacing w:after="0" w:line="83" w:lineRule="exact"/>
        <w:rPr>
          <w:rFonts w:ascii="Arial" w:cs="Arial" w:eastAsia="Arial" w:hAnsi="Arial"/>
          <w:sz w:val="22"/>
          <w:szCs w:val="22"/>
          <w:color w:val="auto"/>
        </w:rPr>
      </w:pPr>
    </w:p>
    <w:p>
      <w:pPr>
        <w:jc w:val="both"/>
        <w:ind w:firstLine="8"/>
        <w:spacing w:after="0" w:line="262" w:lineRule="auto"/>
        <w:tabs>
          <w:tab w:leader="none" w:pos="608" w:val="left"/>
        </w:tabs>
        <w:numPr>
          <w:ilvl w:val="0"/>
          <w:numId w:val="260"/>
        </w:numPr>
        <w:rPr>
          <w:rFonts w:ascii="Arial" w:cs="Arial" w:eastAsia="Arial" w:hAnsi="Arial"/>
          <w:sz w:val="22"/>
          <w:szCs w:val="22"/>
          <w:color w:val="auto"/>
        </w:rPr>
      </w:pPr>
      <w:r>
        <w:rPr>
          <w:rFonts w:ascii="Arial" w:cs="Arial" w:eastAsia="Arial" w:hAnsi="Arial"/>
          <w:sz w:val="22"/>
          <w:szCs w:val="22"/>
          <w:b w:val="1"/>
          <w:bCs w:val="1"/>
          <w:color w:val="auto"/>
        </w:rPr>
        <w:t xml:space="preserve">Disposition of Securities. </w:t>
      </w:r>
      <w:r>
        <w:rPr>
          <w:rFonts w:ascii="Arial" w:cs="Arial" w:eastAsia="Arial" w:hAnsi="Arial"/>
          <w:sz w:val="22"/>
          <w:szCs w:val="22"/>
          <w:color w:val="auto"/>
        </w:rPr>
        <w:t>By accepting the Award, you acknowledge that you have read and understand (i)</w:t>
      </w:r>
      <w:r>
        <w:rPr>
          <w:rFonts w:ascii="Arial" w:cs="Arial" w:eastAsia="Arial" w:hAnsi="Arial"/>
          <w:sz w:val="22"/>
          <w:szCs w:val="22"/>
          <w:b w:val="1"/>
          <w:bCs w:val="1"/>
          <w:color w:val="auto"/>
        </w:rPr>
        <w:t xml:space="preserve"> </w:t>
      </w:r>
      <w:r>
        <w:rPr>
          <w:rFonts w:ascii="Arial" w:cs="Arial" w:eastAsia="Arial" w:hAnsi="Arial"/>
          <w:sz w:val="22"/>
          <w:szCs w:val="22"/>
          <w:color w:val="auto"/>
        </w:rPr>
        <w:t>the Company’s policy, and are aware of and understand your obligations under applicable securities laws in respect of trading in the Company’s securities, and (ii) the Company’s stock ownership guidelines as they apply to this Award. The Company shall have the right to recover, or receive reimbursement for, any compensation or profit you realize on the disposition of Shares received for Restricted Stock Units [or Additional Restricted Stock Units] to the extent that the Company has a right of recovery or reimbursement under applicable securities laws.</w:t>
      </w:r>
    </w:p>
    <w:p>
      <w:pPr>
        <w:spacing w:after="0" w:line="98" w:lineRule="exact"/>
        <w:rPr>
          <w:rFonts w:ascii="Arial" w:cs="Arial" w:eastAsia="Arial" w:hAnsi="Arial"/>
          <w:sz w:val="22"/>
          <w:szCs w:val="22"/>
          <w:color w:val="auto"/>
        </w:rPr>
      </w:pPr>
    </w:p>
    <w:p>
      <w:pPr>
        <w:jc w:val="both"/>
        <w:ind w:firstLine="8"/>
        <w:spacing w:after="0" w:line="271" w:lineRule="auto"/>
        <w:tabs>
          <w:tab w:leader="none" w:pos="662" w:val="left"/>
        </w:tabs>
        <w:numPr>
          <w:ilvl w:val="0"/>
          <w:numId w:val="260"/>
        </w:numPr>
        <w:rPr>
          <w:rFonts w:ascii="Arial" w:cs="Arial" w:eastAsia="Arial" w:hAnsi="Arial"/>
          <w:sz w:val="22"/>
          <w:szCs w:val="22"/>
          <w:color w:val="auto"/>
        </w:rPr>
      </w:pPr>
      <w:r>
        <w:rPr>
          <w:rFonts w:ascii="Arial" w:cs="Arial" w:eastAsia="Arial" w:hAnsi="Arial"/>
          <w:sz w:val="22"/>
          <w:szCs w:val="22"/>
          <w:b w:val="1"/>
          <w:bCs w:val="1"/>
          <w:color w:val="auto"/>
        </w:rPr>
        <w:t xml:space="preserve">Plan Terms Govern. </w:t>
      </w:r>
      <w:r>
        <w:rPr>
          <w:rFonts w:ascii="Arial" w:cs="Arial" w:eastAsia="Arial" w:hAnsi="Arial"/>
          <w:sz w:val="22"/>
          <w:szCs w:val="22"/>
          <w:color w:val="auto"/>
        </w:rPr>
        <w:t>The vesting and redemption of Restricted Stock Units [or Additional Restricted Stock</w:t>
      </w:r>
      <w:r>
        <w:rPr>
          <w:rFonts w:ascii="Arial" w:cs="Arial" w:eastAsia="Arial" w:hAnsi="Arial"/>
          <w:sz w:val="22"/>
          <w:szCs w:val="22"/>
          <w:b w:val="1"/>
          <w:bCs w:val="1"/>
          <w:color w:val="auto"/>
        </w:rPr>
        <w:t xml:space="preserve"> </w:t>
      </w:r>
      <w:r>
        <w:rPr>
          <w:rFonts w:ascii="Arial" w:cs="Arial" w:eastAsia="Arial" w:hAnsi="Arial"/>
          <w:sz w:val="22"/>
          <w:szCs w:val="22"/>
          <w:color w:val="auto"/>
        </w:rPr>
        <w:t>Units], the disposition of any Shares received for Restricted Stock Units [or Additional Restricted Stock Units], the treatment of gain on the</w:t>
      </w:r>
    </w:p>
    <w:p>
      <w:pPr>
        <w:sectPr>
          <w:pgSz w:w="11900" w:h="16838" w:orient="portrait"/>
          <w:cols w:equalWidth="0" w:num="1">
            <w:col w:w="11240"/>
          </w:cols>
          <w:pgMar w:left="320" w:top="1423" w:right="339" w:bottom="1440" w:gutter="0" w:footer="0" w:header="0"/>
        </w:sectPr>
      </w:pPr>
    </w:p>
    <w:bookmarkStart w:id="162" w:name="page163"/>
    <w:bookmarkEnd w:id="162"/>
    <w:p>
      <w:pPr>
        <w:jc w:val="both"/>
        <w:spacing w:after="0" w:line="259" w:lineRule="auto"/>
        <w:rPr>
          <w:sz w:val="20"/>
          <w:szCs w:val="20"/>
          <w:color w:val="auto"/>
        </w:rPr>
      </w:pPr>
      <w:r>
        <w:rPr>
          <w:rFonts w:ascii="Arial" w:cs="Arial" w:eastAsia="Arial" w:hAnsi="Arial"/>
          <w:sz w:val="22"/>
          <w:szCs w:val="22"/>
          <w:color w:val="auto"/>
        </w:rPr>
        <w:t>disposition of these Shares, and the treatment of Dividend Equivalents are subject to the provisions of the Plan and any rules that the Committee may prescribe. The Plan document, as may be amended from time to time, is incorporated into this Agreement. Capitalized terms used in this Agreement have the meaning set forth in the Plan, unless otherwise stated in this Agreement. In the event of any conflict between the terms of the Plan and the terms of this Agreement, the Plan shall control. By accepting the Award, you acknowledge that the Plan and the Plan prospectus, as in effect on the date of this Agreement, have been made available to you for your review. Without limiting the generality of the foregoing, you agree that all determinations made by the Committee of Total Shareholder Return and the Company’s ranking within the Compensation Peer Group shall be final, binding and conclusive on you in accordance with Article III of the Plan.</w:t>
      </w:r>
    </w:p>
    <w:p>
      <w:pPr>
        <w:spacing w:after="0" w:line="120" w:lineRule="exact"/>
        <w:rPr>
          <w:sz w:val="20"/>
          <w:szCs w:val="20"/>
          <w:color w:val="auto"/>
        </w:rPr>
      </w:pPr>
    </w:p>
    <w:p>
      <w:pPr>
        <w:ind w:left="540" w:hanging="532"/>
        <w:spacing w:after="0"/>
        <w:tabs>
          <w:tab w:leader="none" w:pos="540" w:val="left"/>
        </w:tabs>
        <w:numPr>
          <w:ilvl w:val="0"/>
          <w:numId w:val="261"/>
        </w:numPr>
        <w:rPr>
          <w:rFonts w:ascii="Arial" w:cs="Arial" w:eastAsia="Arial" w:hAnsi="Arial"/>
          <w:sz w:val="22"/>
          <w:szCs w:val="22"/>
          <w:color w:val="auto"/>
        </w:rPr>
      </w:pPr>
      <w:r>
        <w:rPr>
          <w:rFonts w:ascii="Arial" w:cs="Arial" w:eastAsia="Arial" w:hAnsi="Arial"/>
          <w:sz w:val="22"/>
          <w:szCs w:val="22"/>
          <w:b w:val="1"/>
          <w:bCs w:val="1"/>
          <w:color w:val="auto"/>
        </w:rPr>
        <w:t>Personal Data.</w:t>
      </w:r>
    </w:p>
    <w:p>
      <w:pPr>
        <w:spacing w:after="0" w:line="154" w:lineRule="exact"/>
        <w:rPr>
          <w:rFonts w:ascii="Arial" w:cs="Arial" w:eastAsia="Arial" w:hAnsi="Arial"/>
          <w:sz w:val="22"/>
          <w:szCs w:val="22"/>
          <w:color w:val="auto"/>
        </w:rPr>
      </w:pPr>
    </w:p>
    <w:p>
      <w:pPr>
        <w:jc w:val="both"/>
        <w:ind w:firstLine="656"/>
        <w:spacing w:after="0" w:line="270" w:lineRule="auto"/>
        <w:tabs>
          <w:tab w:leader="none" w:pos="1233" w:val="left"/>
        </w:tabs>
        <w:numPr>
          <w:ilvl w:val="1"/>
          <w:numId w:val="261"/>
        </w:numPr>
        <w:rPr>
          <w:rFonts w:ascii="Arial" w:cs="Arial" w:eastAsia="Arial" w:hAnsi="Arial"/>
          <w:sz w:val="22"/>
          <w:szCs w:val="22"/>
          <w:color w:val="auto"/>
        </w:rPr>
      </w:pPr>
      <w:r>
        <w:rPr>
          <w:rFonts w:ascii="Arial" w:cs="Arial" w:eastAsia="Arial" w:hAnsi="Arial"/>
          <w:sz w:val="22"/>
          <w:szCs w:val="22"/>
          <w:color w:val="auto"/>
        </w:rPr>
        <w:t>By entering into this Agreement, and as a condition of the grant of the Restricted Stock Units, you expressly consent to the collection, use, and transfer of personal data as described in this Section to the full extent permitted by and in full compliance with applicable law.</w:t>
      </w:r>
    </w:p>
    <w:p>
      <w:pPr>
        <w:spacing w:after="0" w:line="104" w:lineRule="exact"/>
        <w:rPr>
          <w:rFonts w:ascii="Arial" w:cs="Arial" w:eastAsia="Arial" w:hAnsi="Arial"/>
          <w:sz w:val="22"/>
          <w:szCs w:val="22"/>
          <w:color w:val="auto"/>
        </w:rPr>
      </w:pPr>
    </w:p>
    <w:p>
      <w:pPr>
        <w:jc w:val="both"/>
        <w:ind w:firstLine="656"/>
        <w:spacing w:after="0" w:line="263" w:lineRule="auto"/>
        <w:tabs>
          <w:tab w:leader="none" w:pos="1186" w:val="left"/>
        </w:tabs>
        <w:numPr>
          <w:ilvl w:val="1"/>
          <w:numId w:val="261"/>
        </w:numPr>
        <w:rPr>
          <w:rFonts w:ascii="Arial" w:cs="Arial" w:eastAsia="Arial" w:hAnsi="Arial"/>
          <w:sz w:val="22"/>
          <w:szCs w:val="22"/>
          <w:color w:val="auto"/>
        </w:rPr>
      </w:pPr>
      <w:r>
        <w:rPr>
          <w:rFonts w:ascii="Arial" w:cs="Arial" w:eastAsia="Arial" w:hAnsi="Arial"/>
          <w:sz w:val="22"/>
          <w:szCs w:val="22"/>
          <w:color w:val="auto"/>
        </w:rPr>
        <w:t>You understand that your local employer holds, by means of an automated data file, certain personal information about you, including, but not limited to, name, home address and telephone number, date of birth, social insurance number, salary, nationality, job title, any shares or directorships held in the Company, details of all Restricted Stock Units or other entitlement to shares awarded, canceled, exercised, vested, unvested, or outstanding in your favor, for the purpose of managing and administering the Plan (“Data”).</w:t>
      </w:r>
    </w:p>
    <w:p>
      <w:pPr>
        <w:spacing w:after="0" w:line="112" w:lineRule="exact"/>
        <w:rPr>
          <w:rFonts w:ascii="Arial" w:cs="Arial" w:eastAsia="Arial" w:hAnsi="Arial"/>
          <w:sz w:val="22"/>
          <w:szCs w:val="22"/>
          <w:color w:val="auto"/>
        </w:rPr>
      </w:pPr>
    </w:p>
    <w:p>
      <w:pPr>
        <w:jc w:val="both"/>
        <w:ind w:firstLine="656"/>
        <w:spacing w:after="0" w:line="265" w:lineRule="auto"/>
        <w:tabs>
          <w:tab w:leader="none" w:pos="1153" w:val="left"/>
        </w:tabs>
        <w:numPr>
          <w:ilvl w:val="1"/>
          <w:numId w:val="261"/>
        </w:numPr>
        <w:rPr>
          <w:rFonts w:ascii="Arial" w:cs="Arial" w:eastAsia="Arial" w:hAnsi="Arial"/>
          <w:sz w:val="22"/>
          <w:szCs w:val="22"/>
          <w:color w:val="auto"/>
        </w:rPr>
      </w:pPr>
      <w:r>
        <w:rPr>
          <w:rFonts w:ascii="Arial" w:cs="Arial" w:eastAsia="Arial" w:hAnsi="Arial"/>
          <w:sz w:val="22"/>
          <w:szCs w:val="22"/>
          <w:color w:val="auto"/>
        </w:rPr>
        <w:t>You further understand that part or all of your Data may be also held by the Company or its Affiliates, pursuant to a transfer made in the past with your consent, in respect of any previous grant of Restricted Stock Units or awards, which was made for the same purposes of managing and administering of previous award/incentive plans, or for other purposes.</w:t>
      </w:r>
    </w:p>
    <w:p>
      <w:pPr>
        <w:spacing w:after="0" w:line="97" w:lineRule="exact"/>
        <w:rPr>
          <w:rFonts w:ascii="Arial" w:cs="Arial" w:eastAsia="Arial" w:hAnsi="Arial"/>
          <w:sz w:val="22"/>
          <w:szCs w:val="22"/>
          <w:color w:val="auto"/>
        </w:rPr>
      </w:pPr>
    </w:p>
    <w:p>
      <w:pPr>
        <w:jc w:val="both"/>
        <w:ind w:firstLine="656"/>
        <w:spacing w:after="0" w:line="263" w:lineRule="auto"/>
        <w:tabs>
          <w:tab w:leader="none" w:pos="1113" w:val="left"/>
        </w:tabs>
        <w:numPr>
          <w:ilvl w:val="1"/>
          <w:numId w:val="261"/>
        </w:numPr>
        <w:rPr>
          <w:rFonts w:ascii="Arial" w:cs="Arial" w:eastAsia="Arial" w:hAnsi="Arial"/>
          <w:sz w:val="22"/>
          <w:szCs w:val="22"/>
          <w:color w:val="auto"/>
        </w:rPr>
      </w:pPr>
      <w:r>
        <w:rPr>
          <w:rFonts w:ascii="Arial" w:cs="Arial" w:eastAsia="Arial" w:hAnsi="Arial"/>
          <w:sz w:val="22"/>
          <w:szCs w:val="22"/>
          <w:color w:val="auto"/>
        </w:rPr>
        <w:t>You further understand that your local employer will transfer Data to the Company or its Affiliates among themselves as necessary for the purposes of implementation, administration, and management of your participation in the Plan, and that the Company or its Affiliates may transfer data among themselves, and/or each, in turn, further transfer Data to any third parties assisting the Company in the implementation, administration, and management of the Plan (“Data Recipients”).</w:t>
      </w:r>
    </w:p>
    <w:p>
      <w:pPr>
        <w:spacing w:after="0" w:line="112" w:lineRule="exact"/>
        <w:rPr>
          <w:rFonts w:ascii="Arial" w:cs="Arial" w:eastAsia="Arial" w:hAnsi="Arial"/>
          <w:sz w:val="22"/>
          <w:szCs w:val="22"/>
          <w:color w:val="auto"/>
        </w:rPr>
      </w:pPr>
    </w:p>
    <w:p>
      <w:pPr>
        <w:jc w:val="both"/>
        <w:ind w:firstLine="656"/>
        <w:spacing w:after="0" w:line="265" w:lineRule="auto"/>
        <w:tabs>
          <w:tab w:leader="none" w:pos="1071" w:val="left"/>
        </w:tabs>
        <w:numPr>
          <w:ilvl w:val="1"/>
          <w:numId w:val="261"/>
        </w:numPr>
        <w:rPr>
          <w:rFonts w:ascii="Arial" w:cs="Arial" w:eastAsia="Arial" w:hAnsi="Arial"/>
          <w:sz w:val="22"/>
          <w:szCs w:val="22"/>
          <w:color w:val="auto"/>
        </w:rPr>
      </w:pPr>
      <w:r>
        <w:rPr>
          <w:rFonts w:ascii="Arial" w:cs="Arial" w:eastAsia="Arial" w:hAnsi="Arial"/>
          <w:sz w:val="22"/>
          <w:szCs w:val="22"/>
          <w:color w:val="auto"/>
        </w:rPr>
        <w:t>You understand that the Company or its Affiliates, as well as the Data Recipients, are or may be located in your country of residence or elsewhere, such as the United States. You authorize the Company or its Affiliates, as well as the Data Recipients, to receive, possess, use, retain, and transfer Data in electronic or other form, for the purposes of implementing, administering, and managing your participation</w:t>
      </w:r>
    </w:p>
    <w:p>
      <w:pPr>
        <w:sectPr>
          <w:pgSz w:w="11900" w:h="16838" w:orient="portrait"/>
          <w:cols w:equalWidth="0" w:num="1">
            <w:col w:w="11240"/>
          </w:cols>
          <w:pgMar w:left="320" w:top="1423" w:right="339" w:bottom="1440" w:gutter="0" w:footer="0" w:header="0"/>
        </w:sectPr>
      </w:pPr>
    </w:p>
    <w:bookmarkStart w:id="163" w:name="page164"/>
    <w:bookmarkEnd w:id="163"/>
    <w:p>
      <w:pPr>
        <w:spacing w:after="0" w:line="285" w:lineRule="auto"/>
        <w:rPr>
          <w:sz w:val="20"/>
          <w:szCs w:val="20"/>
          <w:color w:val="auto"/>
        </w:rPr>
      </w:pPr>
      <w:r>
        <w:rPr>
          <w:rFonts w:ascii="Arial" w:cs="Arial" w:eastAsia="Arial" w:hAnsi="Arial"/>
          <w:sz w:val="22"/>
          <w:szCs w:val="22"/>
          <w:color w:val="auto"/>
        </w:rPr>
        <w:t>in the Plan, including any transfer of such Data, as may be required for the administration of the Plan and/or the subsequent holding of Shares on your behalf, to a broker or third party with whom the Shares may be deposited.</w:t>
      </w:r>
    </w:p>
    <w:p>
      <w:pPr>
        <w:spacing w:after="0" w:line="88" w:lineRule="exact"/>
        <w:rPr>
          <w:sz w:val="20"/>
          <w:szCs w:val="20"/>
          <w:color w:val="auto"/>
        </w:rPr>
      </w:pPr>
    </w:p>
    <w:p>
      <w:pPr>
        <w:jc w:val="both"/>
        <w:ind w:firstLine="656"/>
        <w:spacing w:after="0" w:line="265" w:lineRule="auto"/>
        <w:tabs>
          <w:tab w:leader="none" w:pos="1035" w:val="left"/>
        </w:tabs>
        <w:numPr>
          <w:ilvl w:val="1"/>
          <w:numId w:val="262"/>
        </w:numPr>
        <w:rPr>
          <w:rFonts w:ascii="Arial" w:cs="Arial" w:eastAsia="Arial" w:hAnsi="Arial"/>
          <w:sz w:val="22"/>
          <w:szCs w:val="22"/>
          <w:color w:val="auto"/>
        </w:rPr>
      </w:pPr>
      <w:r>
        <w:rPr>
          <w:rFonts w:ascii="Arial" w:cs="Arial" w:eastAsia="Arial" w:hAnsi="Arial"/>
          <w:sz w:val="22"/>
          <w:szCs w:val="22"/>
          <w:color w:val="auto"/>
        </w:rPr>
        <w:t>You understand that you may show your opposition to the processing and transfer of your Data, and, may at any time, review the Data, request that any necessary amendments be made to it, or withdraw your consent herein in writing by contacting the Company. You further understand that withdrawing consent may affect your ability to participate in the Plan.</w:t>
      </w:r>
    </w:p>
    <w:p>
      <w:pPr>
        <w:spacing w:after="0" w:line="97" w:lineRule="exact"/>
        <w:rPr>
          <w:rFonts w:ascii="Arial" w:cs="Arial" w:eastAsia="Arial" w:hAnsi="Arial"/>
          <w:sz w:val="22"/>
          <w:szCs w:val="22"/>
          <w:color w:val="auto"/>
        </w:rPr>
      </w:pPr>
    </w:p>
    <w:p>
      <w:pPr>
        <w:jc w:val="both"/>
        <w:ind w:firstLine="656"/>
        <w:spacing w:after="0" w:line="278" w:lineRule="auto"/>
        <w:tabs>
          <w:tab w:leader="none" w:pos="1094" w:val="left"/>
        </w:tabs>
        <w:numPr>
          <w:ilvl w:val="1"/>
          <w:numId w:val="262"/>
        </w:numPr>
        <w:rPr>
          <w:rFonts w:ascii="Arial" w:cs="Arial" w:eastAsia="Arial" w:hAnsi="Arial"/>
          <w:sz w:val="21"/>
          <w:szCs w:val="21"/>
          <w:color w:val="auto"/>
        </w:rPr>
      </w:pPr>
      <w:r>
        <w:rPr>
          <w:rFonts w:ascii="Arial" w:cs="Arial" w:eastAsia="Arial" w:hAnsi="Arial"/>
          <w:sz w:val="21"/>
          <w:szCs w:val="21"/>
          <w:color w:val="auto"/>
        </w:rPr>
        <w:t>You further understand the Company or the Affiliate(s) for which you act as a director or officer may need your Data to fulfill the applicable statutory requirements or prepare annual financial statements. You hereby consent that the Company or Affiliate(s) may transfer the Data among themselves, and/or each, in turn, further transfer Data to any third parties assisting the Company or the Affiliate(s) in fulfilling the applicable statutory requirements or preparing annual financial statements whether during your employment or after your Termination of Employment.</w:t>
      </w:r>
    </w:p>
    <w:p>
      <w:pPr>
        <w:spacing w:after="0" w:line="97" w:lineRule="exact"/>
        <w:rPr>
          <w:rFonts w:ascii="Arial" w:cs="Arial" w:eastAsia="Arial" w:hAnsi="Arial"/>
          <w:sz w:val="21"/>
          <w:szCs w:val="21"/>
          <w:color w:val="auto"/>
        </w:rPr>
      </w:pPr>
    </w:p>
    <w:p>
      <w:pPr>
        <w:ind w:firstLine="8"/>
        <w:spacing w:after="0" w:line="287" w:lineRule="auto"/>
        <w:tabs>
          <w:tab w:leader="none" w:pos="635" w:val="left"/>
        </w:tabs>
        <w:numPr>
          <w:ilvl w:val="0"/>
          <w:numId w:val="263"/>
        </w:numPr>
        <w:rPr>
          <w:rFonts w:ascii="Arial" w:cs="Arial" w:eastAsia="Arial" w:hAnsi="Arial"/>
          <w:sz w:val="22"/>
          <w:szCs w:val="22"/>
          <w:color w:val="auto"/>
        </w:rPr>
      </w:pPr>
      <w:r>
        <w:rPr>
          <w:rFonts w:ascii="Arial" w:cs="Arial" w:eastAsia="Arial" w:hAnsi="Arial"/>
          <w:sz w:val="22"/>
          <w:szCs w:val="22"/>
          <w:b w:val="1"/>
          <w:bCs w:val="1"/>
          <w:color w:val="auto"/>
        </w:rPr>
        <w:t xml:space="preserve">Discretionary Nature and Acceptance of Award. </w:t>
      </w:r>
      <w:r>
        <w:rPr>
          <w:rFonts w:ascii="Arial" w:cs="Arial" w:eastAsia="Arial" w:hAnsi="Arial"/>
          <w:sz w:val="22"/>
          <w:szCs w:val="22"/>
          <w:color w:val="auto"/>
        </w:rPr>
        <w:t>By accepting this Award, you agree to be bound by the</w:t>
      </w:r>
      <w:r>
        <w:rPr>
          <w:rFonts w:ascii="Arial" w:cs="Arial" w:eastAsia="Arial" w:hAnsi="Arial"/>
          <w:sz w:val="22"/>
          <w:szCs w:val="22"/>
          <w:b w:val="1"/>
          <w:bCs w:val="1"/>
          <w:color w:val="auto"/>
        </w:rPr>
        <w:t xml:space="preserve"> </w:t>
      </w:r>
      <w:r>
        <w:rPr>
          <w:rFonts w:ascii="Arial" w:cs="Arial" w:eastAsia="Arial" w:hAnsi="Arial"/>
          <w:sz w:val="22"/>
          <w:szCs w:val="22"/>
          <w:color w:val="auto"/>
        </w:rPr>
        <w:t>terms of this Agreement and acknowledge that:</w:t>
      </w:r>
    </w:p>
    <w:p>
      <w:pPr>
        <w:spacing w:after="0" w:line="85" w:lineRule="exact"/>
        <w:rPr>
          <w:rFonts w:ascii="Arial" w:cs="Arial" w:eastAsia="Arial" w:hAnsi="Arial"/>
          <w:sz w:val="22"/>
          <w:szCs w:val="22"/>
          <w:color w:val="auto"/>
        </w:rPr>
      </w:pPr>
    </w:p>
    <w:p>
      <w:pPr>
        <w:jc w:val="both"/>
        <w:ind w:firstLine="656"/>
        <w:spacing w:after="0" w:line="270" w:lineRule="auto"/>
        <w:tabs>
          <w:tab w:leader="none" w:pos="1229" w:val="left"/>
        </w:tabs>
        <w:numPr>
          <w:ilvl w:val="1"/>
          <w:numId w:val="263"/>
        </w:numPr>
        <w:rPr>
          <w:rFonts w:ascii="Arial" w:cs="Arial" w:eastAsia="Arial" w:hAnsi="Arial"/>
          <w:sz w:val="22"/>
          <w:szCs w:val="22"/>
          <w:color w:val="auto"/>
        </w:rPr>
      </w:pPr>
      <w:r>
        <w:rPr>
          <w:rFonts w:ascii="Arial" w:cs="Arial" w:eastAsia="Arial" w:hAnsi="Arial"/>
          <w:sz w:val="22"/>
          <w:szCs w:val="22"/>
          <w:color w:val="auto"/>
        </w:rPr>
        <w:t>The Company (and not your local employer) is granting your Restricted Stock Units [and Additional Restricted Stock Units]. Furthermore, this Agreement is not derived from any preexisting labor relationship between you and the Company, but rather from a mercantile relationship.</w:t>
      </w:r>
    </w:p>
    <w:p>
      <w:pPr>
        <w:spacing w:after="0" w:line="91" w:lineRule="exact"/>
        <w:rPr>
          <w:rFonts w:ascii="Arial" w:cs="Arial" w:eastAsia="Arial" w:hAnsi="Arial"/>
          <w:sz w:val="22"/>
          <w:szCs w:val="22"/>
          <w:color w:val="auto"/>
        </w:rPr>
      </w:pPr>
    </w:p>
    <w:p>
      <w:pPr>
        <w:ind w:firstLine="656"/>
        <w:spacing w:after="0" w:line="285" w:lineRule="auto"/>
        <w:tabs>
          <w:tab w:leader="none" w:pos="1099" w:val="left"/>
        </w:tabs>
        <w:numPr>
          <w:ilvl w:val="1"/>
          <w:numId w:val="263"/>
        </w:numPr>
        <w:rPr>
          <w:rFonts w:ascii="Arial" w:cs="Arial" w:eastAsia="Arial" w:hAnsi="Arial"/>
          <w:sz w:val="22"/>
          <w:szCs w:val="22"/>
          <w:color w:val="auto"/>
        </w:rPr>
      </w:pPr>
      <w:r>
        <w:rPr>
          <w:rFonts w:ascii="Arial" w:cs="Arial" w:eastAsia="Arial" w:hAnsi="Arial"/>
          <w:sz w:val="22"/>
          <w:szCs w:val="22"/>
          <w:color w:val="auto"/>
        </w:rPr>
        <w:t>The Company may administer the Plan from outside your country of residence and United States law will govern all Restricted Stock Units [and Additional Restricted Stock Units] granted under the Plan.</w:t>
      </w:r>
    </w:p>
    <w:p>
      <w:pPr>
        <w:spacing w:after="0" w:line="87" w:lineRule="exact"/>
        <w:rPr>
          <w:rFonts w:ascii="Arial" w:cs="Arial" w:eastAsia="Arial" w:hAnsi="Arial"/>
          <w:sz w:val="22"/>
          <w:szCs w:val="22"/>
          <w:color w:val="auto"/>
        </w:rPr>
      </w:pPr>
    </w:p>
    <w:p>
      <w:pPr>
        <w:ind w:firstLine="656"/>
        <w:spacing w:after="0" w:line="285" w:lineRule="auto"/>
        <w:tabs>
          <w:tab w:leader="none" w:pos="1236" w:val="left"/>
        </w:tabs>
        <w:numPr>
          <w:ilvl w:val="1"/>
          <w:numId w:val="263"/>
        </w:numPr>
        <w:rPr>
          <w:rFonts w:ascii="Arial" w:cs="Arial" w:eastAsia="Arial" w:hAnsi="Arial"/>
          <w:sz w:val="22"/>
          <w:szCs w:val="22"/>
          <w:color w:val="auto"/>
        </w:rPr>
      </w:pPr>
      <w:r>
        <w:rPr>
          <w:rFonts w:ascii="Arial" w:cs="Arial" w:eastAsia="Arial" w:hAnsi="Arial"/>
          <w:sz w:val="22"/>
          <w:szCs w:val="22"/>
          <w:color w:val="auto"/>
        </w:rPr>
        <w:t>Benefits and rights provided under the Plan are wholly discretionary and, although provided by the Company, do not constitute regular or periodic payments.</w:t>
      </w:r>
    </w:p>
    <w:p>
      <w:pPr>
        <w:spacing w:after="0" w:line="87" w:lineRule="exact"/>
        <w:rPr>
          <w:rFonts w:ascii="Arial" w:cs="Arial" w:eastAsia="Arial" w:hAnsi="Arial"/>
          <w:sz w:val="22"/>
          <w:szCs w:val="22"/>
          <w:color w:val="auto"/>
        </w:rPr>
      </w:pPr>
    </w:p>
    <w:p>
      <w:pPr>
        <w:jc w:val="both"/>
        <w:ind w:firstLine="656"/>
        <w:spacing w:after="0" w:line="260" w:lineRule="auto"/>
        <w:tabs>
          <w:tab w:leader="none" w:pos="1288" w:val="left"/>
        </w:tabs>
        <w:numPr>
          <w:ilvl w:val="1"/>
          <w:numId w:val="263"/>
        </w:numPr>
        <w:rPr>
          <w:rFonts w:ascii="Arial" w:cs="Arial" w:eastAsia="Arial" w:hAnsi="Arial"/>
          <w:sz w:val="22"/>
          <w:szCs w:val="22"/>
          <w:color w:val="auto"/>
        </w:rPr>
      </w:pPr>
      <w:r>
        <w:rPr>
          <w:rFonts w:ascii="Arial" w:cs="Arial" w:eastAsia="Arial" w:hAnsi="Arial"/>
          <w:sz w:val="22"/>
          <w:szCs w:val="22"/>
          <w:color w:val="auto"/>
        </w:rPr>
        <w:t>The benefits and rights provided under the Plan are not to be considered part of your salary or compensation under your employment with your local employer for purposes of calculating any severance, resignation, redundancy or other end of service payments, vacation, bonuses, long-term service awards, indemnification, pension or retirement benefits, or any other payments, benefits or rights of any kind. You waive any and all rights to compensation or damages as a result of the termination of employment with your local employer for any reason whatsoever insofar as those rights result, or may result, from the loss or diminution in value of such rights under the Plan or your ceasing to have any rights under, or ceasing to be entitled to any rights under, the Plan as a result of such termination.</w:t>
      </w:r>
    </w:p>
    <w:p>
      <w:pPr>
        <w:spacing w:after="0" w:line="102" w:lineRule="exact"/>
        <w:rPr>
          <w:rFonts w:ascii="Arial" w:cs="Arial" w:eastAsia="Arial" w:hAnsi="Arial"/>
          <w:sz w:val="22"/>
          <w:szCs w:val="22"/>
          <w:color w:val="auto"/>
        </w:rPr>
      </w:pPr>
    </w:p>
    <w:p>
      <w:pPr>
        <w:jc w:val="both"/>
        <w:ind w:firstLine="656"/>
        <w:spacing w:after="0" w:line="270" w:lineRule="auto"/>
        <w:tabs>
          <w:tab w:leader="none" w:pos="1184" w:val="left"/>
        </w:tabs>
        <w:numPr>
          <w:ilvl w:val="1"/>
          <w:numId w:val="263"/>
        </w:numPr>
        <w:rPr>
          <w:rFonts w:ascii="Arial" w:cs="Arial" w:eastAsia="Arial" w:hAnsi="Arial"/>
          <w:sz w:val="22"/>
          <w:szCs w:val="22"/>
          <w:color w:val="auto"/>
        </w:rPr>
      </w:pPr>
      <w:r>
        <w:rPr>
          <w:rFonts w:ascii="Arial" w:cs="Arial" w:eastAsia="Arial" w:hAnsi="Arial"/>
          <w:sz w:val="22"/>
          <w:szCs w:val="22"/>
          <w:color w:val="auto"/>
        </w:rPr>
        <w:t>The grant of Restricted Stock Units [and Additional Restricted Stock Units] hereunder, and any future grant of Restricted Stock Units [or Additional Restricted Stock Units] under the Plan, is entirely voluntary, and at the complete discretion of the</w:t>
      </w:r>
    </w:p>
    <w:p>
      <w:pPr>
        <w:sectPr>
          <w:pgSz w:w="11900" w:h="16838" w:orient="portrait"/>
          <w:cols w:equalWidth="0" w:num="1">
            <w:col w:w="11240"/>
          </w:cols>
          <w:pgMar w:left="320" w:top="1423" w:right="339" w:bottom="1440" w:gutter="0" w:footer="0" w:header="0"/>
        </w:sectPr>
      </w:pPr>
    </w:p>
    <w:bookmarkStart w:id="164" w:name="page165"/>
    <w:bookmarkEnd w:id="164"/>
    <w:p>
      <w:pPr>
        <w:jc w:val="both"/>
        <w:spacing w:after="0" w:line="263" w:lineRule="auto"/>
        <w:rPr>
          <w:sz w:val="20"/>
          <w:szCs w:val="20"/>
          <w:color w:val="auto"/>
        </w:rPr>
      </w:pPr>
      <w:r>
        <w:rPr>
          <w:rFonts w:ascii="Arial" w:cs="Arial" w:eastAsia="Arial" w:hAnsi="Arial"/>
          <w:sz w:val="22"/>
          <w:szCs w:val="22"/>
          <w:color w:val="auto"/>
        </w:rPr>
        <w:t>Company. Neither the grant of the Restricted Stock Units, [the Additional Restricted Stock Units] nor any future grant by the Company will be deemed to create any obligation to make any future grants, whether or not such a reservation is explicitly stated at the time of such a grant. The Company has the right, at any time and/or on an annual basis, to amend, suspend or terminate the Plan; provided, however, that no such amendment, suspension, or termination will adversely affect your rights hereunder.</w:t>
      </w:r>
    </w:p>
    <w:p>
      <w:pPr>
        <w:spacing w:after="0" w:line="112" w:lineRule="exact"/>
        <w:rPr>
          <w:sz w:val="20"/>
          <w:szCs w:val="20"/>
          <w:color w:val="auto"/>
        </w:rPr>
      </w:pPr>
    </w:p>
    <w:p>
      <w:pPr>
        <w:jc w:val="both"/>
        <w:ind w:firstLine="656"/>
        <w:spacing w:after="0" w:line="270" w:lineRule="auto"/>
        <w:tabs>
          <w:tab w:leader="none" w:pos="1029" w:val="left"/>
        </w:tabs>
        <w:numPr>
          <w:ilvl w:val="1"/>
          <w:numId w:val="264"/>
        </w:numPr>
        <w:rPr>
          <w:rFonts w:ascii="Arial" w:cs="Arial" w:eastAsia="Arial" w:hAnsi="Arial"/>
          <w:sz w:val="22"/>
          <w:szCs w:val="22"/>
          <w:color w:val="auto"/>
        </w:rPr>
      </w:pPr>
      <w:r>
        <w:rPr>
          <w:rFonts w:ascii="Arial" w:cs="Arial" w:eastAsia="Arial" w:hAnsi="Arial"/>
          <w:sz w:val="22"/>
          <w:szCs w:val="22"/>
          <w:color w:val="auto"/>
        </w:rPr>
        <w:t>The Plan will not be deemed to constitute, and will not be construed by you to constitute, part of the terms and conditions of employment. Neither the Company nor your local employer will incur any liability of any kind to you as a result of any change or amendment, or any cancellation, of the Plan at any time.</w:t>
      </w:r>
    </w:p>
    <w:p>
      <w:pPr>
        <w:spacing w:after="0" w:line="91" w:lineRule="exact"/>
        <w:rPr>
          <w:rFonts w:ascii="Arial" w:cs="Arial" w:eastAsia="Arial" w:hAnsi="Arial"/>
          <w:sz w:val="22"/>
          <w:szCs w:val="22"/>
          <w:color w:val="auto"/>
        </w:rPr>
      </w:pPr>
    </w:p>
    <w:p>
      <w:pPr>
        <w:ind w:right="20" w:firstLine="656"/>
        <w:spacing w:after="0" w:line="285" w:lineRule="auto"/>
        <w:tabs>
          <w:tab w:leader="none" w:pos="1099" w:val="left"/>
        </w:tabs>
        <w:numPr>
          <w:ilvl w:val="1"/>
          <w:numId w:val="264"/>
        </w:numPr>
        <w:rPr>
          <w:rFonts w:ascii="Arial" w:cs="Arial" w:eastAsia="Arial" w:hAnsi="Arial"/>
          <w:sz w:val="22"/>
          <w:szCs w:val="22"/>
          <w:color w:val="auto"/>
        </w:rPr>
      </w:pPr>
      <w:r>
        <w:rPr>
          <w:rFonts w:ascii="Arial" w:cs="Arial" w:eastAsia="Arial" w:hAnsi="Arial"/>
          <w:sz w:val="22"/>
          <w:szCs w:val="22"/>
          <w:color w:val="auto"/>
        </w:rPr>
        <w:t>Participation in the Plan will not be deemed to constitute, and will not be deemed by you to constitute, an employment or labor relationship of any kind with the Company.</w:t>
      </w:r>
    </w:p>
    <w:p>
      <w:pPr>
        <w:spacing w:after="0" w:line="85" w:lineRule="exact"/>
        <w:rPr>
          <w:rFonts w:ascii="Arial" w:cs="Arial" w:eastAsia="Arial" w:hAnsi="Arial"/>
          <w:sz w:val="22"/>
          <w:szCs w:val="22"/>
          <w:color w:val="auto"/>
        </w:rPr>
      </w:pPr>
    </w:p>
    <w:p>
      <w:pPr>
        <w:jc w:val="both"/>
        <w:ind w:firstLine="8"/>
        <w:spacing w:after="0" w:line="261" w:lineRule="auto"/>
        <w:tabs>
          <w:tab w:leader="none" w:pos="702" w:val="left"/>
        </w:tabs>
        <w:numPr>
          <w:ilvl w:val="0"/>
          <w:numId w:val="265"/>
        </w:numPr>
        <w:rPr>
          <w:rFonts w:ascii="Arial" w:cs="Arial" w:eastAsia="Arial" w:hAnsi="Arial"/>
          <w:sz w:val="22"/>
          <w:szCs w:val="22"/>
          <w:color w:val="auto"/>
        </w:rPr>
      </w:pPr>
      <w:r>
        <w:rPr>
          <w:rFonts w:ascii="Arial" w:cs="Arial" w:eastAsia="Arial" w:hAnsi="Arial"/>
          <w:sz w:val="22"/>
          <w:szCs w:val="22"/>
          <w:b w:val="1"/>
          <w:bCs w:val="1"/>
          <w:color w:val="auto"/>
        </w:rPr>
        <w:t xml:space="preserve">Limitations. </w:t>
      </w:r>
      <w:r>
        <w:rPr>
          <w:rFonts w:ascii="Arial" w:cs="Arial" w:eastAsia="Arial" w:hAnsi="Arial"/>
          <w:sz w:val="22"/>
          <w:szCs w:val="22"/>
          <w:color w:val="auto"/>
        </w:rPr>
        <w:t>Nothing in this Agreement or the Plan gives you any right to continue in the employ of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or any of its Affiliates or to interfere in any way with the right of the Company or any Affiliate to terminate your employment at any time. Payment of your Restricted Stock Units [and Additional Restricted Stock Units] is not secured by a trust, insurance contract or other funding medium, and you do not have any interest in any fund or specific asset of the Company by reason of this Award or the account established on your behalf. You have no rights as a shareowner of the Company pursuant to the Restricted Stock Units [or Additional Restricted Stock Units] until Shares are actually delivered to you.</w:t>
      </w:r>
    </w:p>
    <w:p>
      <w:pPr>
        <w:spacing w:after="0" w:line="112" w:lineRule="exact"/>
        <w:rPr>
          <w:rFonts w:ascii="Arial" w:cs="Arial" w:eastAsia="Arial" w:hAnsi="Arial"/>
          <w:sz w:val="22"/>
          <w:szCs w:val="22"/>
          <w:color w:val="auto"/>
        </w:rPr>
      </w:pPr>
    </w:p>
    <w:p>
      <w:pPr>
        <w:jc w:val="both"/>
        <w:ind w:firstLine="8"/>
        <w:spacing w:after="0" w:line="266" w:lineRule="auto"/>
        <w:tabs>
          <w:tab w:leader="none" w:pos="729" w:val="left"/>
        </w:tabs>
        <w:numPr>
          <w:ilvl w:val="0"/>
          <w:numId w:val="265"/>
        </w:numPr>
        <w:rPr>
          <w:rFonts w:ascii="Arial" w:cs="Arial" w:eastAsia="Arial" w:hAnsi="Arial"/>
          <w:sz w:val="22"/>
          <w:szCs w:val="22"/>
          <w:color w:val="auto"/>
        </w:rPr>
      </w:pPr>
      <w:r>
        <w:rPr>
          <w:rFonts w:ascii="Arial" w:cs="Arial" w:eastAsia="Arial" w:hAnsi="Arial"/>
          <w:sz w:val="22"/>
          <w:szCs w:val="22"/>
          <w:b w:val="1"/>
          <w:bCs w:val="1"/>
          <w:color w:val="auto"/>
        </w:rPr>
        <w:t xml:space="preserve">Incorporation of Other Agreements. </w:t>
      </w:r>
      <w:r>
        <w:rPr>
          <w:rFonts w:ascii="Arial" w:cs="Arial" w:eastAsia="Arial" w:hAnsi="Arial"/>
          <w:sz w:val="22"/>
          <w:szCs w:val="22"/>
          <w:color w:val="auto"/>
        </w:rPr>
        <w:t>This Agreement and the Plan constitute the entire understanding</w:t>
      </w:r>
      <w:r>
        <w:rPr>
          <w:rFonts w:ascii="Arial" w:cs="Arial" w:eastAsia="Arial" w:hAnsi="Arial"/>
          <w:sz w:val="22"/>
          <w:szCs w:val="22"/>
          <w:b w:val="1"/>
          <w:bCs w:val="1"/>
          <w:color w:val="auto"/>
        </w:rPr>
        <w:t xml:space="preserve"> </w:t>
      </w:r>
      <w:r>
        <w:rPr>
          <w:rFonts w:ascii="Arial" w:cs="Arial" w:eastAsia="Arial" w:hAnsi="Arial"/>
          <w:sz w:val="22"/>
          <w:szCs w:val="22"/>
          <w:color w:val="auto"/>
        </w:rPr>
        <w:t>between you and the Company regarding the Restricted Stock Units. This Agreement supersedes any prior agreements, commitments or negotiations concerning the Restricted Stock Units [and Additional Restricted Stock Units].</w:t>
      </w:r>
    </w:p>
    <w:p>
      <w:pPr>
        <w:spacing w:after="0" w:line="93" w:lineRule="exact"/>
        <w:rPr>
          <w:rFonts w:ascii="Arial" w:cs="Arial" w:eastAsia="Arial" w:hAnsi="Arial"/>
          <w:sz w:val="22"/>
          <w:szCs w:val="22"/>
          <w:color w:val="auto"/>
        </w:rPr>
      </w:pPr>
    </w:p>
    <w:p>
      <w:pPr>
        <w:jc w:val="both"/>
        <w:ind w:firstLine="8"/>
        <w:spacing w:after="0" w:line="266" w:lineRule="auto"/>
        <w:tabs>
          <w:tab w:leader="none" w:pos="567" w:val="left"/>
        </w:tabs>
        <w:numPr>
          <w:ilvl w:val="0"/>
          <w:numId w:val="265"/>
        </w:numPr>
        <w:rPr>
          <w:rFonts w:ascii="Arial" w:cs="Arial" w:eastAsia="Arial" w:hAnsi="Arial"/>
          <w:sz w:val="22"/>
          <w:szCs w:val="22"/>
          <w:color w:val="auto"/>
        </w:rPr>
      </w:pPr>
      <w:r>
        <w:rPr>
          <w:rFonts w:ascii="Arial" w:cs="Arial" w:eastAsia="Arial" w:hAnsi="Arial"/>
          <w:sz w:val="22"/>
          <w:szCs w:val="22"/>
          <w:b w:val="1"/>
          <w:bCs w:val="1"/>
          <w:color w:val="auto"/>
        </w:rPr>
        <w:t xml:space="preserve">Severability. </w:t>
      </w:r>
      <w:r>
        <w:rPr>
          <w:rFonts w:ascii="Arial" w:cs="Arial" w:eastAsia="Arial" w:hAnsi="Arial"/>
          <w:sz w:val="22"/>
          <w:szCs w:val="22"/>
          <w:color w:val="auto"/>
        </w:rPr>
        <w:t>The invalidity or unenforceability of any provision of this Agreement shall not affect the validity or</w:t>
      </w:r>
      <w:r>
        <w:rPr>
          <w:rFonts w:ascii="Arial" w:cs="Arial" w:eastAsia="Arial" w:hAnsi="Arial"/>
          <w:sz w:val="22"/>
          <w:szCs w:val="22"/>
          <w:b w:val="1"/>
          <w:bCs w:val="1"/>
          <w:color w:val="auto"/>
        </w:rPr>
        <w:t xml:space="preserve"> </w:t>
      </w:r>
      <w:r>
        <w:rPr>
          <w:rFonts w:ascii="Arial" w:cs="Arial" w:eastAsia="Arial" w:hAnsi="Arial"/>
          <w:sz w:val="22"/>
          <w:szCs w:val="22"/>
          <w:color w:val="auto"/>
        </w:rPr>
        <w:t>enforceability of the other provisions of the Agreement, which shall remain in full force and effect. Moreover, if any provision is found to be excessively broad in duration, scope or covered activity, the provision shall be construed so as to be enforceable to the maximum extent compatible with applicable law.</w:t>
      </w:r>
    </w:p>
    <w:p>
      <w:pPr>
        <w:spacing w:after="0" w:line="107" w:lineRule="exact"/>
        <w:rPr>
          <w:rFonts w:ascii="Arial" w:cs="Arial" w:eastAsia="Arial" w:hAnsi="Arial"/>
          <w:sz w:val="22"/>
          <w:szCs w:val="22"/>
          <w:color w:val="auto"/>
        </w:rPr>
      </w:pPr>
    </w:p>
    <w:p>
      <w:pPr>
        <w:jc w:val="both"/>
        <w:ind w:firstLine="8"/>
        <w:spacing w:after="0" w:line="271" w:lineRule="auto"/>
        <w:tabs>
          <w:tab w:leader="none" w:pos="594" w:val="left"/>
        </w:tabs>
        <w:numPr>
          <w:ilvl w:val="0"/>
          <w:numId w:val="265"/>
        </w:numPr>
        <w:rPr>
          <w:rFonts w:ascii="Arial" w:cs="Arial" w:eastAsia="Arial" w:hAnsi="Arial"/>
          <w:sz w:val="22"/>
          <w:szCs w:val="22"/>
          <w:color w:val="auto"/>
        </w:rPr>
      </w:pPr>
      <w:r>
        <w:rPr>
          <w:rFonts w:ascii="Arial" w:cs="Arial" w:eastAsia="Arial" w:hAnsi="Arial"/>
          <w:sz w:val="22"/>
          <w:szCs w:val="22"/>
          <w:b w:val="1"/>
          <w:bCs w:val="1"/>
          <w:color w:val="auto"/>
        </w:rPr>
        <w:t xml:space="preserve">Governing Law. </w:t>
      </w:r>
      <w:r>
        <w:rPr>
          <w:rFonts w:ascii="Arial" w:cs="Arial" w:eastAsia="Arial" w:hAnsi="Arial"/>
          <w:sz w:val="22"/>
          <w:szCs w:val="22"/>
          <w:color w:val="auto"/>
        </w:rPr>
        <w:t>The Plan, this Agreement, and all determinations made and actions taken under the Plan or</w:t>
      </w:r>
      <w:r>
        <w:rPr>
          <w:rFonts w:ascii="Arial" w:cs="Arial" w:eastAsia="Arial" w:hAnsi="Arial"/>
          <w:sz w:val="22"/>
          <w:szCs w:val="22"/>
          <w:b w:val="1"/>
          <w:bCs w:val="1"/>
          <w:color w:val="auto"/>
        </w:rPr>
        <w:t xml:space="preserve"> </w:t>
      </w:r>
      <w:r>
        <w:rPr>
          <w:rFonts w:ascii="Arial" w:cs="Arial" w:eastAsia="Arial" w:hAnsi="Arial"/>
          <w:sz w:val="22"/>
          <w:szCs w:val="22"/>
          <w:color w:val="auto"/>
        </w:rPr>
        <w:t>this Agreement shall be governed by the internal substantive laws, and not the choice of law rules, of the State of Delaware and construed accordingly, to the extent not superseded by applicable federal law.</w:t>
      </w:r>
    </w:p>
    <w:p>
      <w:pPr>
        <w:spacing w:after="0" w:line="101" w:lineRule="exact"/>
        <w:rPr>
          <w:rFonts w:ascii="Arial" w:cs="Arial" w:eastAsia="Arial" w:hAnsi="Arial"/>
          <w:sz w:val="22"/>
          <w:szCs w:val="22"/>
          <w:color w:val="auto"/>
        </w:rPr>
      </w:pPr>
    </w:p>
    <w:p>
      <w:pPr>
        <w:jc w:val="both"/>
        <w:ind w:firstLine="8"/>
        <w:spacing w:after="0" w:line="271" w:lineRule="auto"/>
        <w:tabs>
          <w:tab w:leader="none" w:pos="608" w:val="left"/>
        </w:tabs>
        <w:numPr>
          <w:ilvl w:val="0"/>
          <w:numId w:val="265"/>
        </w:numPr>
        <w:rPr>
          <w:rFonts w:ascii="Arial" w:cs="Arial" w:eastAsia="Arial" w:hAnsi="Arial"/>
          <w:sz w:val="22"/>
          <w:szCs w:val="22"/>
          <w:color w:val="auto"/>
        </w:rPr>
      </w:pPr>
      <w:r>
        <w:rPr>
          <w:rFonts w:ascii="Arial" w:cs="Arial" w:eastAsia="Arial" w:hAnsi="Arial"/>
          <w:sz w:val="22"/>
          <w:szCs w:val="22"/>
          <w:b w:val="1"/>
          <w:bCs w:val="1"/>
          <w:color w:val="auto"/>
        </w:rPr>
        <w:t xml:space="preserve">Agreement Changes. </w:t>
      </w:r>
      <w:r>
        <w:rPr>
          <w:rFonts w:ascii="Arial" w:cs="Arial" w:eastAsia="Arial" w:hAnsi="Arial"/>
          <w:sz w:val="22"/>
          <w:szCs w:val="22"/>
          <w:color w:val="auto"/>
        </w:rPr>
        <w:t>The Company reserves the right to change the terms of this Agreement and the Plan</w:t>
      </w:r>
      <w:r>
        <w:rPr>
          <w:rFonts w:ascii="Arial" w:cs="Arial" w:eastAsia="Arial" w:hAnsi="Arial"/>
          <w:sz w:val="22"/>
          <w:szCs w:val="22"/>
          <w:b w:val="1"/>
          <w:bCs w:val="1"/>
          <w:color w:val="auto"/>
        </w:rPr>
        <w:t xml:space="preserve"> </w:t>
      </w:r>
      <w:r>
        <w:rPr>
          <w:rFonts w:ascii="Arial" w:cs="Arial" w:eastAsia="Arial" w:hAnsi="Arial"/>
          <w:sz w:val="22"/>
          <w:szCs w:val="22"/>
          <w:color w:val="auto"/>
        </w:rPr>
        <w:t>without your consent to the extent necessary or desirable to comply with the requirements of Code section 409A, the Treasury regulations and other guidance thereunder.</w:t>
      </w:r>
    </w:p>
    <w:p>
      <w:pPr>
        <w:sectPr>
          <w:pgSz w:w="11900" w:h="16838" w:orient="portrait"/>
          <w:cols w:equalWidth="0" w:num="1">
            <w:col w:w="11240"/>
          </w:cols>
          <w:pgMar w:left="320" w:top="1423" w:right="339" w:bottom="1440" w:gutter="0" w:footer="0" w:header="0"/>
        </w:sectPr>
      </w:pPr>
    </w:p>
    <w:bookmarkStart w:id="165" w:name="page166"/>
    <w:bookmarkEnd w:id="165"/>
    <w:p>
      <w:pPr>
        <w:jc w:val="both"/>
        <w:ind w:firstLine="8"/>
        <w:spacing w:after="0" w:line="263" w:lineRule="auto"/>
        <w:tabs>
          <w:tab w:leader="none" w:pos="648" w:val="left"/>
        </w:tabs>
        <w:numPr>
          <w:ilvl w:val="0"/>
          <w:numId w:val="266"/>
        </w:numPr>
        <w:rPr>
          <w:rFonts w:ascii="Arial" w:cs="Arial" w:eastAsia="Arial" w:hAnsi="Arial"/>
          <w:sz w:val="22"/>
          <w:szCs w:val="22"/>
          <w:color w:val="auto"/>
        </w:rPr>
      </w:pPr>
      <w:r>
        <w:rPr>
          <w:rFonts w:ascii="Arial" w:cs="Arial" w:eastAsia="Arial" w:hAnsi="Arial"/>
          <w:sz w:val="22"/>
          <w:szCs w:val="22"/>
          <w:b w:val="1"/>
          <w:bCs w:val="1"/>
          <w:color w:val="auto"/>
        </w:rPr>
        <w:t xml:space="preserve">Acknowledgements and Acceptance. </w:t>
      </w:r>
      <w:r>
        <w:rPr>
          <w:rFonts w:ascii="Arial" w:cs="Arial" w:eastAsia="Arial" w:hAnsi="Arial"/>
          <w:sz w:val="22"/>
          <w:szCs w:val="22"/>
          <w:color w:val="auto"/>
        </w:rPr>
        <w:t>By accepting this Agreement, you agree that: (i) you have carefully</w:t>
      </w:r>
      <w:r>
        <w:rPr>
          <w:rFonts w:ascii="Arial" w:cs="Arial" w:eastAsia="Arial" w:hAnsi="Arial"/>
          <w:sz w:val="22"/>
          <w:szCs w:val="22"/>
          <w:b w:val="1"/>
          <w:bCs w:val="1"/>
          <w:color w:val="auto"/>
        </w:rPr>
        <w:t xml:space="preserve"> </w:t>
      </w:r>
      <w:r>
        <w:rPr>
          <w:rFonts w:ascii="Arial" w:cs="Arial" w:eastAsia="Arial" w:hAnsi="Arial"/>
          <w:sz w:val="22"/>
          <w:szCs w:val="22"/>
          <w:color w:val="auto"/>
        </w:rPr>
        <w:t>read, fully understand and agree to all of the terms and conditions described in this Agreement, the Plan, the Plan’s prospectus and all accompanying documentation; and (ii) you understand and agree that this Agreement and the Plan constitute the entire understanding between you and the Company regarding the Award, and that any prior agreements, commitments, or negotiations concerning the Award are replaced and superseded.</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color w:val="auto"/>
        </w:rPr>
        <w:t>To retain this Award, you must accept it on the Morgan Stanley website.</w:t>
      </w:r>
    </w:p>
    <w:p>
      <w:pPr>
        <w:sectPr>
          <w:pgSz w:w="11900" w:h="16838" w:orient="portrait"/>
          <w:cols w:equalWidth="0" w:num="1">
            <w:col w:w="11240"/>
          </w:cols>
          <w:pgMar w:left="320" w:top="1421" w:right="339" w:bottom="1440" w:gutter="0" w:footer="0" w:header="0"/>
        </w:sectPr>
      </w:pPr>
    </w:p>
    <w:bookmarkStart w:id="166" w:name="page167"/>
    <w:bookmarkEnd w:id="166"/>
    <w:p>
      <w:pPr>
        <w:jc w:val="right"/>
        <w:spacing w:after="0"/>
        <w:rPr>
          <w:sz w:val="20"/>
          <w:szCs w:val="20"/>
          <w:color w:val="auto"/>
        </w:rPr>
      </w:pPr>
      <w:r>
        <w:rPr>
          <w:rFonts w:ascii="Arial" w:cs="Arial" w:eastAsia="Arial" w:hAnsi="Arial"/>
          <w:sz w:val="22"/>
          <w:szCs w:val="22"/>
          <w:b w:val="1"/>
          <w:bCs w:val="1"/>
          <w:color w:val="auto"/>
        </w:rPr>
        <w:t>EXHIBIT 10.46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left="340" w:right="2480"/>
        <w:spacing w:after="0" w:line="393" w:lineRule="auto"/>
        <w:rPr>
          <w:sz w:val="20"/>
          <w:szCs w:val="20"/>
          <w:color w:val="auto"/>
        </w:rPr>
      </w:pPr>
      <w:r>
        <w:rPr>
          <w:rFonts w:ascii="Arial" w:cs="Arial" w:eastAsia="Arial" w:hAnsi="Arial"/>
          <w:sz w:val="22"/>
          <w:szCs w:val="22"/>
          <w:b w:val="1"/>
          <w:bCs w:val="1"/>
          <w:color w:val="auto"/>
        </w:rPr>
        <w:t>2016 STOCK INCENTIVE PLAN OF HONEYWELL INTERNATIONAL INC. AND ITS AFFILIATES STOCK OPTION AWARD AGREEMENT</w:t>
      </w:r>
    </w:p>
    <w:p>
      <w:pPr>
        <w:spacing w:after="0" w:line="1" w:lineRule="exact"/>
        <w:rPr>
          <w:sz w:val="20"/>
          <w:szCs w:val="20"/>
          <w:color w:val="auto"/>
        </w:rPr>
      </w:pPr>
    </w:p>
    <w:p>
      <w:pPr>
        <w:spacing w:after="0" w:line="285" w:lineRule="auto"/>
        <w:rPr>
          <w:sz w:val="20"/>
          <w:szCs w:val="20"/>
          <w:color w:val="auto"/>
        </w:rPr>
      </w:pPr>
      <w:r>
        <w:rPr>
          <w:rFonts w:ascii="Arial" w:cs="Arial" w:eastAsia="Arial" w:hAnsi="Arial"/>
          <w:sz w:val="22"/>
          <w:szCs w:val="22"/>
          <w:color w:val="auto"/>
        </w:rPr>
        <w:t>STOCK OPTION AWARD AGREEMENT made in Charlotte, North Carolina, as of [DATE] (the “Grant Date”), between Honeywell International Inc. (the “Company”) and [EMPLOYEE NAME] (“Participant”).</w:t>
      </w:r>
    </w:p>
    <w:p>
      <w:pPr>
        <w:spacing w:after="0" w:line="86" w:lineRule="exact"/>
        <w:rPr>
          <w:sz w:val="20"/>
          <w:szCs w:val="20"/>
          <w:color w:val="auto"/>
        </w:rPr>
      </w:pPr>
    </w:p>
    <w:p>
      <w:pPr>
        <w:jc w:val="both"/>
        <w:ind w:firstLine="8"/>
        <w:spacing w:after="0" w:line="271" w:lineRule="auto"/>
        <w:tabs>
          <w:tab w:leader="none" w:pos="461" w:val="left"/>
        </w:tabs>
        <w:numPr>
          <w:ilvl w:val="0"/>
          <w:numId w:val="267"/>
        </w:numPr>
        <w:rPr>
          <w:rFonts w:ascii="Arial" w:cs="Arial" w:eastAsia="Arial" w:hAnsi="Arial"/>
          <w:sz w:val="22"/>
          <w:szCs w:val="22"/>
          <w:color w:val="auto"/>
        </w:rPr>
      </w:pPr>
      <w:r>
        <w:rPr>
          <w:rFonts w:ascii="Arial" w:cs="Arial" w:eastAsia="Arial" w:hAnsi="Arial"/>
          <w:sz w:val="22"/>
          <w:szCs w:val="22"/>
          <w:b w:val="1"/>
          <w:bCs w:val="1"/>
          <w:color w:val="auto"/>
        </w:rPr>
        <w:t xml:space="preserve">Grant of Option. </w:t>
      </w:r>
      <w:r>
        <w:rPr>
          <w:rFonts w:ascii="Arial" w:cs="Arial" w:eastAsia="Arial" w:hAnsi="Arial"/>
          <w:sz w:val="22"/>
          <w:szCs w:val="22"/>
          <w:color w:val="auto"/>
        </w:rPr>
        <w:t>The Company has granted you an Option to purchase [NUMBER] Shares of Common Stock,</w:t>
      </w:r>
      <w:r>
        <w:rPr>
          <w:rFonts w:ascii="Arial" w:cs="Arial" w:eastAsia="Arial" w:hAnsi="Arial"/>
          <w:sz w:val="22"/>
          <w:szCs w:val="22"/>
          <w:b w:val="1"/>
          <w:bCs w:val="1"/>
          <w:color w:val="auto"/>
        </w:rPr>
        <w:t xml:space="preserve"> </w:t>
      </w:r>
      <w:r>
        <w:rPr>
          <w:rFonts w:ascii="Arial" w:cs="Arial" w:eastAsia="Arial" w:hAnsi="Arial"/>
          <w:sz w:val="22"/>
          <w:szCs w:val="22"/>
          <w:color w:val="auto"/>
        </w:rPr>
        <w:t>subject to the provisions of this Agreement and the 2016 Stock Incentive Plan of Honeywell International Inc. and its Affiliates (the “Plan”). This Option is a nonqualified Option.</w:t>
      </w:r>
    </w:p>
    <w:p>
      <w:pPr>
        <w:spacing w:after="0" w:line="90" w:lineRule="exact"/>
        <w:rPr>
          <w:sz w:val="20"/>
          <w:szCs w:val="20"/>
          <w:color w:val="auto"/>
        </w:rPr>
      </w:pPr>
    </w:p>
    <w:p>
      <w:pPr>
        <w:jc w:val="both"/>
        <w:ind w:firstLine="305"/>
        <w:spacing w:after="0" w:line="265" w:lineRule="auto"/>
        <w:rPr>
          <w:sz w:val="20"/>
          <w:szCs w:val="20"/>
          <w:color w:val="auto"/>
        </w:rPr>
      </w:pPr>
      <w:r>
        <w:rPr>
          <w:rFonts w:ascii="Arial" w:cs="Arial" w:eastAsia="Arial" w:hAnsi="Arial"/>
          <w:sz w:val="22"/>
          <w:szCs w:val="22"/>
          <w:color w:val="auto"/>
        </w:rPr>
        <w:t xml:space="preserve">The Stock Option Plan Details for this grant can be found on the Morgan Stanley StockPlan Connect website at </w:t>
      </w:r>
      <w:r>
        <w:rPr>
          <w:rFonts w:ascii="Arial" w:cs="Arial" w:eastAsia="Arial" w:hAnsi="Arial"/>
          <w:sz w:val="22"/>
          <w:szCs w:val="22"/>
          <w:u w:val="single" w:color="auto"/>
          <w:color w:val="auto"/>
        </w:rPr>
        <w:t>www.stockplanconnect.com</w:t>
      </w:r>
      <w:r>
        <w:rPr>
          <w:rFonts w:ascii="Arial" w:cs="Arial" w:eastAsia="Arial" w:hAnsi="Arial"/>
          <w:sz w:val="22"/>
          <w:szCs w:val="22"/>
          <w:color w:val="auto"/>
        </w:rPr>
        <w:t>. The Company reserves the right to change or correct any information contained on the Morgan Stanley StockPlan Connect website to reflect the terms of the Award actually made by the Company on the Grant Date or the Plan.</w:t>
      </w:r>
    </w:p>
    <w:p>
      <w:pPr>
        <w:spacing w:after="0" w:line="109" w:lineRule="exact"/>
        <w:rPr>
          <w:sz w:val="20"/>
          <w:szCs w:val="20"/>
          <w:color w:val="auto"/>
        </w:rPr>
      </w:pPr>
    </w:p>
    <w:p>
      <w:pPr>
        <w:ind w:firstLine="8"/>
        <w:spacing w:after="0" w:line="287" w:lineRule="auto"/>
        <w:tabs>
          <w:tab w:leader="none" w:pos="434" w:val="left"/>
        </w:tabs>
        <w:numPr>
          <w:ilvl w:val="0"/>
          <w:numId w:val="268"/>
        </w:numPr>
        <w:rPr>
          <w:rFonts w:ascii="Arial" w:cs="Arial" w:eastAsia="Arial" w:hAnsi="Arial"/>
          <w:sz w:val="22"/>
          <w:szCs w:val="22"/>
          <w:color w:val="auto"/>
        </w:rPr>
      </w:pPr>
      <w:r>
        <w:rPr>
          <w:rFonts w:ascii="Arial" w:cs="Arial" w:eastAsia="Arial" w:hAnsi="Arial"/>
          <w:sz w:val="22"/>
          <w:szCs w:val="22"/>
          <w:b w:val="1"/>
          <w:bCs w:val="1"/>
          <w:color w:val="auto"/>
        </w:rPr>
        <w:t xml:space="preserve">Exercise Price. </w:t>
      </w:r>
      <w:r>
        <w:rPr>
          <w:rFonts w:ascii="Arial" w:cs="Arial" w:eastAsia="Arial" w:hAnsi="Arial"/>
          <w:sz w:val="22"/>
          <w:szCs w:val="22"/>
          <w:color w:val="auto"/>
        </w:rPr>
        <w:t>The purchase price of the Shares covered by the Option will be [DOLLAR AMOUNT] per Share</w:t>
      </w:r>
      <w:r>
        <w:rPr>
          <w:rFonts w:ascii="Arial" w:cs="Arial" w:eastAsia="Arial" w:hAnsi="Arial"/>
          <w:sz w:val="22"/>
          <w:szCs w:val="22"/>
          <w:b w:val="1"/>
          <w:bCs w:val="1"/>
          <w:color w:val="auto"/>
        </w:rPr>
        <w:t xml:space="preserve"> </w:t>
      </w:r>
      <w:r>
        <w:rPr>
          <w:rFonts w:ascii="Arial" w:cs="Arial" w:eastAsia="Arial" w:hAnsi="Arial"/>
          <w:sz w:val="22"/>
          <w:szCs w:val="22"/>
          <w:color w:val="auto"/>
        </w:rPr>
        <w:t>(“Exercise Price” or “Grant Price”).</w:t>
      </w:r>
    </w:p>
    <w:p>
      <w:pPr>
        <w:spacing w:after="0" w:line="83" w:lineRule="exact"/>
        <w:rPr>
          <w:rFonts w:ascii="Arial" w:cs="Arial" w:eastAsia="Arial" w:hAnsi="Arial"/>
          <w:sz w:val="22"/>
          <w:szCs w:val="22"/>
          <w:color w:val="auto"/>
        </w:rPr>
      </w:pPr>
    </w:p>
    <w:p>
      <w:pPr>
        <w:jc w:val="both"/>
        <w:ind w:firstLine="8"/>
        <w:spacing w:after="0" w:line="271" w:lineRule="auto"/>
        <w:tabs>
          <w:tab w:leader="none" w:pos="434" w:val="left"/>
        </w:tabs>
        <w:numPr>
          <w:ilvl w:val="0"/>
          <w:numId w:val="268"/>
        </w:numPr>
        <w:rPr>
          <w:rFonts w:ascii="Arial" w:cs="Arial" w:eastAsia="Arial" w:hAnsi="Arial"/>
          <w:sz w:val="22"/>
          <w:szCs w:val="22"/>
          <w:color w:val="auto"/>
        </w:rPr>
      </w:pPr>
      <w:r>
        <w:rPr>
          <w:rFonts w:ascii="Arial" w:cs="Arial" w:eastAsia="Arial" w:hAnsi="Arial"/>
          <w:sz w:val="22"/>
          <w:szCs w:val="22"/>
          <w:b w:val="1"/>
          <w:bCs w:val="1"/>
          <w:color w:val="auto"/>
        </w:rPr>
        <w:t xml:space="preserve">Vesting. </w:t>
      </w:r>
      <w:r>
        <w:rPr>
          <w:rFonts w:ascii="Arial" w:cs="Arial" w:eastAsia="Arial" w:hAnsi="Arial"/>
          <w:sz w:val="22"/>
          <w:szCs w:val="22"/>
          <w:color w:val="auto"/>
        </w:rPr>
        <w:t>Except in the event of a Termination of Employment due to death or Disability or as otherwise provided</w:t>
      </w:r>
      <w:r>
        <w:rPr>
          <w:rFonts w:ascii="Arial" w:cs="Arial" w:eastAsia="Arial" w:hAnsi="Arial"/>
          <w:sz w:val="22"/>
          <w:szCs w:val="22"/>
          <w:b w:val="1"/>
          <w:bCs w:val="1"/>
          <w:color w:val="auto"/>
        </w:rPr>
        <w:t xml:space="preserve"> </w:t>
      </w:r>
      <w:r>
        <w:rPr>
          <w:rFonts w:ascii="Arial" w:cs="Arial" w:eastAsia="Arial" w:hAnsi="Arial"/>
          <w:sz w:val="22"/>
          <w:szCs w:val="22"/>
          <w:color w:val="auto"/>
        </w:rPr>
        <w:t>in Section 8 of this Agreement relating to a Change in Control, the Option will become exercisable as provided on the attached Vesting Schedule Table, which is incorporated into, and made a part of, this Agreement.</w:t>
      </w:r>
    </w:p>
    <w:p>
      <w:pPr>
        <w:spacing w:after="0" w:line="88" w:lineRule="exact"/>
        <w:rPr>
          <w:rFonts w:ascii="Arial" w:cs="Arial" w:eastAsia="Arial" w:hAnsi="Arial"/>
          <w:sz w:val="22"/>
          <w:szCs w:val="22"/>
          <w:color w:val="auto"/>
        </w:rPr>
      </w:pPr>
    </w:p>
    <w:p>
      <w:pPr>
        <w:jc w:val="both"/>
        <w:ind w:firstLine="8"/>
        <w:spacing w:after="0" w:line="266" w:lineRule="auto"/>
        <w:tabs>
          <w:tab w:leader="none" w:pos="461" w:val="left"/>
        </w:tabs>
        <w:numPr>
          <w:ilvl w:val="0"/>
          <w:numId w:val="268"/>
        </w:numPr>
        <w:rPr>
          <w:rFonts w:ascii="Arial" w:cs="Arial" w:eastAsia="Arial" w:hAnsi="Arial"/>
          <w:sz w:val="22"/>
          <w:szCs w:val="22"/>
          <w:color w:val="auto"/>
        </w:rPr>
      </w:pPr>
      <w:r>
        <w:rPr>
          <w:rFonts w:ascii="Arial" w:cs="Arial" w:eastAsia="Arial" w:hAnsi="Arial"/>
          <w:sz w:val="22"/>
          <w:szCs w:val="22"/>
          <w:b w:val="1"/>
          <w:bCs w:val="1"/>
          <w:color w:val="auto"/>
        </w:rPr>
        <w:t xml:space="preserve">Term of Option. </w:t>
      </w:r>
      <w:r>
        <w:rPr>
          <w:rFonts w:ascii="Arial" w:cs="Arial" w:eastAsia="Arial" w:hAnsi="Arial"/>
          <w:sz w:val="22"/>
          <w:szCs w:val="22"/>
          <w:color w:val="auto"/>
        </w:rPr>
        <w:t>The Option must be exercised prior to the close of The Nasdaq Stock Market LLC (“Nasdaq”)</w:t>
      </w:r>
      <w:r>
        <w:rPr>
          <w:rFonts w:ascii="Arial" w:cs="Arial" w:eastAsia="Arial" w:hAnsi="Arial"/>
          <w:sz w:val="22"/>
          <w:szCs w:val="22"/>
          <w:b w:val="1"/>
          <w:bCs w:val="1"/>
          <w:color w:val="auto"/>
        </w:rPr>
        <w:t xml:space="preserve"> </w:t>
      </w:r>
      <w:r>
        <w:rPr>
          <w:rFonts w:ascii="Arial" w:cs="Arial" w:eastAsia="Arial" w:hAnsi="Arial"/>
          <w:sz w:val="22"/>
          <w:szCs w:val="22"/>
          <w:color w:val="auto"/>
        </w:rPr>
        <w:t>on the day before the tenth anniversary of the Grant Date (the “Expiration Date”), subject to earlier termination or cancellation as provided below. If Nasdaq is not open for business on the Expiration Date, the Option will expire at the close of Nasdaq on the business day immediately preceding the Expiration Date.</w:t>
      </w:r>
    </w:p>
    <w:p>
      <w:pPr>
        <w:spacing w:after="0" w:line="107" w:lineRule="exact"/>
        <w:rPr>
          <w:rFonts w:ascii="Arial" w:cs="Arial" w:eastAsia="Arial" w:hAnsi="Arial"/>
          <w:sz w:val="22"/>
          <w:szCs w:val="22"/>
          <w:color w:val="auto"/>
        </w:rPr>
      </w:pPr>
    </w:p>
    <w:p>
      <w:pPr>
        <w:jc w:val="both"/>
        <w:ind w:firstLine="8"/>
        <w:spacing w:after="0" w:line="266" w:lineRule="auto"/>
        <w:tabs>
          <w:tab w:leader="none" w:pos="447" w:val="left"/>
        </w:tabs>
        <w:numPr>
          <w:ilvl w:val="0"/>
          <w:numId w:val="268"/>
        </w:numPr>
        <w:rPr>
          <w:rFonts w:ascii="Arial" w:cs="Arial" w:eastAsia="Arial" w:hAnsi="Arial"/>
          <w:sz w:val="22"/>
          <w:szCs w:val="22"/>
          <w:color w:val="auto"/>
        </w:rPr>
      </w:pPr>
      <w:r>
        <w:rPr>
          <w:rFonts w:ascii="Arial" w:cs="Arial" w:eastAsia="Arial" w:hAnsi="Arial"/>
          <w:sz w:val="22"/>
          <w:szCs w:val="22"/>
          <w:b w:val="1"/>
          <w:bCs w:val="1"/>
          <w:color w:val="auto"/>
        </w:rPr>
        <w:t xml:space="preserve">Payment of Exercise Price. </w:t>
      </w:r>
      <w:r>
        <w:rPr>
          <w:rFonts w:ascii="Arial" w:cs="Arial" w:eastAsia="Arial" w:hAnsi="Arial"/>
          <w:sz w:val="22"/>
          <w:szCs w:val="22"/>
          <w:color w:val="auto"/>
        </w:rPr>
        <w:t>You may pay the Exercise Price by cash, certified check, bank draft, wire transfer,</w:t>
      </w:r>
      <w:r>
        <w:rPr>
          <w:rFonts w:ascii="Arial" w:cs="Arial" w:eastAsia="Arial" w:hAnsi="Arial"/>
          <w:sz w:val="22"/>
          <w:szCs w:val="22"/>
          <w:b w:val="1"/>
          <w:bCs w:val="1"/>
          <w:color w:val="auto"/>
        </w:rPr>
        <w:t xml:space="preserve"> </w:t>
      </w:r>
      <w:r>
        <w:rPr>
          <w:rFonts w:ascii="Arial" w:cs="Arial" w:eastAsia="Arial" w:hAnsi="Arial"/>
          <w:sz w:val="22"/>
          <w:szCs w:val="22"/>
          <w:color w:val="auto"/>
        </w:rPr>
        <w:t>postal or express money order, or any other alternative method specified in the Plan and expressly approved by the Committee. Notwithstanding the foregoing, you may not tender any form of payment that the Committee determines, in its sole and absolute discretion, could violate any law or regulation.</w:t>
      </w:r>
    </w:p>
    <w:p>
      <w:pPr>
        <w:spacing w:after="0" w:line="107" w:lineRule="exact"/>
        <w:rPr>
          <w:rFonts w:ascii="Arial" w:cs="Arial" w:eastAsia="Arial" w:hAnsi="Arial"/>
          <w:sz w:val="22"/>
          <w:szCs w:val="22"/>
          <w:color w:val="auto"/>
        </w:rPr>
      </w:pPr>
    </w:p>
    <w:p>
      <w:pPr>
        <w:jc w:val="both"/>
        <w:ind w:firstLine="8"/>
        <w:spacing w:after="0" w:line="266" w:lineRule="auto"/>
        <w:tabs>
          <w:tab w:leader="none" w:pos="515" w:val="left"/>
        </w:tabs>
        <w:numPr>
          <w:ilvl w:val="0"/>
          <w:numId w:val="268"/>
        </w:numPr>
        <w:rPr>
          <w:rFonts w:ascii="Arial" w:cs="Arial" w:eastAsia="Arial" w:hAnsi="Arial"/>
          <w:sz w:val="22"/>
          <w:szCs w:val="22"/>
          <w:color w:val="auto"/>
        </w:rPr>
      </w:pPr>
      <w:r>
        <w:rPr>
          <w:rFonts w:ascii="Arial" w:cs="Arial" w:eastAsia="Arial" w:hAnsi="Arial"/>
          <w:sz w:val="22"/>
          <w:szCs w:val="22"/>
          <w:b w:val="1"/>
          <w:bCs w:val="1"/>
          <w:color w:val="auto"/>
        </w:rPr>
        <w:t xml:space="preserve">Exercise of Option. </w:t>
      </w:r>
      <w:r>
        <w:rPr>
          <w:rFonts w:ascii="Arial" w:cs="Arial" w:eastAsia="Arial" w:hAnsi="Arial"/>
          <w:sz w:val="22"/>
          <w:szCs w:val="22"/>
          <w:color w:val="auto"/>
        </w:rPr>
        <w:t>Subject to the terms and conditions of this Agreement, the Option may be exercised by</w:t>
      </w:r>
      <w:r>
        <w:rPr>
          <w:rFonts w:ascii="Arial" w:cs="Arial" w:eastAsia="Arial" w:hAnsi="Arial"/>
          <w:sz w:val="22"/>
          <w:szCs w:val="22"/>
          <w:b w:val="1"/>
          <w:bCs w:val="1"/>
          <w:color w:val="auto"/>
        </w:rPr>
        <w:t xml:space="preserve"> </w:t>
      </w:r>
      <w:r>
        <w:rPr>
          <w:rFonts w:ascii="Arial" w:cs="Arial" w:eastAsia="Arial" w:hAnsi="Arial"/>
          <w:sz w:val="22"/>
          <w:szCs w:val="22"/>
          <w:color w:val="auto"/>
        </w:rPr>
        <w:t>contacting the Honeywell Stock Option Service Center, managed by Morgan Stanley, by telephone at 1-888-723-3391 or 1-801-617-7414, or on the internet at www.stockplanconnect.com. If the Option is exercised after your death, the Company will deliver Shares only after the Company has determined that the person</w:t>
      </w:r>
    </w:p>
    <w:p>
      <w:pPr>
        <w:sectPr>
          <w:pgSz w:w="11900" w:h="16838" w:orient="portrait"/>
          <w:cols w:equalWidth="0" w:num="1">
            <w:col w:w="11240"/>
          </w:cols>
          <w:pgMar w:left="320" w:top="125" w:right="339" w:bottom="1440" w:gutter="0" w:footer="0" w:header="0"/>
        </w:sectPr>
      </w:pPr>
    </w:p>
    <w:bookmarkStart w:id="167" w:name="page168"/>
    <w:bookmarkEnd w:id="167"/>
    <w:p>
      <w:pPr>
        <w:ind w:right="40"/>
        <w:spacing w:after="0" w:line="285" w:lineRule="auto"/>
        <w:rPr>
          <w:sz w:val="20"/>
          <w:szCs w:val="20"/>
          <w:color w:val="auto"/>
        </w:rPr>
      </w:pPr>
      <w:r>
        <w:rPr>
          <w:rFonts w:ascii="Arial" w:cs="Arial" w:eastAsia="Arial" w:hAnsi="Arial"/>
          <w:sz w:val="22"/>
          <w:szCs w:val="22"/>
          <w:color w:val="auto"/>
        </w:rPr>
        <w:t>exercising the Option is the duly appointed executor or administrator of your estate or the person to whom the Option has been transferred by your will or by the applicable laws of descent and distribution.</w:t>
      </w:r>
    </w:p>
    <w:p>
      <w:pPr>
        <w:spacing w:after="0" w:line="86" w:lineRule="exact"/>
        <w:rPr>
          <w:sz w:val="20"/>
          <w:szCs w:val="20"/>
          <w:color w:val="auto"/>
        </w:rPr>
      </w:pPr>
    </w:p>
    <w:p>
      <w:pPr>
        <w:ind w:left="420" w:hanging="412"/>
        <w:spacing w:after="0"/>
        <w:tabs>
          <w:tab w:leader="none" w:pos="420" w:val="left"/>
        </w:tabs>
        <w:numPr>
          <w:ilvl w:val="0"/>
          <w:numId w:val="269"/>
        </w:numPr>
        <w:rPr>
          <w:rFonts w:ascii="Arial" w:cs="Arial" w:eastAsia="Arial" w:hAnsi="Arial"/>
          <w:sz w:val="22"/>
          <w:szCs w:val="22"/>
          <w:color w:val="auto"/>
        </w:rPr>
      </w:pPr>
      <w:r>
        <w:rPr>
          <w:rFonts w:ascii="Arial" w:cs="Arial" w:eastAsia="Arial" w:hAnsi="Arial"/>
          <w:sz w:val="22"/>
          <w:szCs w:val="22"/>
          <w:b w:val="1"/>
          <w:bCs w:val="1"/>
          <w:color w:val="auto"/>
        </w:rPr>
        <w:t xml:space="preserve">Termination, Retirement, Disability or Death. </w:t>
      </w:r>
      <w:r>
        <w:rPr>
          <w:rFonts w:ascii="Arial" w:cs="Arial" w:eastAsia="Arial" w:hAnsi="Arial"/>
          <w:sz w:val="22"/>
          <w:szCs w:val="22"/>
          <w:color w:val="auto"/>
        </w:rPr>
        <w:t>The Option will vest and remain exercisable as follows:</w:t>
      </w:r>
    </w:p>
    <w:p>
      <w:pPr>
        <w:spacing w:after="0" w:line="174"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1140" w:type="dxa"/>
            <w:vAlign w:val="bottom"/>
            <w:tcBorders>
              <w:top w:val="single" w:sz="8" w:color="auto"/>
              <w:left w:val="single" w:sz="8" w:color="auto"/>
              <w:bottom w:val="single" w:sz="8" w:color="auto"/>
            </w:tcBorders>
          </w:tcPr>
          <w:p>
            <w:pPr>
              <w:ind w:left="40"/>
              <w:spacing w:after="0"/>
              <w:rPr>
                <w:sz w:val="20"/>
                <w:szCs w:val="20"/>
                <w:color w:val="auto"/>
              </w:rPr>
            </w:pPr>
            <w:r>
              <w:rPr>
                <w:rFonts w:ascii="Arial" w:cs="Arial" w:eastAsia="Arial" w:hAnsi="Arial"/>
                <w:sz w:val="22"/>
                <w:szCs w:val="22"/>
                <w:b w:val="1"/>
                <w:bCs w:val="1"/>
                <w:color w:val="auto"/>
              </w:rPr>
              <w:t>Event</w:t>
            </w:r>
          </w:p>
        </w:tc>
        <w:tc>
          <w:tcPr>
            <w:tcW w:w="1160" w:type="dxa"/>
            <w:vAlign w:val="bottom"/>
            <w:tcBorders>
              <w:top w:val="single" w:sz="8" w:color="auto"/>
              <w:bottom w:val="single" w:sz="8" w:color="auto"/>
            </w:tcBorders>
          </w:tcPr>
          <w:p>
            <w:pPr>
              <w:spacing w:after="0"/>
              <w:rPr>
                <w:sz w:val="24"/>
                <w:szCs w:val="24"/>
                <w:color w:val="auto"/>
              </w:rPr>
            </w:pPr>
          </w:p>
        </w:tc>
        <w:tc>
          <w:tcPr>
            <w:tcW w:w="68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right w:val="single" w:sz="8" w:color="auto"/>
            </w:tcBorders>
          </w:tcPr>
          <w:p>
            <w:pPr>
              <w:spacing w:after="0"/>
              <w:rPr>
                <w:sz w:val="24"/>
                <w:szCs w:val="24"/>
                <w:color w:val="auto"/>
              </w:rPr>
            </w:pPr>
          </w:p>
        </w:tc>
        <w:tc>
          <w:tcPr>
            <w:tcW w:w="374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22"/>
                <w:szCs w:val="22"/>
                <w:b w:val="1"/>
                <w:bCs w:val="1"/>
                <w:color w:val="auto"/>
              </w:rPr>
              <w:t>Vesting</w:t>
            </w:r>
          </w:p>
        </w:tc>
        <w:tc>
          <w:tcPr>
            <w:tcW w:w="1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22"/>
                <w:szCs w:val="22"/>
                <w:b w:val="1"/>
                <w:bCs w:val="1"/>
                <w:color w:val="auto"/>
              </w:rPr>
              <w:t>Exercise</w:t>
            </w:r>
          </w:p>
        </w:tc>
        <w:tc>
          <w:tcPr>
            <w:tcW w:w="1120" w:type="dxa"/>
            <w:vAlign w:val="bottom"/>
            <w:tcBorders>
              <w:top w:val="single" w:sz="8" w:color="auto"/>
              <w:bottom w:val="single" w:sz="8" w:color="auto"/>
            </w:tcBorders>
          </w:tcPr>
          <w:p>
            <w:pPr>
              <w:spacing w:after="0"/>
              <w:rPr>
                <w:sz w:val="24"/>
                <w:szCs w:val="24"/>
                <w:color w:val="auto"/>
              </w:rPr>
            </w:pPr>
          </w:p>
        </w:tc>
        <w:tc>
          <w:tcPr>
            <w:tcW w:w="1520" w:type="dxa"/>
            <w:vAlign w:val="bottom"/>
            <w:tcBorders>
              <w:top w:val="single" w:sz="8" w:color="auto"/>
              <w:bottom w:val="single" w:sz="8" w:color="auto"/>
              <w:right w:val="single" w:sz="8" w:color="auto"/>
            </w:tcBorders>
          </w:tcPr>
          <w:p>
            <w:pPr>
              <w:spacing w:after="0"/>
              <w:rPr>
                <w:sz w:val="24"/>
                <w:szCs w:val="24"/>
                <w:color w:val="auto"/>
              </w:rPr>
            </w:pPr>
          </w:p>
        </w:tc>
      </w:tr>
      <w:tr>
        <w:trPr>
          <w:trHeight w:val="197"/>
        </w:trPr>
        <w:tc>
          <w:tcPr>
            <w:tcW w:w="1140" w:type="dxa"/>
            <w:vAlign w:val="bottom"/>
            <w:tcBorders>
              <w:left w:val="single" w:sz="8" w:color="auto"/>
            </w:tcBorders>
          </w:tcPr>
          <w:p>
            <w:pPr>
              <w:ind w:left="40"/>
              <w:spacing w:after="0" w:line="197" w:lineRule="exact"/>
              <w:rPr>
                <w:sz w:val="20"/>
                <w:szCs w:val="20"/>
                <w:color w:val="auto"/>
              </w:rPr>
            </w:pPr>
            <w:r>
              <w:rPr>
                <w:rFonts w:ascii="Arial" w:cs="Arial" w:eastAsia="Arial" w:hAnsi="Arial"/>
                <w:sz w:val="22"/>
                <w:szCs w:val="22"/>
                <w:color w:val="auto"/>
              </w:rPr>
              <w:t>Death</w:t>
            </w:r>
          </w:p>
        </w:tc>
        <w:tc>
          <w:tcPr>
            <w:tcW w:w="1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3740" w:type="dxa"/>
            <w:vAlign w:val="bottom"/>
            <w:tcBorders>
              <w:right w:val="single" w:sz="8" w:color="auto"/>
            </w:tcBorders>
          </w:tcPr>
          <w:p>
            <w:pPr>
              <w:spacing w:after="0" w:line="197" w:lineRule="exact"/>
              <w:rPr>
                <w:sz w:val="20"/>
                <w:szCs w:val="20"/>
                <w:color w:val="auto"/>
              </w:rPr>
            </w:pPr>
            <w:r>
              <w:rPr>
                <w:rFonts w:ascii="Arial" w:cs="Arial" w:eastAsia="Arial" w:hAnsi="Arial"/>
                <w:sz w:val="22"/>
                <w:szCs w:val="22"/>
                <w:color w:val="auto"/>
              </w:rPr>
              <w:t>Immediate vesting as of Termination</w:t>
            </w:r>
          </w:p>
        </w:tc>
        <w:tc>
          <w:tcPr>
            <w:tcW w:w="3760" w:type="dxa"/>
            <w:vAlign w:val="bottom"/>
            <w:tcBorders>
              <w:right w:val="single" w:sz="8" w:color="auto"/>
            </w:tcBorders>
            <w:gridSpan w:val="3"/>
          </w:tcPr>
          <w:p>
            <w:pPr>
              <w:ind w:left="20"/>
              <w:spacing w:after="0" w:line="197" w:lineRule="exact"/>
              <w:rPr>
                <w:sz w:val="20"/>
                <w:szCs w:val="20"/>
                <w:color w:val="auto"/>
              </w:rPr>
            </w:pPr>
            <w:r>
              <w:rPr>
                <w:rFonts w:ascii="Arial" w:cs="Arial" w:eastAsia="Arial" w:hAnsi="Arial"/>
                <w:sz w:val="22"/>
                <w:szCs w:val="22"/>
                <w:color w:val="auto"/>
              </w:rPr>
              <w:t>Expires earlier of (i) original expiration</w:t>
            </w:r>
          </w:p>
        </w:tc>
      </w:tr>
      <w:tr>
        <w:trPr>
          <w:trHeight w:val="216"/>
        </w:trPr>
        <w:tc>
          <w:tcPr>
            <w:tcW w:w="1140" w:type="dxa"/>
            <w:vAlign w:val="bottom"/>
            <w:tcBorders>
              <w:left w:val="single" w:sz="8" w:color="auto"/>
            </w:tcBorders>
          </w:tcPr>
          <w:p>
            <w:pPr>
              <w:spacing w:after="0"/>
              <w:rPr>
                <w:sz w:val="18"/>
                <w:szCs w:val="18"/>
                <w:color w:val="auto"/>
              </w:rPr>
            </w:pPr>
          </w:p>
        </w:tc>
        <w:tc>
          <w:tcPr>
            <w:tcW w:w="1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3740" w:type="dxa"/>
            <w:vAlign w:val="bottom"/>
            <w:tcBorders>
              <w:right w:val="single" w:sz="8" w:color="auto"/>
            </w:tcBorders>
          </w:tcPr>
          <w:p>
            <w:pPr>
              <w:spacing w:after="0" w:line="216" w:lineRule="exact"/>
              <w:rPr>
                <w:sz w:val="20"/>
                <w:szCs w:val="20"/>
                <w:color w:val="auto"/>
              </w:rPr>
            </w:pPr>
            <w:r>
              <w:rPr>
                <w:rFonts w:ascii="Arial" w:cs="Arial" w:eastAsia="Arial" w:hAnsi="Arial"/>
                <w:sz w:val="22"/>
                <w:szCs w:val="22"/>
                <w:color w:val="auto"/>
              </w:rPr>
              <w:t>of Employment due to death.</w:t>
            </w:r>
          </w:p>
        </w:tc>
        <w:tc>
          <w:tcPr>
            <w:tcW w:w="3760" w:type="dxa"/>
            <w:vAlign w:val="bottom"/>
            <w:tcBorders>
              <w:right w:val="single" w:sz="8" w:color="auto"/>
            </w:tcBorders>
            <w:gridSpan w:val="3"/>
          </w:tcPr>
          <w:p>
            <w:pPr>
              <w:ind w:left="20"/>
              <w:spacing w:after="0" w:line="216" w:lineRule="exact"/>
              <w:rPr>
                <w:sz w:val="20"/>
                <w:szCs w:val="20"/>
                <w:color w:val="auto"/>
              </w:rPr>
            </w:pPr>
            <w:r>
              <w:rPr>
                <w:rFonts w:ascii="Arial" w:cs="Arial" w:eastAsia="Arial" w:hAnsi="Arial"/>
                <w:sz w:val="22"/>
                <w:szCs w:val="22"/>
                <w:color w:val="auto"/>
              </w:rPr>
              <w:t>date, or (ii) 3 years after Termination</w:t>
            </w:r>
          </w:p>
        </w:tc>
      </w:tr>
      <w:tr>
        <w:trPr>
          <w:trHeight w:val="283"/>
        </w:trPr>
        <w:tc>
          <w:tcPr>
            <w:tcW w:w="1140" w:type="dxa"/>
            <w:vAlign w:val="bottom"/>
            <w:tcBorders>
              <w:left w:val="single" w:sz="8" w:color="auto"/>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3740" w:type="dxa"/>
            <w:vAlign w:val="bottom"/>
            <w:tcBorders>
              <w:bottom w:val="single" w:sz="8" w:color="auto"/>
              <w:right w:val="single" w:sz="8" w:color="auto"/>
            </w:tcBorders>
          </w:tcPr>
          <w:p>
            <w:pPr>
              <w:spacing w:after="0"/>
              <w:rPr>
                <w:sz w:val="24"/>
                <w:szCs w:val="24"/>
                <w:color w:val="auto"/>
              </w:rPr>
            </w:pPr>
          </w:p>
        </w:tc>
        <w:tc>
          <w:tcPr>
            <w:tcW w:w="2240" w:type="dxa"/>
            <w:vAlign w:val="bottom"/>
            <w:tcBorders>
              <w:bottom w:val="single" w:sz="8" w:color="auto"/>
            </w:tcBorders>
            <w:gridSpan w:val="2"/>
          </w:tcPr>
          <w:p>
            <w:pPr>
              <w:ind w:left="20"/>
              <w:spacing w:after="0"/>
              <w:rPr>
                <w:sz w:val="20"/>
                <w:szCs w:val="20"/>
                <w:color w:val="auto"/>
              </w:rPr>
            </w:pPr>
            <w:r>
              <w:rPr>
                <w:rFonts w:ascii="Arial" w:cs="Arial" w:eastAsia="Arial" w:hAnsi="Arial"/>
                <w:sz w:val="22"/>
                <w:szCs w:val="22"/>
                <w:color w:val="auto"/>
              </w:rPr>
              <w:t>of Employment.</w:t>
            </w:r>
          </w:p>
        </w:tc>
        <w:tc>
          <w:tcPr>
            <w:tcW w:w="1520" w:type="dxa"/>
            <w:vAlign w:val="bottom"/>
            <w:tcBorders>
              <w:bottom w:val="single" w:sz="8" w:color="auto"/>
              <w:right w:val="single" w:sz="8" w:color="auto"/>
            </w:tcBorders>
          </w:tcPr>
          <w:p>
            <w:pPr>
              <w:spacing w:after="0"/>
              <w:rPr>
                <w:sz w:val="24"/>
                <w:szCs w:val="24"/>
                <w:color w:val="auto"/>
              </w:rPr>
            </w:pPr>
          </w:p>
        </w:tc>
      </w:tr>
      <w:tr>
        <w:trPr>
          <w:trHeight w:val="197"/>
        </w:trPr>
        <w:tc>
          <w:tcPr>
            <w:tcW w:w="1140" w:type="dxa"/>
            <w:vAlign w:val="bottom"/>
            <w:tcBorders>
              <w:left w:val="single" w:sz="8" w:color="auto"/>
            </w:tcBorders>
          </w:tcPr>
          <w:p>
            <w:pPr>
              <w:ind w:left="40"/>
              <w:spacing w:after="0" w:line="197" w:lineRule="exact"/>
              <w:rPr>
                <w:sz w:val="20"/>
                <w:szCs w:val="20"/>
                <w:color w:val="auto"/>
              </w:rPr>
            </w:pPr>
            <w:r>
              <w:rPr>
                <w:rFonts w:ascii="Arial" w:cs="Arial" w:eastAsia="Arial" w:hAnsi="Arial"/>
                <w:sz w:val="22"/>
                <w:szCs w:val="22"/>
                <w:color w:val="auto"/>
              </w:rPr>
              <w:t>Disability</w:t>
            </w:r>
          </w:p>
        </w:tc>
        <w:tc>
          <w:tcPr>
            <w:tcW w:w="1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3740" w:type="dxa"/>
            <w:vAlign w:val="bottom"/>
            <w:tcBorders>
              <w:right w:val="single" w:sz="8" w:color="auto"/>
            </w:tcBorders>
          </w:tcPr>
          <w:p>
            <w:pPr>
              <w:spacing w:after="0" w:line="197" w:lineRule="exact"/>
              <w:rPr>
                <w:sz w:val="20"/>
                <w:szCs w:val="20"/>
                <w:color w:val="auto"/>
              </w:rPr>
            </w:pPr>
            <w:r>
              <w:rPr>
                <w:rFonts w:ascii="Arial" w:cs="Arial" w:eastAsia="Arial" w:hAnsi="Arial"/>
                <w:sz w:val="22"/>
                <w:szCs w:val="22"/>
                <w:color w:val="auto"/>
              </w:rPr>
              <w:t>Immediate vesting as of Termination</w:t>
            </w:r>
          </w:p>
        </w:tc>
        <w:tc>
          <w:tcPr>
            <w:tcW w:w="3760" w:type="dxa"/>
            <w:vAlign w:val="bottom"/>
            <w:tcBorders>
              <w:right w:val="single" w:sz="8" w:color="auto"/>
            </w:tcBorders>
            <w:gridSpan w:val="3"/>
          </w:tcPr>
          <w:p>
            <w:pPr>
              <w:ind w:left="20"/>
              <w:spacing w:after="0" w:line="197" w:lineRule="exact"/>
              <w:rPr>
                <w:sz w:val="20"/>
                <w:szCs w:val="20"/>
                <w:color w:val="auto"/>
              </w:rPr>
            </w:pPr>
            <w:r>
              <w:rPr>
                <w:rFonts w:ascii="Arial" w:cs="Arial" w:eastAsia="Arial" w:hAnsi="Arial"/>
                <w:sz w:val="22"/>
                <w:szCs w:val="22"/>
                <w:color w:val="auto"/>
              </w:rPr>
              <w:t>Expires earlier of (i) original expiration</w:t>
            </w:r>
          </w:p>
        </w:tc>
      </w:tr>
      <w:tr>
        <w:trPr>
          <w:trHeight w:val="216"/>
        </w:trPr>
        <w:tc>
          <w:tcPr>
            <w:tcW w:w="1140" w:type="dxa"/>
            <w:vAlign w:val="bottom"/>
            <w:tcBorders>
              <w:left w:val="single" w:sz="8" w:color="auto"/>
            </w:tcBorders>
          </w:tcPr>
          <w:p>
            <w:pPr>
              <w:spacing w:after="0"/>
              <w:rPr>
                <w:sz w:val="18"/>
                <w:szCs w:val="18"/>
                <w:color w:val="auto"/>
              </w:rPr>
            </w:pPr>
          </w:p>
        </w:tc>
        <w:tc>
          <w:tcPr>
            <w:tcW w:w="1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3740" w:type="dxa"/>
            <w:vAlign w:val="bottom"/>
            <w:tcBorders>
              <w:right w:val="single" w:sz="8" w:color="auto"/>
            </w:tcBorders>
          </w:tcPr>
          <w:p>
            <w:pPr>
              <w:spacing w:after="0" w:line="216" w:lineRule="exact"/>
              <w:rPr>
                <w:sz w:val="20"/>
                <w:szCs w:val="20"/>
                <w:color w:val="auto"/>
              </w:rPr>
            </w:pPr>
            <w:r>
              <w:rPr>
                <w:rFonts w:ascii="Arial" w:cs="Arial" w:eastAsia="Arial" w:hAnsi="Arial"/>
                <w:sz w:val="22"/>
                <w:szCs w:val="22"/>
                <w:color w:val="auto"/>
              </w:rPr>
              <w:t>of Employment due to Disability.</w:t>
            </w:r>
          </w:p>
        </w:tc>
        <w:tc>
          <w:tcPr>
            <w:tcW w:w="3760" w:type="dxa"/>
            <w:vAlign w:val="bottom"/>
            <w:tcBorders>
              <w:right w:val="single" w:sz="8" w:color="auto"/>
            </w:tcBorders>
            <w:gridSpan w:val="3"/>
          </w:tcPr>
          <w:p>
            <w:pPr>
              <w:ind w:left="20"/>
              <w:spacing w:after="0" w:line="216" w:lineRule="exact"/>
              <w:rPr>
                <w:sz w:val="20"/>
                <w:szCs w:val="20"/>
                <w:color w:val="auto"/>
              </w:rPr>
            </w:pPr>
            <w:r>
              <w:rPr>
                <w:rFonts w:ascii="Arial" w:cs="Arial" w:eastAsia="Arial" w:hAnsi="Arial"/>
                <w:sz w:val="22"/>
                <w:szCs w:val="22"/>
                <w:color w:val="auto"/>
              </w:rPr>
              <w:t>date, or (ii) 3 years after Termination</w:t>
            </w:r>
          </w:p>
        </w:tc>
      </w:tr>
      <w:tr>
        <w:trPr>
          <w:trHeight w:val="283"/>
        </w:trPr>
        <w:tc>
          <w:tcPr>
            <w:tcW w:w="1140" w:type="dxa"/>
            <w:vAlign w:val="bottom"/>
            <w:tcBorders>
              <w:left w:val="single" w:sz="8" w:color="auto"/>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3740" w:type="dxa"/>
            <w:vAlign w:val="bottom"/>
            <w:tcBorders>
              <w:bottom w:val="single" w:sz="8" w:color="auto"/>
              <w:right w:val="single" w:sz="8" w:color="auto"/>
            </w:tcBorders>
          </w:tcPr>
          <w:p>
            <w:pPr>
              <w:spacing w:after="0"/>
              <w:rPr>
                <w:sz w:val="24"/>
                <w:szCs w:val="24"/>
                <w:color w:val="auto"/>
              </w:rPr>
            </w:pPr>
          </w:p>
        </w:tc>
        <w:tc>
          <w:tcPr>
            <w:tcW w:w="2240" w:type="dxa"/>
            <w:vAlign w:val="bottom"/>
            <w:tcBorders>
              <w:bottom w:val="single" w:sz="8" w:color="auto"/>
            </w:tcBorders>
            <w:gridSpan w:val="2"/>
          </w:tcPr>
          <w:p>
            <w:pPr>
              <w:ind w:left="20"/>
              <w:spacing w:after="0"/>
              <w:rPr>
                <w:sz w:val="20"/>
                <w:szCs w:val="20"/>
                <w:color w:val="auto"/>
              </w:rPr>
            </w:pPr>
            <w:r>
              <w:rPr>
                <w:rFonts w:ascii="Arial" w:cs="Arial" w:eastAsia="Arial" w:hAnsi="Arial"/>
                <w:sz w:val="22"/>
                <w:szCs w:val="22"/>
                <w:color w:val="auto"/>
              </w:rPr>
              <w:t>of Employment.</w:t>
            </w:r>
          </w:p>
        </w:tc>
        <w:tc>
          <w:tcPr>
            <w:tcW w:w="1520" w:type="dxa"/>
            <w:vAlign w:val="bottom"/>
            <w:tcBorders>
              <w:bottom w:val="single" w:sz="8" w:color="auto"/>
              <w:right w:val="single" w:sz="8" w:color="auto"/>
            </w:tcBorders>
          </w:tcPr>
          <w:p>
            <w:pPr>
              <w:spacing w:after="0"/>
              <w:rPr>
                <w:sz w:val="24"/>
                <w:szCs w:val="24"/>
                <w:color w:val="auto"/>
              </w:rPr>
            </w:pPr>
          </w:p>
        </w:tc>
      </w:tr>
      <w:tr>
        <w:trPr>
          <w:trHeight w:val="197"/>
        </w:trPr>
        <w:tc>
          <w:tcPr>
            <w:tcW w:w="1140" w:type="dxa"/>
            <w:vAlign w:val="bottom"/>
            <w:tcBorders>
              <w:left w:val="single" w:sz="8" w:color="auto"/>
            </w:tcBorders>
          </w:tcPr>
          <w:p>
            <w:pPr>
              <w:ind w:left="40"/>
              <w:spacing w:after="0" w:line="197" w:lineRule="exact"/>
              <w:rPr>
                <w:sz w:val="20"/>
                <w:szCs w:val="20"/>
                <w:color w:val="auto"/>
              </w:rPr>
            </w:pPr>
            <w:r>
              <w:rPr>
                <w:rFonts w:ascii="Arial" w:cs="Arial" w:eastAsia="Arial" w:hAnsi="Arial"/>
                <w:sz w:val="22"/>
                <w:szCs w:val="22"/>
                <w:color w:val="auto"/>
              </w:rPr>
              <w:t>Retirement</w:t>
            </w:r>
          </w:p>
        </w:tc>
        <w:tc>
          <w:tcPr>
            <w:tcW w:w="1840" w:type="dxa"/>
            <w:vAlign w:val="bottom"/>
            <w:gridSpan w:val="2"/>
          </w:tcPr>
          <w:p>
            <w:pPr>
              <w:ind w:left="560"/>
              <w:spacing w:after="0" w:line="197" w:lineRule="exact"/>
              <w:rPr>
                <w:sz w:val="20"/>
                <w:szCs w:val="20"/>
                <w:color w:val="auto"/>
              </w:rPr>
            </w:pPr>
            <w:r>
              <w:rPr>
                <w:rFonts w:ascii="Arial" w:cs="Arial" w:eastAsia="Arial" w:hAnsi="Arial"/>
                <w:sz w:val="22"/>
                <w:szCs w:val="22"/>
                <w:color w:val="auto"/>
              </w:rPr>
              <w:t>(Termination</w:t>
            </w:r>
          </w:p>
        </w:tc>
        <w:tc>
          <w:tcPr>
            <w:tcW w:w="780" w:type="dxa"/>
            <w:vAlign w:val="bottom"/>
            <w:tcBorders>
              <w:right w:val="single" w:sz="8" w:color="auto"/>
            </w:tcBorders>
          </w:tcPr>
          <w:p>
            <w:pPr>
              <w:jc w:val="right"/>
              <w:spacing w:after="0" w:line="197" w:lineRule="exact"/>
              <w:rPr>
                <w:sz w:val="20"/>
                <w:szCs w:val="20"/>
                <w:color w:val="auto"/>
              </w:rPr>
            </w:pPr>
            <w:r>
              <w:rPr>
                <w:rFonts w:ascii="Arial" w:cs="Arial" w:eastAsia="Arial" w:hAnsi="Arial"/>
                <w:sz w:val="22"/>
                <w:szCs w:val="22"/>
                <w:color w:val="auto"/>
              </w:rPr>
              <w:t>of</w:t>
            </w:r>
          </w:p>
        </w:tc>
        <w:tc>
          <w:tcPr>
            <w:tcW w:w="3740" w:type="dxa"/>
            <w:vAlign w:val="bottom"/>
            <w:tcBorders>
              <w:right w:val="single" w:sz="8" w:color="auto"/>
            </w:tcBorders>
          </w:tcPr>
          <w:p>
            <w:pPr>
              <w:spacing w:after="0" w:line="197" w:lineRule="exact"/>
              <w:rPr>
                <w:sz w:val="20"/>
                <w:szCs w:val="20"/>
                <w:color w:val="auto"/>
              </w:rPr>
            </w:pPr>
            <w:r>
              <w:rPr>
                <w:rFonts w:ascii="Arial" w:cs="Arial" w:eastAsia="Arial" w:hAnsi="Arial"/>
                <w:sz w:val="22"/>
                <w:szCs w:val="22"/>
                <w:color w:val="auto"/>
              </w:rPr>
              <w:t>Unvested  Awards  forfeited  as  of</w:t>
            </w:r>
          </w:p>
        </w:tc>
        <w:tc>
          <w:tcPr>
            <w:tcW w:w="3760" w:type="dxa"/>
            <w:vAlign w:val="bottom"/>
            <w:tcBorders>
              <w:right w:val="single" w:sz="8" w:color="auto"/>
            </w:tcBorders>
            <w:gridSpan w:val="3"/>
          </w:tcPr>
          <w:p>
            <w:pPr>
              <w:ind w:left="20"/>
              <w:spacing w:after="0" w:line="197" w:lineRule="exact"/>
              <w:rPr>
                <w:sz w:val="20"/>
                <w:szCs w:val="20"/>
                <w:color w:val="auto"/>
              </w:rPr>
            </w:pPr>
            <w:r>
              <w:rPr>
                <w:rFonts w:ascii="Arial" w:cs="Arial" w:eastAsia="Arial" w:hAnsi="Arial"/>
                <w:sz w:val="22"/>
                <w:szCs w:val="22"/>
                <w:color w:val="auto"/>
              </w:rPr>
              <w:t>Expires earlier of (i) original expiration</w:t>
            </w:r>
          </w:p>
        </w:tc>
      </w:tr>
      <w:tr>
        <w:trPr>
          <w:trHeight w:val="216"/>
        </w:trPr>
        <w:tc>
          <w:tcPr>
            <w:tcW w:w="2300" w:type="dxa"/>
            <w:vAlign w:val="bottom"/>
            <w:tcBorders>
              <w:left w:val="single" w:sz="8" w:color="auto"/>
            </w:tcBorders>
            <w:gridSpan w:val="2"/>
          </w:tcPr>
          <w:p>
            <w:pPr>
              <w:ind w:left="40"/>
              <w:spacing w:after="0" w:line="216" w:lineRule="exact"/>
              <w:rPr>
                <w:sz w:val="20"/>
                <w:szCs w:val="20"/>
                <w:color w:val="auto"/>
              </w:rPr>
            </w:pPr>
            <w:r>
              <w:rPr>
                <w:rFonts w:ascii="Arial" w:cs="Arial" w:eastAsia="Arial" w:hAnsi="Arial"/>
                <w:sz w:val="22"/>
                <w:szCs w:val="22"/>
                <w:color w:val="auto"/>
              </w:rPr>
              <w:t>Employment  because</w:t>
            </w:r>
          </w:p>
        </w:tc>
        <w:tc>
          <w:tcPr>
            <w:tcW w:w="1460" w:type="dxa"/>
            <w:vAlign w:val="bottom"/>
            <w:tcBorders>
              <w:right w:val="single" w:sz="8" w:color="auto"/>
            </w:tcBorders>
            <w:gridSpan w:val="2"/>
          </w:tcPr>
          <w:p>
            <w:pPr>
              <w:jc w:val="right"/>
              <w:spacing w:after="0" w:line="216" w:lineRule="exact"/>
              <w:rPr>
                <w:sz w:val="20"/>
                <w:szCs w:val="20"/>
                <w:color w:val="auto"/>
              </w:rPr>
            </w:pPr>
            <w:r>
              <w:rPr>
                <w:rFonts w:ascii="Arial" w:cs="Arial" w:eastAsia="Arial" w:hAnsi="Arial"/>
                <w:sz w:val="22"/>
                <w:szCs w:val="22"/>
                <w:color w:val="auto"/>
              </w:rPr>
              <w:t>of  retirement</w:t>
            </w:r>
          </w:p>
        </w:tc>
        <w:tc>
          <w:tcPr>
            <w:tcW w:w="3740" w:type="dxa"/>
            <w:vAlign w:val="bottom"/>
            <w:tcBorders>
              <w:right w:val="single" w:sz="8" w:color="auto"/>
            </w:tcBorders>
          </w:tcPr>
          <w:p>
            <w:pPr>
              <w:spacing w:after="0" w:line="216" w:lineRule="exact"/>
              <w:rPr>
                <w:sz w:val="20"/>
                <w:szCs w:val="20"/>
                <w:color w:val="auto"/>
              </w:rPr>
            </w:pPr>
            <w:r>
              <w:rPr>
                <w:rFonts w:ascii="Arial" w:cs="Arial" w:eastAsia="Arial" w:hAnsi="Arial"/>
                <w:sz w:val="22"/>
                <w:szCs w:val="22"/>
                <w:color w:val="auto"/>
              </w:rPr>
              <w:t>Retirement.</w:t>
            </w:r>
          </w:p>
        </w:tc>
        <w:tc>
          <w:tcPr>
            <w:tcW w:w="3760" w:type="dxa"/>
            <w:vAlign w:val="bottom"/>
            <w:tcBorders>
              <w:right w:val="single" w:sz="8" w:color="auto"/>
            </w:tcBorders>
            <w:gridSpan w:val="3"/>
          </w:tcPr>
          <w:p>
            <w:pPr>
              <w:ind w:left="20"/>
              <w:spacing w:after="0" w:line="216" w:lineRule="exact"/>
              <w:rPr>
                <w:sz w:val="20"/>
                <w:szCs w:val="20"/>
                <w:color w:val="auto"/>
              </w:rPr>
            </w:pPr>
            <w:r>
              <w:rPr>
                <w:rFonts w:ascii="Arial" w:cs="Arial" w:eastAsia="Arial" w:hAnsi="Arial"/>
                <w:sz w:val="22"/>
                <w:szCs w:val="22"/>
                <w:color w:val="auto"/>
              </w:rPr>
              <w:t>date, or (ii) 3 years after Retirement.</w:t>
            </w:r>
          </w:p>
        </w:tc>
      </w:tr>
      <w:tr>
        <w:trPr>
          <w:trHeight w:val="216"/>
        </w:trPr>
        <w:tc>
          <w:tcPr>
            <w:tcW w:w="3760" w:type="dxa"/>
            <w:vAlign w:val="bottom"/>
            <w:tcBorders>
              <w:left w:val="single" w:sz="8" w:color="auto"/>
              <w:right w:val="single" w:sz="8" w:color="auto"/>
            </w:tcBorders>
            <w:gridSpan w:val="4"/>
          </w:tcPr>
          <w:p>
            <w:pPr>
              <w:ind w:left="40"/>
              <w:spacing w:after="0" w:line="216" w:lineRule="exact"/>
              <w:rPr>
                <w:sz w:val="20"/>
                <w:szCs w:val="20"/>
                <w:color w:val="auto"/>
              </w:rPr>
            </w:pPr>
            <w:r>
              <w:rPr>
                <w:rFonts w:ascii="Arial" w:cs="Arial" w:eastAsia="Arial" w:hAnsi="Arial"/>
                <w:sz w:val="22"/>
                <w:szCs w:val="22"/>
                <w:color w:val="auto"/>
              </w:rPr>
              <w:t>from active employment on or after</w:t>
            </w:r>
          </w:p>
        </w:tc>
        <w:tc>
          <w:tcPr>
            <w:tcW w:w="3740" w:type="dxa"/>
            <w:vAlign w:val="bottom"/>
            <w:tcBorders>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20" w:type="dxa"/>
            <w:vAlign w:val="bottom"/>
            <w:tcBorders>
              <w:right w:val="single" w:sz="8" w:color="auto"/>
            </w:tcBorders>
          </w:tcPr>
          <w:p>
            <w:pPr>
              <w:spacing w:after="0"/>
              <w:rPr>
                <w:sz w:val="18"/>
                <w:szCs w:val="18"/>
                <w:color w:val="auto"/>
              </w:rPr>
            </w:pPr>
          </w:p>
        </w:tc>
      </w:tr>
      <w:tr>
        <w:trPr>
          <w:trHeight w:val="283"/>
        </w:trPr>
        <w:tc>
          <w:tcPr>
            <w:tcW w:w="3760" w:type="dxa"/>
            <w:vAlign w:val="bottom"/>
            <w:tcBorders>
              <w:left w:val="single" w:sz="8" w:color="auto"/>
              <w:bottom w:val="single" w:sz="8" w:color="auto"/>
              <w:right w:val="single" w:sz="8" w:color="auto"/>
            </w:tcBorders>
            <w:gridSpan w:val="4"/>
          </w:tcPr>
          <w:p>
            <w:pPr>
              <w:ind w:left="40"/>
              <w:spacing w:after="0"/>
              <w:rPr>
                <w:sz w:val="20"/>
                <w:szCs w:val="20"/>
                <w:color w:val="auto"/>
              </w:rPr>
            </w:pPr>
            <w:r>
              <w:rPr>
                <w:rFonts w:ascii="Arial" w:cs="Arial" w:eastAsia="Arial" w:hAnsi="Arial"/>
                <w:sz w:val="22"/>
                <w:szCs w:val="22"/>
                <w:color w:val="auto"/>
              </w:rPr>
              <w:t>age 55 and 10 Years of Service)</w:t>
            </w:r>
          </w:p>
        </w:tc>
        <w:tc>
          <w:tcPr>
            <w:tcW w:w="374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197"/>
        </w:trPr>
        <w:tc>
          <w:tcPr>
            <w:tcW w:w="1140" w:type="dxa"/>
            <w:vAlign w:val="bottom"/>
            <w:tcBorders>
              <w:left w:val="single" w:sz="8" w:color="auto"/>
            </w:tcBorders>
          </w:tcPr>
          <w:p>
            <w:pPr>
              <w:ind w:left="40"/>
              <w:spacing w:after="0" w:line="197" w:lineRule="exact"/>
              <w:rPr>
                <w:sz w:val="20"/>
                <w:szCs w:val="20"/>
                <w:color w:val="auto"/>
              </w:rPr>
            </w:pPr>
            <w:r>
              <w:rPr>
                <w:rFonts w:ascii="Arial" w:cs="Arial" w:eastAsia="Arial" w:hAnsi="Arial"/>
                <w:sz w:val="22"/>
                <w:szCs w:val="22"/>
                <w:color w:val="auto"/>
              </w:rPr>
              <w:t>Voluntary</w:t>
            </w:r>
          </w:p>
        </w:tc>
        <w:tc>
          <w:tcPr>
            <w:tcW w:w="1160" w:type="dxa"/>
            <w:vAlign w:val="bottom"/>
          </w:tcPr>
          <w:p>
            <w:pPr>
              <w:ind w:left="40"/>
              <w:spacing w:after="0" w:line="197" w:lineRule="exact"/>
              <w:rPr>
                <w:sz w:val="20"/>
                <w:szCs w:val="20"/>
                <w:color w:val="auto"/>
              </w:rPr>
            </w:pPr>
            <w:r>
              <w:rPr>
                <w:rFonts w:ascii="Arial" w:cs="Arial" w:eastAsia="Arial" w:hAnsi="Arial"/>
                <w:sz w:val="22"/>
                <w:szCs w:val="22"/>
                <w:color w:val="auto"/>
              </w:rPr>
              <w:t>termination</w:t>
            </w:r>
          </w:p>
        </w:tc>
        <w:tc>
          <w:tcPr>
            <w:tcW w:w="680" w:type="dxa"/>
            <w:vAlign w:val="bottom"/>
          </w:tcPr>
          <w:p>
            <w:pPr>
              <w:ind w:left="180"/>
              <w:spacing w:after="0" w:line="197" w:lineRule="exact"/>
              <w:rPr>
                <w:sz w:val="20"/>
                <w:szCs w:val="20"/>
                <w:color w:val="auto"/>
              </w:rPr>
            </w:pPr>
            <w:r>
              <w:rPr>
                <w:rFonts w:ascii="Arial" w:cs="Arial" w:eastAsia="Arial" w:hAnsi="Arial"/>
                <w:sz w:val="22"/>
                <w:szCs w:val="22"/>
                <w:color w:val="auto"/>
              </w:rPr>
              <w:t>with</w:t>
            </w:r>
          </w:p>
        </w:tc>
        <w:tc>
          <w:tcPr>
            <w:tcW w:w="780" w:type="dxa"/>
            <w:vAlign w:val="bottom"/>
            <w:tcBorders>
              <w:right w:val="single" w:sz="8" w:color="auto"/>
            </w:tcBorders>
          </w:tcPr>
          <w:p>
            <w:pPr>
              <w:jc w:val="right"/>
              <w:spacing w:after="0" w:line="197" w:lineRule="exact"/>
              <w:rPr>
                <w:sz w:val="20"/>
                <w:szCs w:val="20"/>
                <w:color w:val="auto"/>
              </w:rPr>
            </w:pPr>
            <w:r>
              <w:rPr>
                <w:rFonts w:ascii="Arial" w:cs="Arial" w:eastAsia="Arial" w:hAnsi="Arial"/>
                <w:sz w:val="22"/>
                <w:szCs w:val="22"/>
                <w:color w:val="auto"/>
              </w:rPr>
              <w:t>notice</w:t>
            </w:r>
          </w:p>
        </w:tc>
        <w:tc>
          <w:tcPr>
            <w:tcW w:w="3740" w:type="dxa"/>
            <w:vAlign w:val="bottom"/>
            <w:tcBorders>
              <w:right w:val="single" w:sz="8" w:color="auto"/>
            </w:tcBorders>
          </w:tcPr>
          <w:p>
            <w:pPr>
              <w:spacing w:after="0" w:line="197" w:lineRule="exact"/>
              <w:rPr>
                <w:sz w:val="20"/>
                <w:szCs w:val="20"/>
                <w:color w:val="auto"/>
              </w:rPr>
            </w:pPr>
            <w:r>
              <w:rPr>
                <w:rFonts w:ascii="Arial" w:cs="Arial" w:eastAsia="Arial" w:hAnsi="Arial"/>
                <w:sz w:val="22"/>
                <w:szCs w:val="22"/>
                <w:color w:val="auto"/>
              </w:rPr>
              <w:t>Unvested  Awards  forfeited  as  of</w:t>
            </w:r>
          </w:p>
        </w:tc>
        <w:tc>
          <w:tcPr>
            <w:tcW w:w="3760" w:type="dxa"/>
            <w:vAlign w:val="bottom"/>
            <w:tcBorders>
              <w:right w:val="single" w:sz="8" w:color="auto"/>
            </w:tcBorders>
            <w:gridSpan w:val="3"/>
          </w:tcPr>
          <w:p>
            <w:pPr>
              <w:ind w:left="20"/>
              <w:spacing w:after="0" w:line="197" w:lineRule="exact"/>
              <w:rPr>
                <w:sz w:val="20"/>
                <w:szCs w:val="20"/>
                <w:color w:val="auto"/>
              </w:rPr>
            </w:pPr>
            <w:r>
              <w:rPr>
                <w:rFonts w:ascii="Arial" w:cs="Arial" w:eastAsia="Arial" w:hAnsi="Arial"/>
                <w:sz w:val="22"/>
                <w:szCs w:val="22"/>
                <w:color w:val="auto"/>
              </w:rPr>
              <w:t>Expires earlier of (i) original expiration</w:t>
            </w:r>
          </w:p>
        </w:tc>
      </w:tr>
      <w:tr>
        <w:trPr>
          <w:trHeight w:val="283"/>
        </w:trPr>
        <w:tc>
          <w:tcPr>
            <w:tcW w:w="2980" w:type="dxa"/>
            <w:vAlign w:val="bottom"/>
            <w:tcBorders>
              <w:left w:val="single" w:sz="8" w:color="auto"/>
              <w:bottom w:val="single" w:sz="8" w:color="auto"/>
            </w:tcBorders>
            <w:gridSpan w:val="3"/>
          </w:tcPr>
          <w:p>
            <w:pPr>
              <w:ind w:left="40"/>
              <w:spacing w:after="0"/>
              <w:rPr>
                <w:sz w:val="20"/>
                <w:szCs w:val="20"/>
                <w:color w:val="auto"/>
              </w:rPr>
            </w:pPr>
            <w:r>
              <w:rPr>
                <w:rFonts w:ascii="Arial" w:cs="Arial" w:eastAsia="Arial" w:hAnsi="Arial"/>
                <w:sz w:val="22"/>
                <w:szCs w:val="22"/>
                <w:color w:val="auto"/>
              </w:rPr>
              <w:t>period of 60 days or more</w:t>
            </w:r>
          </w:p>
        </w:tc>
        <w:tc>
          <w:tcPr>
            <w:tcW w:w="780" w:type="dxa"/>
            <w:vAlign w:val="bottom"/>
            <w:tcBorders>
              <w:bottom w:val="single" w:sz="8" w:color="auto"/>
              <w:right w:val="single" w:sz="8" w:color="auto"/>
            </w:tcBorders>
          </w:tcPr>
          <w:p>
            <w:pPr>
              <w:spacing w:after="0"/>
              <w:rPr>
                <w:sz w:val="24"/>
                <w:szCs w:val="24"/>
                <w:color w:val="auto"/>
              </w:rPr>
            </w:pPr>
          </w:p>
        </w:tc>
        <w:tc>
          <w:tcPr>
            <w:tcW w:w="3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Termination of Employment.</w:t>
            </w:r>
          </w:p>
        </w:tc>
        <w:tc>
          <w:tcPr>
            <w:tcW w:w="376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22"/>
                <w:szCs w:val="22"/>
                <w:color w:val="auto"/>
              </w:rPr>
              <w:t>date, or (ii) 30 days after termination.</w:t>
            </w:r>
          </w:p>
        </w:tc>
      </w:tr>
      <w:tr>
        <w:trPr>
          <w:trHeight w:val="197"/>
        </w:trPr>
        <w:tc>
          <w:tcPr>
            <w:tcW w:w="1140" w:type="dxa"/>
            <w:vAlign w:val="bottom"/>
            <w:tcBorders>
              <w:left w:val="single" w:sz="8" w:color="auto"/>
            </w:tcBorders>
          </w:tcPr>
          <w:p>
            <w:pPr>
              <w:ind w:left="40"/>
              <w:spacing w:after="0" w:line="197" w:lineRule="exact"/>
              <w:rPr>
                <w:sz w:val="20"/>
                <w:szCs w:val="20"/>
                <w:color w:val="auto"/>
              </w:rPr>
            </w:pPr>
            <w:r>
              <w:rPr>
                <w:rFonts w:ascii="Arial" w:cs="Arial" w:eastAsia="Arial" w:hAnsi="Arial"/>
                <w:sz w:val="22"/>
                <w:szCs w:val="22"/>
                <w:color w:val="auto"/>
              </w:rPr>
              <w:t>Voluntary</w:t>
            </w:r>
          </w:p>
        </w:tc>
        <w:tc>
          <w:tcPr>
            <w:tcW w:w="1160" w:type="dxa"/>
            <w:vAlign w:val="bottom"/>
          </w:tcPr>
          <w:p>
            <w:pPr>
              <w:ind w:left="40"/>
              <w:spacing w:after="0" w:line="197" w:lineRule="exact"/>
              <w:rPr>
                <w:sz w:val="20"/>
                <w:szCs w:val="20"/>
                <w:color w:val="auto"/>
              </w:rPr>
            </w:pPr>
            <w:r>
              <w:rPr>
                <w:rFonts w:ascii="Arial" w:cs="Arial" w:eastAsia="Arial" w:hAnsi="Arial"/>
                <w:sz w:val="22"/>
                <w:szCs w:val="22"/>
                <w:color w:val="auto"/>
              </w:rPr>
              <w:t>termination</w:t>
            </w:r>
          </w:p>
        </w:tc>
        <w:tc>
          <w:tcPr>
            <w:tcW w:w="680" w:type="dxa"/>
            <w:vAlign w:val="bottom"/>
          </w:tcPr>
          <w:p>
            <w:pPr>
              <w:ind w:left="180"/>
              <w:spacing w:after="0" w:line="197" w:lineRule="exact"/>
              <w:rPr>
                <w:sz w:val="20"/>
                <w:szCs w:val="20"/>
                <w:color w:val="auto"/>
              </w:rPr>
            </w:pPr>
            <w:r>
              <w:rPr>
                <w:rFonts w:ascii="Arial" w:cs="Arial" w:eastAsia="Arial" w:hAnsi="Arial"/>
                <w:sz w:val="22"/>
                <w:szCs w:val="22"/>
                <w:color w:val="auto"/>
              </w:rPr>
              <w:t>with</w:t>
            </w:r>
          </w:p>
        </w:tc>
        <w:tc>
          <w:tcPr>
            <w:tcW w:w="780" w:type="dxa"/>
            <w:vAlign w:val="bottom"/>
            <w:tcBorders>
              <w:right w:val="single" w:sz="8" w:color="auto"/>
            </w:tcBorders>
          </w:tcPr>
          <w:p>
            <w:pPr>
              <w:jc w:val="right"/>
              <w:spacing w:after="0" w:line="197" w:lineRule="exact"/>
              <w:rPr>
                <w:sz w:val="20"/>
                <w:szCs w:val="20"/>
                <w:color w:val="auto"/>
              </w:rPr>
            </w:pPr>
            <w:r>
              <w:rPr>
                <w:rFonts w:ascii="Arial" w:cs="Arial" w:eastAsia="Arial" w:hAnsi="Arial"/>
                <w:sz w:val="22"/>
                <w:szCs w:val="22"/>
                <w:color w:val="auto"/>
              </w:rPr>
              <w:t>notice</w:t>
            </w:r>
          </w:p>
        </w:tc>
        <w:tc>
          <w:tcPr>
            <w:tcW w:w="3740" w:type="dxa"/>
            <w:vAlign w:val="bottom"/>
            <w:tcBorders>
              <w:right w:val="single" w:sz="8" w:color="auto"/>
            </w:tcBorders>
          </w:tcPr>
          <w:p>
            <w:pPr>
              <w:spacing w:after="0" w:line="197" w:lineRule="exact"/>
              <w:rPr>
                <w:sz w:val="20"/>
                <w:szCs w:val="20"/>
                <w:color w:val="auto"/>
              </w:rPr>
            </w:pPr>
            <w:r>
              <w:rPr>
                <w:rFonts w:ascii="Arial" w:cs="Arial" w:eastAsia="Arial" w:hAnsi="Arial"/>
                <w:sz w:val="22"/>
                <w:szCs w:val="22"/>
                <w:color w:val="auto"/>
              </w:rPr>
              <w:t>Unvested  Awards  forfeited  as  of</w:t>
            </w:r>
          </w:p>
        </w:tc>
        <w:tc>
          <w:tcPr>
            <w:tcW w:w="1120" w:type="dxa"/>
            <w:vAlign w:val="bottom"/>
          </w:tcPr>
          <w:p>
            <w:pPr>
              <w:ind w:left="20"/>
              <w:spacing w:after="0" w:line="197" w:lineRule="exact"/>
              <w:rPr>
                <w:sz w:val="20"/>
                <w:szCs w:val="20"/>
                <w:color w:val="auto"/>
              </w:rPr>
            </w:pPr>
            <w:r>
              <w:rPr>
                <w:rFonts w:ascii="Arial" w:cs="Arial" w:eastAsia="Arial" w:hAnsi="Arial"/>
                <w:sz w:val="22"/>
                <w:szCs w:val="22"/>
                <w:color w:val="auto"/>
              </w:rPr>
              <w:t>Vested</w:t>
            </w:r>
          </w:p>
        </w:tc>
        <w:tc>
          <w:tcPr>
            <w:tcW w:w="1120" w:type="dxa"/>
            <w:vAlign w:val="bottom"/>
          </w:tcPr>
          <w:p>
            <w:pPr>
              <w:ind w:left="120"/>
              <w:spacing w:after="0" w:line="197" w:lineRule="exact"/>
              <w:rPr>
                <w:sz w:val="20"/>
                <w:szCs w:val="20"/>
                <w:color w:val="auto"/>
              </w:rPr>
            </w:pPr>
            <w:r>
              <w:rPr>
                <w:rFonts w:ascii="Arial" w:cs="Arial" w:eastAsia="Arial" w:hAnsi="Arial"/>
                <w:sz w:val="22"/>
                <w:szCs w:val="22"/>
                <w:color w:val="auto"/>
              </w:rPr>
              <w:t>Awards</w:t>
            </w:r>
          </w:p>
        </w:tc>
        <w:tc>
          <w:tcPr>
            <w:tcW w:w="1520" w:type="dxa"/>
            <w:vAlign w:val="bottom"/>
            <w:tcBorders>
              <w:right w:val="single" w:sz="8" w:color="auto"/>
            </w:tcBorders>
          </w:tcPr>
          <w:p>
            <w:pPr>
              <w:ind w:left="280"/>
              <w:spacing w:after="0" w:line="197" w:lineRule="exact"/>
              <w:rPr>
                <w:sz w:val="20"/>
                <w:szCs w:val="20"/>
                <w:color w:val="auto"/>
              </w:rPr>
            </w:pPr>
            <w:r>
              <w:rPr>
                <w:rFonts w:ascii="Arial" w:cs="Arial" w:eastAsia="Arial" w:hAnsi="Arial"/>
                <w:sz w:val="22"/>
                <w:szCs w:val="22"/>
                <w:color w:val="auto"/>
              </w:rPr>
              <w:t>immediately</w:t>
            </w:r>
          </w:p>
        </w:tc>
      </w:tr>
      <w:tr>
        <w:trPr>
          <w:trHeight w:val="283"/>
        </w:trPr>
        <w:tc>
          <w:tcPr>
            <w:tcW w:w="2980" w:type="dxa"/>
            <w:vAlign w:val="bottom"/>
            <w:tcBorders>
              <w:left w:val="single" w:sz="8" w:color="auto"/>
              <w:bottom w:val="single" w:sz="8" w:color="auto"/>
            </w:tcBorders>
            <w:gridSpan w:val="3"/>
          </w:tcPr>
          <w:p>
            <w:pPr>
              <w:ind w:left="40"/>
              <w:spacing w:after="0"/>
              <w:rPr>
                <w:sz w:val="20"/>
                <w:szCs w:val="20"/>
                <w:color w:val="auto"/>
              </w:rPr>
            </w:pPr>
            <w:r>
              <w:rPr>
                <w:rFonts w:ascii="Arial" w:cs="Arial" w:eastAsia="Arial" w:hAnsi="Arial"/>
                <w:sz w:val="22"/>
                <w:szCs w:val="22"/>
                <w:color w:val="auto"/>
              </w:rPr>
              <w:t>period of less than 60 days</w:t>
            </w:r>
          </w:p>
        </w:tc>
        <w:tc>
          <w:tcPr>
            <w:tcW w:w="780" w:type="dxa"/>
            <w:vAlign w:val="bottom"/>
            <w:tcBorders>
              <w:bottom w:val="single" w:sz="8" w:color="auto"/>
              <w:right w:val="single" w:sz="8" w:color="auto"/>
            </w:tcBorders>
          </w:tcPr>
          <w:p>
            <w:pPr>
              <w:spacing w:after="0"/>
              <w:rPr>
                <w:sz w:val="24"/>
                <w:szCs w:val="24"/>
                <w:color w:val="auto"/>
              </w:rPr>
            </w:pPr>
          </w:p>
        </w:tc>
        <w:tc>
          <w:tcPr>
            <w:tcW w:w="3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Termination of Employment.</w:t>
            </w:r>
          </w:p>
        </w:tc>
        <w:tc>
          <w:tcPr>
            <w:tcW w:w="11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cancelled.</w:t>
            </w:r>
          </w:p>
        </w:tc>
        <w:tc>
          <w:tcPr>
            <w:tcW w:w="1120" w:type="dxa"/>
            <w:vAlign w:val="bottom"/>
            <w:tcBorders>
              <w:bottom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197"/>
        </w:trPr>
        <w:tc>
          <w:tcPr>
            <w:tcW w:w="3760" w:type="dxa"/>
            <w:vAlign w:val="bottom"/>
            <w:tcBorders>
              <w:left w:val="single" w:sz="8" w:color="auto"/>
              <w:right w:val="single" w:sz="8" w:color="auto"/>
            </w:tcBorders>
            <w:gridSpan w:val="4"/>
          </w:tcPr>
          <w:p>
            <w:pPr>
              <w:ind w:left="40"/>
              <w:spacing w:after="0" w:line="197" w:lineRule="exact"/>
              <w:rPr>
                <w:sz w:val="20"/>
                <w:szCs w:val="20"/>
                <w:color w:val="auto"/>
              </w:rPr>
            </w:pPr>
            <w:r>
              <w:rPr>
                <w:rFonts w:ascii="Arial" w:cs="Arial" w:eastAsia="Arial" w:hAnsi="Arial"/>
                <w:sz w:val="22"/>
                <w:szCs w:val="22"/>
                <w:color w:val="auto"/>
              </w:rPr>
              <w:t>Involuntary termination not for Cause</w:t>
            </w:r>
          </w:p>
        </w:tc>
        <w:tc>
          <w:tcPr>
            <w:tcW w:w="3740" w:type="dxa"/>
            <w:vAlign w:val="bottom"/>
            <w:tcBorders>
              <w:right w:val="single" w:sz="8" w:color="auto"/>
            </w:tcBorders>
          </w:tcPr>
          <w:p>
            <w:pPr>
              <w:spacing w:after="0" w:line="197" w:lineRule="exact"/>
              <w:rPr>
                <w:sz w:val="20"/>
                <w:szCs w:val="20"/>
                <w:color w:val="auto"/>
              </w:rPr>
            </w:pPr>
            <w:r>
              <w:rPr>
                <w:rFonts w:ascii="Arial" w:cs="Arial" w:eastAsia="Arial" w:hAnsi="Arial"/>
                <w:sz w:val="22"/>
                <w:szCs w:val="22"/>
                <w:color w:val="auto"/>
              </w:rPr>
              <w:t>Unvested  Awards  forfeited  as  of</w:t>
            </w:r>
          </w:p>
        </w:tc>
        <w:tc>
          <w:tcPr>
            <w:tcW w:w="3760" w:type="dxa"/>
            <w:vAlign w:val="bottom"/>
            <w:tcBorders>
              <w:right w:val="single" w:sz="8" w:color="auto"/>
            </w:tcBorders>
            <w:gridSpan w:val="3"/>
          </w:tcPr>
          <w:p>
            <w:pPr>
              <w:ind w:left="20"/>
              <w:spacing w:after="0" w:line="197" w:lineRule="exact"/>
              <w:rPr>
                <w:sz w:val="20"/>
                <w:szCs w:val="20"/>
                <w:color w:val="auto"/>
              </w:rPr>
            </w:pPr>
            <w:r>
              <w:rPr>
                <w:rFonts w:ascii="Arial" w:cs="Arial" w:eastAsia="Arial" w:hAnsi="Arial"/>
                <w:sz w:val="22"/>
                <w:szCs w:val="22"/>
                <w:color w:val="auto"/>
              </w:rPr>
              <w:t>Expires earlier of (i) original expiration</w:t>
            </w:r>
          </w:p>
        </w:tc>
      </w:tr>
      <w:tr>
        <w:trPr>
          <w:trHeight w:val="283"/>
        </w:trPr>
        <w:tc>
          <w:tcPr>
            <w:tcW w:w="1140" w:type="dxa"/>
            <w:vAlign w:val="bottom"/>
            <w:tcBorders>
              <w:left w:val="single" w:sz="8" w:color="auto"/>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3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Termination of Employment.</w:t>
            </w:r>
          </w:p>
        </w:tc>
        <w:tc>
          <w:tcPr>
            <w:tcW w:w="376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22"/>
                <w:szCs w:val="22"/>
                <w:color w:val="auto"/>
              </w:rPr>
              <w:t>date, or (ii) 1 year after termination.</w:t>
            </w:r>
          </w:p>
        </w:tc>
      </w:tr>
      <w:tr>
        <w:trPr>
          <w:trHeight w:val="197"/>
        </w:trPr>
        <w:tc>
          <w:tcPr>
            <w:tcW w:w="3760" w:type="dxa"/>
            <w:vAlign w:val="bottom"/>
            <w:tcBorders>
              <w:left w:val="single" w:sz="8" w:color="auto"/>
              <w:right w:val="single" w:sz="8" w:color="auto"/>
            </w:tcBorders>
            <w:gridSpan w:val="4"/>
          </w:tcPr>
          <w:p>
            <w:pPr>
              <w:ind w:left="40"/>
              <w:spacing w:after="0" w:line="197" w:lineRule="exact"/>
              <w:rPr>
                <w:sz w:val="20"/>
                <w:szCs w:val="20"/>
                <w:color w:val="auto"/>
              </w:rPr>
            </w:pPr>
            <w:r>
              <w:rPr>
                <w:rFonts w:ascii="Arial" w:cs="Arial" w:eastAsia="Arial" w:hAnsi="Arial"/>
                <w:sz w:val="22"/>
                <w:szCs w:val="22"/>
                <w:color w:val="auto"/>
              </w:rPr>
              <w:t>Involuntary termination for Cause</w:t>
            </w:r>
          </w:p>
        </w:tc>
        <w:tc>
          <w:tcPr>
            <w:tcW w:w="3740" w:type="dxa"/>
            <w:vAlign w:val="bottom"/>
            <w:tcBorders>
              <w:right w:val="single" w:sz="8" w:color="auto"/>
            </w:tcBorders>
          </w:tcPr>
          <w:p>
            <w:pPr>
              <w:spacing w:after="0" w:line="197" w:lineRule="exact"/>
              <w:rPr>
                <w:sz w:val="20"/>
                <w:szCs w:val="20"/>
                <w:color w:val="auto"/>
              </w:rPr>
            </w:pPr>
            <w:r>
              <w:rPr>
                <w:rFonts w:ascii="Arial" w:cs="Arial" w:eastAsia="Arial" w:hAnsi="Arial"/>
                <w:sz w:val="22"/>
                <w:szCs w:val="22"/>
                <w:color w:val="auto"/>
              </w:rPr>
              <w:t>Unvested  Awards  forfeited  as  of</w:t>
            </w:r>
          </w:p>
        </w:tc>
        <w:tc>
          <w:tcPr>
            <w:tcW w:w="1120" w:type="dxa"/>
            <w:vAlign w:val="bottom"/>
          </w:tcPr>
          <w:p>
            <w:pPr>
              <w:ind w:left="20"/>
              <w:spacing w:after="0" w:line="197" w:lineRule="exact"/>
              <w:rPr>
                <w:sz w:val="20"/>
                <w:szCs w:val="20"/>
                <w:color w:val="auto"/>
              </w:rPr>
            </w:pPr>
            <w:r>
              <w:rPr>
                <w:rFonts w:ascii="Arial" w:cs="Arial" w:eastAsia="Arial" w:hAnsi="Arial"/>
                <w:sz w:val="22"/>
                <w:szCs w:val="22"/>
                <w:color w:val="auto"/>
              </w:rPr>
              <w:t>Vested</w:t>
            </w:r>
          </w:p>
        </w:tc>
        <w:tc>
          <w:tcPr>
            <w:tcW w:w="1120" w:type="dxa"/>
            <w:vAlign w:val="bottom"/>
          </w:tcPr>
          <w:p>
            <w:pPr>
              <w:ind w:left="120"/>
              <w:spacing w:after="0" w:line="197" w:lineRule="exact"/>
              <w:rPr>
                <w:sz w:val="20"/>
                <w:szCs w:val="20"/>
                <w:color w:val="auto"/>
              </w:rPr>
            </w:pPr>
            <w:r>
              <w:rPr>
                <w:rFonts w:ascii="Arial" w:cs="Arial" w:eastAsia="Arial" w:hAnsi="Arial"/>
                <w:sz w:val="22"/>
                <w:szCs w:val="22"/>
                <w:color w:val="auto"/>
              </w:rPr>
              <w:t>Awards</w:t>
            </w:r>
          </w:p>
        </w:tc>
        <w:tc>
          <w:tcPr>
            <w:tcW w:w="1520" w:type="dxa"/>
            <w:vAlign w:val="bottom"/>
            <w:tcBorders>
              <w:right w:val="single" w:sz="8" w:color="auto"/>
            </w:tcBorders>
          </w:tcPr>
          <w:p>
            <w:pPr>
              <w:ind w:left="280"/>
              <w:spacing w:after="0" w:line="197" w:lineRule="exact"/>
              <w:rPr>
                <w:sz w:val="20"/>
                <w:szCs w:val="20"/>
                <w:color w:val="auto"/>
              </w:rPr>
            </w:pPr>
            <w:r>
              <w:rPr>
                <w:rFonts w:ascii="Arial" w:cs="Arial" w:eastAsia="Arial" w:hAnsi="Arial"/>
                <w:sz w:val="22"/>
                <w:szCs w:val="22"/>
                <w:color w:val="auto"/>
              </w:rPr>
              <w:t>immediately</w:t>
            </w:r>
          </w:p>
        </w:tc>
      </w:tr>
      <w:tr>
        <w:trPr>
          <w:trHeight w:val="283"/>
        </w:trPr>
        <w:tc>
          <w:tcPr>
            <w:tcW w:w="1140" w:type="dxa"/>
            <w:vAlign w:val="bottom"/>
            <w:tcBorders>
              <w:left w:val="single" w:sz="8" w:color="auto"/>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3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Termination of Employment.</w:t>
            </w:r>
          </w:p>
        </w:tc>
        <w:tc>
          <w:tcPr>
            <w:tcW w:w="11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cancelled.</w:t>
            </w:r>
          </w:p>
        </w:tc>
        <w:tc>
          <w:tcPr>
            <w:tcW w:w="1120" w:type="dxa"/>
            <w:vAlign w:val="bottom"/>
            <w:tcBorders>
              <w:bottom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pacing w:after="0" w:line="273" w:lineRule="exact"/>
        <w:rPr>
          <w:sz w:val="20"/>
          <w:szCs w:val="20"/>
          <w:color w:val="auto"/>
        </w:rPr>
      </w:pPr>
    </w:p>
    <w:p>
      <w:pPr>
        <w:jc w:val="both"/>
        <w:ind w:right="20"/>
        <w:spacing w:after="0" w:line="265" w:lineRule="auto"/>
        <w:rPr>
          <w:sz w:val="20"/>
          <w:szCs w:val="20"/>
          <w:color w:val="auto"/>
        </w:rPr>
      </w:pPr>
      <w:r>
        <w:rPr>
          <w:rFonts w:ascii="Arial" w:cs="Arial" w:eastAsia="Arial" w:hAnsi="Arial"/>
          <w:sz w:val="22"/>
          <w:szCs w:val="22"/>
          <w:color w:val="auto"/>
        </w:rPr>
        <w:t>Except as expressly provided herein, all rights hereunder shall cease to accrue as of the date of your Termination of Employment with the Company and its Affiliates. You will forfeit the unvested portion of any award and all rights to continue vesting in awards shall cease as of the date of Termination of Employment. Further, you will not be entitled to receive additional awards hereunder after Termination of Employment.</w:t>
      </w:r>
    </w:p>
    <w:p>
      <w:pPr>
        <w:sectPr>
          <w:pgSz w:w="11900" w:h="16838" w:orient="portrait"/>
          <w:cols w:equalWidth="0" w:num="1">
            <w:col w:w="11260"/>
          </w:cols>
          <w:pgMar w:left="320" w:top="1423" w:right="319" w:bottom="1440" w:gutter="0" w:footer="0" w:header="0"/>
        </w:sectPr>
      </w:pPr>
    </w:p>
    <w:bookmarkStart w:id="168" w:name="page169"/>
    <w:bookmarkEnd w:id="168"/>
    <w:p>
      <w:pPr>
        <w:jc w:val="both"/>
        <w:spacing w:after="0" w:line="263" w:lineRule="auto"/>
        <w:rPr>
          <w:sz w:val="20"/>
          <w:szCs w:val="20"/>
          <w:color w:val="auto"/>
        </w:rPr>
      </w:pPr>
      <w:r>
        <w:rPr>
          <w:rFonts w:ascii="Arial" w:cs="Arial" w:eastAsia="Arial" w:hAnsi="Arial"/>
          <w:sz w:val="22"/>
          <w:szCs w:val="22"/>
          <w:b w:val="1"/>
          <w:bCs w:val="1"/>
          <w:color w:val="auto"/>
        </w:rPr>
        <w:t xml:space="preserve">[FOLLOWING INCLUDED AT COMMITTEE’S DISCRETION: </w:t>
      </w:r>
      <w:r>
        <w:rPr>
          <w:rFonts w:ascii="Arial" w:cs="Arial" w:eastAsia="Arial" w:hAnsi="Arial"/>
          <w:sz w:val="22"/>
          <w:szCs w:val="22"/>
          <w:color w:val="auto"/>
        </w:rPr>
        <w:t>Notwithstanding the provisions related to Retirement</w:t>
      </w:r>
      <w:r>
        <w:rPr>
          <w:rFonts w:ascii="Arial" w:cs="Arial" w:eastAsia="Arial" w:hAnsi="Arial"/>
          <w:sz w:val="22"/>
          <w:szCs w:val="22"/>
          <w:b w:val="1"/>
          <w:bCs w:val="1"/>
          <w:color w:val="auto"/>
        </w:rPr>
        <w:t xml:space="preserve"> </w:t>
      </w:r>
      <w:r>
        <w:rPr>
          <w:rFonts w:ascii="Arial" w:cs="Arial" w:eastAsia="Arial" w:hAnsi="Arial"/>
          <w:sz w:val="22"/>
          <w:szCs w:val="22"/>
          <w:color w:val="auto"/>
        </w:rPr>
        <w:t>described above, if you terminate employment with the Company and its Affiliates (i) not for Cause, and (ii) after you attain at least 70 points (actual age plus Years of Service, with minimum age 55), and (iii) after you provide the Company at least 120 days’ advance notice of your Termination of Employment, and (iv) you comply with all applicable post-termination restrictive covenants, the following special provisions shall apply:</w:t>
      </w:r>
    </w:p>
    <w:p>
      <w:pPr>
        <w:spacing w:after="0" w:line="114" w:lineRule="exact"/>
        <w:rPr>
          <w:sz w:val="20"/>
          <w:szCs w:val="20"/>
          <w:color w:val="auto"/>
        </w:rPr>
      </w:pPr>
    </w:p>
    <w:p>
      <w:pPr>
        <w:jc w:val="both"/>
        <w:ind w:left="660" w:firstLine="253"/>
        <w:spacing w:after="0" w:line="263" w:lineRule="auto"/>
        <w:tabs>
          <w:tab w:leader="none" w:pos="1461" w:val="left"/>
        </w:tabs>
        <w:numPr>
          <w:ilvl w:val="1"/>
          <w:numId w:val="270"/>
        </w:numPr>
        <w:rPr>
          <w:rFonts w:ascii="Arial" w:cs="Arial" w:eastAsia="Arial" w:hAnsi="Arial"/>
          <w:sz w:val="22"/>
          <w:szCs w:val="22"/>
          <w:color w:val="auto"/>
        </w:rPr>
      </w:pPr>
      <w:r>
        <w:rPr>
          <w:rFonts w:ascii="Arial" w:cs="Arial" w:eastAsia="Arial" w:hAnsi="Arial"/>
          <w:sz w:val="22"/>
          <w:szCs w:val="22"/>
          <w:color w:val="auto"/>
        </w:rPr>
        <w:t>the amount of the unvested Option that shall vest under this Section 7 shall equal (1) the total number of Shares granted to you under Section 1 of this Agreement, (2) multiplied by a fraction, the numerator of which is your Years of Service from the Grant Date to your Termination of Employment and the denominator of which is the total years of service from the Grant Date to the final vesting date of this Award, then (3) minus the total number of Shares that vested on or before your Termination of Employment; and</w:t>
      </w:r>
    </w:p>
    <w:p>
      <w:pPr>
        <w:spacing w:after="0" w:line="98" w:lineRule="exact"/>
        <w:rPr>
          <w:rFonts w:ascii="Arial" w:cs="Arial" w:eastAsia="Arial" w:hAnsi="Arial"/>
          <w:sz w:val="22"/>
          <w:szCs w:val="22"/>
          <w:color w:val="auto"/>
        </w:rPr>
      </w:pPr>
    </w:p>
    <w:p>
      <w:pPr>
        <w:jc w:val="both"/>
        <w:ind w:left="660" w:firstLine="247"/>
        <w:spacing w:after="0" w:line="289" w:lineRule="auto"/>
        <w:tabs>
          <w:tab w:leader="none" w:pos="1450" w:val="left"/>
        </w:tabs>
        <w:numPr>
          <w:ilvl w:val="1"/>
          <w:numId w:val="270"/>
        </w:numPr>
        <w:rPr>
          <w:rFonts w:ascii="Arial" w:cs="Arial" w:eastAsia="Arial" w:hAnsi="Arial"/>
          <w:sz w:val="21"/>
          <w:szCs w:val="21"/>
          <w:color w:val="auto"/>
        </w:rPr>
      </w:pPr>
      <w:r>
        <w:rPr>
          <w:rFonts w:ascii="Arial" w:cs="Arial" w:eastAsia="Arial" w:hAnsi="Arial"/>
          <w:sz w:val="21"/>
          <w:szCs w:val="21"/>
          <w:color w:val="auto"/>
        </w:rPr>
        <w:t>Shares that vest pursuant to Paragraph (A) above shall vest and be made available for exercise at the Award’s next regular vesting date, not to exceed the number of Shares that would have vested at such date under the original vesting schedule, with excess Shares vesting at a future vesting date if necessary; and</w:t>
      </w:r>
    </w:p>
    <w:p>
      <w:pPr>
        <w:spacing w:after="0" w:line="86" w:lineRule="exact"/>
        <w:rPr>
          <w:rFonts w:ascii="Arial" w:cs="Arial" w:eastAsia="Arial" w:hAnsi="Arial"/>
          <w:sz w:val="21"/>
          <w:szCs w:val="21"/>
          <w:color w:val="auto"/>
        </w:rPr>
      </w:pPr>
    </w:p>
    <w:p>
      <w:pPr>
        <w:ind w:left="660" w:firstLine="253"/>
        <w:spacing w:after="0" w:line="285" w:lineRule="auto"/>
        <w:tabs>
          <w:tab w:leader="none" w:pos="1462" w:val="left"/>
        </w:tabs>
        <w:numPr>
          <w:ilvl w:val="1"/>
          <w:numId w:val="270"/>
        </w:numPr>
        <w:rPr>
          <w:rFonts w:ascii="Arial" w:cs="Arial" w:eastAsia="Arial" w:hAnsi="Arial"/>
          <w:sz w:val="22"/>
          <w:szCs w:val="22"/>
          <w:color w:val="auto"/>
        </w:rPr>
      </w:pPr>
      <w:r>
        <w:rPr>
          <w:rFonts w:ascii="Arial" w:cs="Arial" w:eastAsia="Arial" w:hAnsi="Arial"/>
          <w:sz w:val="22"/>
          <w:szCs w:val="22"/>
          <w:color w:val="auto"/>
        </w:rPr>
        <w:t>All Shares that vest under this Agreement shall remain exercisable until the Expiration Date described in Section 4.]</w:t>
      </w:r>
    </w:p>
    <w:p>
      <w:pPr>
        <w:spacing w:after="0" w:line="85" w:lineRule="exact"/>
        <w:rPr>
          <w:rFonts w:ascii="Arial" w:cs="Arial" w:eastAsia="Arial" w:hAnsi="Arial"/>
          <w:sz w:val="22"/>
          <w:szCs w:val="22"/>
          <w:color w:val="auto"/>
        </w:rPr>
      </w:pPr>
    </w:p>
    <w:p>
      <w:pPr>
        <w:jc w:val="both"/>
        <w:ind w:firstLine="8"/>
        <w:spacing w:after="0" w:line="277" w:lineRule="auto"/>
        <w:tabs>
          <w:tab w:leader="none" w:pos="447" w:val="left"/>
        </w:tabs>
        <w:numPr>
          <w:ilvl w:val="0"/>
          <w:numId w:val="271"/>
        </w:numPr>
        <w:rPr>
          <w:rFonts w:ascii="Arial" w:cs="Arial" w:eastAsia="Arial" w:hAnsi="Arial"/>
          <w:sz w:val="21"/>
          <w:szCs w:val="21"/>
          <w:color w:val="auto"/>
        </w:rPr>
      </w:pPr>
      <w:r>
        <w:rPr>
          <w:rFonts w:ascii="Arial" w:cs="Arial" w:eastAsia="Arial" w:hAnsi="Arial"/>
          <w:sz w:val="21"/>
          <w:szCs w:val="21"/>
          <w:b w:val="1"/>
          <w:bCs w:val="1"/>
          <w:color w:val="auto"/>
        </w:rPr>
        <w:t xml:space="preserve">Change in Control. </w:t>
      </w:r>
      <w:r>
        <w:rPr>
          <w:rFonts w:ascii="Arial" w:cs="Arial" w:eastAsia="Arial" w:hAnsi="Arial"/>
          <w:sz w:val="21"/>
          <w:szCs w:val="21"/>
          <w:color w:val="auto"/>
        </w:rPr>
        <w:t>If you incur an involuntary Termination of Employment not for Cause (as defined in Section</w:t>
      </w:r>
      <w:r>
        <w:rPr>
          <w:rFonts w:ascii="Arial" w:cs="Arial" w:eastAsia="Arial" w:hAnsi="Arial"/>
          <w:sz w:val="21"/>
          <w:szCs w:val="21"/>
          <w:b w:val="1"/>
          <w:bCs w:val="1"/>
          <w:color w:val="auto"/>
        </w:rPr>
        <w:t xml:space="preserve"> </w:t>
      </w:r>
      <w:r>
        <w:rPr>
          <w:rFonts w:ascii="Arial" w:cs="Arial" w:eastAsia="Arial" w:hAnsi="Arial"/>
          <w:sz w:val="21"/>
          <w:szCs w:val="21"/>
          <w:color w:val="auto"/>
        </w:rPr>
        <w:t>2.7 of the Plan) or a voluntary Termination of Employment for Good Reason (as defined in Section 5.4(d) of the Plan) on or before the second anniversary of the date of a Change in Control, any portion of the Option that has not vested or terminated as of your Termination of Employment shall vest as of your Termination of Employment and become exercisable in full as of the date of such Termination of Employment. Such a termination shall be considered an Involuntary Termination not for Cause or, if applicable, a Retirement, under Section 7 of this Agreement.</w:t>
      </w:r>
    </w:p>
    <w:p>
      <w:pPr>
        <w:spacing w:after="0" w:line="82" w:lineRule="exact"/>
        <w:rPr>
          <w:rFonts w:ascii="Arial" w:cs="Arial" w:eastAsia="Arial" w:hAnsi="Arial"/>
          <w:sz w:val="21"/>
          <w:szCs w:val="21"/>
          <w:color w:val="auto"/>
        </w:rPr>
      </w:pPr>
    </w:p>
    <w:p>
      <w:pPr>
        <w:jc w:val="both"/>
        <w:ind w:firstLine="8"/>
        <w:spacing w:after="0" w:line="261" w:lineRule="auto"/>
        <w:tabs>
          <w:tab w:leader="none" w:pos="434" w:val="left"/>
        </w:tabs>
        <w:numPr>
          <w:ilvl w:val="0"/>
          <w:numId w:val="271"/>
        </w:numPr>
        <w:rPr>
          <w:rFonts w:ascii="Arial" w:cs="Arial" w:eastAsia="Arial" w:hAnsi="Arial"/>
          <w:sz w:val="22"/>
          <w:szCs w:val="22"/>
          <w:color w:val="auto"/>
        </w:rPr>
      </w:pPr>
      <w:r>
        <w:rPr>
          <w:rFonts w:ascii="Arial" w:cs="Arial" w:eastAsia="Arial" w:hAnsi="Arial"/>
          <w:sz w:val="22"/>
          <w:szCs w:val="22"/>
          <w:b w:val="1"/>
          <w:bCs w:val="1"/>
          <w:color w:val="auto"/>
        </w:rPr>
        <w:t xml:space="preserve">Withholdings. </w:t>
      </w:r>
      <w:r>
        <w:rPr>
          <w:rFonts w:ascii="Arial" w:cs="Arial" w:eastAsia="Arial" w:hAnsi="Arial"/>
          <w:sz w:val="22"/>
          <w:szCs w:val="22"/>
          <w:color w:val="auto"/>
        </w:rPr>
        <w:t>The Company or your local employer shall have the power and the right to deduct or withhold, or</w:t>
      </w:r>
      <w:r>
        <w:rPr>
          <w:rFonts w:ascii="Arial" w:cs="Arial" w:eastAsia="Arial" w:hAnsi="Arial"/>
          <w:sz w:val="22"/>
          <w:szCs w:val="22"/>
          <w:b w:val="1"/>
          <w:bCs w:val="1"/>
          <w:color w:val="auto"/>
        </w:rPr>
        <w:t xml:space="preserve"> </w:t>
      </w:r>
      <w:r>
        <w:rPr>
          <w:rFonts w:ascii="Arial" w:cs="Arial" w:eastAsia="Arial" w:hAnsi="Arial"/>
          <w:sz w:val="22"/>
          <w:szCs w:val="22"/>
          <w:color w:val="auto"/>
        </w:rPr>
        <w:t>require you to remit to the Company or your local employer, an amount sufficient to satisfy taxes imposed under the laws of any country, state, province, city or other jurisdiction, including but not limited to income taxes, capital gain taxes, transfer taxes, and social security contributions, and National Insurance Contributions, that are required by law to be withheld with respect to the grant of the Option, any exercise of the your rights under this Agreement, the sale of Shares acquired from the exercise of the Option, and/or payment of dividends on Shares acquired pursuant to the Option.</w:t>
      </w:r>
    </w:p>
    <w:p>
      <w:pPr>
        <w:sectPr>
          <w:pgSz w:w="11900" w:h="16838" w:orient="portrait"/>
          <w:cols w:equalWidth="0" w:num="1">
            <w:col w:w="11240"/>
          </w:cols>
          <w:pgMar w:left="320" w:top="1421" w:right="339" w:bottom="1440" w:gutter="0" w:footer="0" w:header="0"/>
        </w:sectPr>
      </w:pPr>
    </w:p>
    <w:bookmarkStart w:id="169" w:name="page170"/>
    <w:bookmarkEnd w:id="169"/>
    <w:p>
      <w:pPr>
        <w:jc w:val="both"/>
        <w:ind w:left="-8" w:firstLine="8"/>
        <w:spacing w:after="0" w:line="271" w:lineRule="auto"/>
        <w:tabs>
          <w:tab w:leader="none" w:pos="573" w:val="left"/>
        </w:tabs>
        <w:numPr>
          <w:ilvl w:val="0"/>
          <w:numId w:val="272"/>
        </w:numPr>
        <w:rPr>
          <w:rFonts w:ascii="Arial" w:cs="Arial" w:eastAsia="Arial" w:hAnsi="Arial"/>
          <w:sz w:val="22"/>
          <w:szCs w:val="22"/>
          <w:color w:val="auto"/>
        </w:rPr>
      </w:pPr>
      <w:r>
        <w:rPr>
          <w:rFonts w:ascii="Arial" w:cs="Arial" w:eastAsia="Arial" w:hAnsi="Arial"/>
          <w:sz w:val="22"/>
          <w:szCs w:val="22"/>
          <w:b w:val="1"/>
          <w:bCs w:val="1"/>
          <w:color w:val="auto"/>
        </w:rPr>
        <w:t xml:space="preserve">Transfer of Option. </w:t>
      </w:r>
      <w:r>
        <w:rPr>
          <w:rFonts w:ascii="Arial" w:cs="Arial" w:eastAsia="Arial" w:hAnsi="Arial"/>
          <w:sz w:val="22"/>
          <w:szCs w:val="22"/>
          <w:color w:val="auto"/>
        </w:rPr>
        <w:t>You may not transfer the Option or any interest in the Option except by will or the laws of</w:t>
      </w:r>
      <w:r>
        <w:rPr>
          <w:rFonts w:ascii="Arial" w:cs="Arial" w:eastAsia="Arial" w:hAnsi="Arial"/>
          <w:sz w:val="22"/>
          <w:szCs w:val="22"/>
          <w:b w:val="1"/>
          <w:bCs w:val="1"/>
          <w:color w:val="auto"/>
        </w:rPr>
        <w:t xml:space="preserve"> </w:t>
      </w:r>
      <w:r>
        <w:rPr>
          <w:rFonts w:ascii="Arial" w:cs="Arial" w:eastAsia="Arial" w:hAnsi="Arial"/>
          <w:sz w:val="22"/>
          <w:szCs w:val="22"/>
          <w:color w:val="auto"/>
        </w:rPr>
        <w:t>descent and distribution or except as permitted by the Committee and as specified in the Plan. Any other attempt to dispose of your interest will be null and void.</w:t>
      </w:r>
    </w:p>
    <w:p>
      <w:pPr>
        <w:spacing w:after="0" w:line="101" w:lineRule="exact"/>
        <w:rPr>
          <w:rFonts w:ascii="Arial" w:cs="Arial" w:eastAsia="Arial" w:hAnsi="Arial"/>
          <w:sz w:val="22"/>
          <w:szCs w:val="22"/>
          <w:color w:val="auto"/>
        </w:rPr>
      </w:pPr>
    </w:p>
    <w:p>
      <w:pPr>
        <w:ind w:left="532" w:hanging="532"/>
        <w:spacing w:after="0"/>
        <w:tabs>
          <w:tab w:leader="none" w:pos="532" w:val="left"/>
        </w:tabs>
        <w:numPr>
          <w:ilvl w:val="0"/>
          <w:numId w:val="272"/>
        </w:numPr>
        <w:rPr>
          <w:rFonts w:ascii="Arial" w:cs="Arial" w:eastAsia="Arial" w:hAnsi="Arial"/>
          <w:sz w:val="22"/>
          <w:szCs w:val="22"/>
          <w:color w:val="auto"/>
        </w:rPr>
      </w:pPr>
      <w:r>
        <w:rPr>
          <w:rFonts w:ascii="Arial" w:cs="Arial" w:eastAsia="Arial" w:hAnsi="Arial"/>
          <w:sz w:val="22"/>
          <w:szCs w:val="22"/>
          <w:b w:val="1"/>
          <w:bCs w:val="1"/>
          <w:color w:val="auto"/>
        </w:rPr>
        <w:t>Requirements for and Forfeiture of Award.</w:t>
      </w:r>
    </w:p>
    <w:p>
      <w:pPr>
        <w:spacing w:after="0" w:line="152" w:lineRule="exact"/>
        <w:rPr>
          <w:rFonts w:ascii="Arial" w:cs="Arial" w:eastAsia="Arial" w:hAnsi="Arial"/>
          <w:sz w:val="22"/>
          <w:szCs w:val="22"/>
          <w:color w:val="auto"/>
        </w:rPr>
      </w:pPr>
    </w:p>
    <w:p>
      <w:pPr>
        <w:jc w:val="both"/>
        <w:ind w:left="-8" w:firstLine="656"/>
        <w:spacing w:after="0" w:line="260" w:lineRule="auto"/>
        <w:tabs>
          <w:tab w:leader="none" w:pos="1060" w:val="left"/>
        </w:tabs>
        <w:numPr>
          <w:ilvl w:val="2"/>
          <w:numId w:val="272"/>
        </w:numPr>
        <w:rPr>
          <w:rFonts w:ascii="Arial" w:cs="Arial" w:eastAsia="Arial" w:hAnsi="Arial"/>
          <w:sz w:val="22"/>
          <w:szCs w:val="22"/>
          <w:color w:val="auto"/>
        </w:rPr>
      </w:pPr>
      <w:r>
        <w:rPr>
          <w:rFonts w:ascii="Arial" w:cs="Arial" w:eastAsia="Arial" w:hAnsi="Arial"/>
          <w:sz w:val="22"/>
          <w:szCs w:val="22"/>
          <w:b w:val="1"/>
          <w:bCs w:val="1"/>
          <w:color w:val="auto"/>
        </w:rPr>
        <w:t xml:space="preserve">General. </w:t>
      </w:r>
      <w:r>
        <w:rPr>
          <w:rFonts w:ascii="Arial" w:cs="Arial" w:eastAsia="Arial" w:hAnsi="Arial"/>
          <w:sz w:val="22"/>
          <w:szCs w:val="22"/>
          <w:color w:val="auto"/>
        </w:rPr>
        <w:t>The Award is expressly contingent upon you complying with the terms, conditions and definitions</w:t>
      </w:r>
      <w:r>
        <w:rPr>
          <w:rFonts w:ascii="Arial" w:cs="Arial" w:eastAsia="Arial" w:hAnsi="Arial"/>
          <w:sz w:val="22"/>
          <w:szCs w:val="22"/>
          <w:b w:val="1"/>
          <w:bCs w:val="1"/>
          <w:color w:val="auto"/>
        </w:rPr>
        <w:t xml:space="preserve"> </w:t>
      </w:r>
      <w:r>
        <w:rPr>
          <w:rFonts w:ascii="Arial" w:cs="Arial" w:eastAsia="Arial" w:hAnsi="Arial"/>
          <w:sz w:val="22"/>
          <w:szCs w:val="22"/>
          <w:color w:val="auto"/>
        </w:rPr>
        <w:t>contained in this Section 11 and in any other agreement that governs your noncompetition with Honeywell, your nonsolicitation of Honeywell’s employees, customers, suppliers, business partners and vendors, and/or your conduct with respect to Honeywell’s trade secrets and proprietary and confidential information. For purposes of this Section 11, the term “Honeywell” is defined as Honeywell International Inc. (a Delaware corporation having a place of business in Charlotte, North Carolina), its predecessors, designees and successors, as well as its past, present and future operating companies, divisions, subsidiaries, affiliates and other business units, including businesses acquired by purchase of assets, stock, merger or otherwise.</w:t>
      </w:r>
    </w:p>
    <w:p>
      <w:pPr>
        <w:spacing w:after="0" w:line="116" w:lineRule="exact"/>
        <w:rPr>
          <w:rFonts w:ascii="Arial" w:cs="Arial" w:eastAsia="Arial" w:hAnsi="Arial"/>
          <w:sz w:val="22"/>
          <w:szCs w:val="22"/>
          <w:color w:val="auto"/>
        </w:rPr>
      </w:pPr>
    </w:p>
    <w:p>
      <w:pPr>
        <w:ind w:left="1072" w:hanging="424"/>
        <w:spacing w:after="0"/>
        <w:tabs>
          <w:tab w:leader="none" w:pos="1072" w:val="left"/>
        </w:tabs>
        <w:numPr>
          <w:ilvl w:val="2"/>
          <w:numId w:val="272"/>
        </w:numPr>
        <w:rPr>
          <w:rFonts w:ascii="Arial" w:cs="Arial" w:eastAsia="Arial" w:hAnsi="Arial"/>
          <w:sz w:val="22"/>
          <w:szCs w:val="22"/>
          <w:color w:val="auto"/>
        </w:rPr>
      </w:pPr>
      <w:r>
        <w:rPr>
          <w:rFonts w:ascii="Arial" w:cs="Arial" w:eastAsia="Arial" w:hAnsi="Arial"/>
          <w:sz w:val="22"/>
          <w:szCs w:val="22"/>
          <w:b w:val="1"/>
          <w:bCs w:val="1"/>
          <w:color w:val="auto"/>
        </w:rPr>
        <w:t>Remedies.</w:t>
      </w:r>
    </w:p>
    <w:p>
      <w:pPr>
        <w:spacing w:after="0" w:line="167" w:lineRule="exact"/>
        <w:rPr>
          <w:rFonts w:ascii="Arial" w:cs="Arial" w:eastAsia="Arial" w:hAnsi="Arial"/>
          <w:sz w:val="22"/>
          <w:szCs w:val="22"/>
          <w:color w:val="auto"/>
        </w:rPr>
      </w:pPr>
    </w:p>
    <w:p>
      <w:pPr>
        <w:jc w:val="both"/>
        <w:ind w:left="-8" w:firstLine="525"/>
        <w:spacing w:after="0" w:line="270" w:lineRule="auto"/>
        <w:tabs>
          <w:tab w:leader="none" w:pos="944" w:val="left"/>
        </w:tabs>
        <w:numPr>
          <w:ilvl w:val="1"/>
          <w:numId w:val="272"/>
        </w:numPr>
        <w:rPr>
          <w:rFonts w:ascii="Arial" w:cs="Arial" w:eastAsia="Arial" w:hAnsi="Arial"/>
          <w:sz w:val="21"/>
          <w:szCs w:val="21"/>
          <w:color w:val="auto"/>
        </w:rPr>
      </w:pPr>
      <w:r>
        <w:rPr>
          <w:rFonts w:ascii="Arial" w:cs="Arial" w:eastAsia="Arial" w:hAnsi="Arial"/>
          <w:sz w:val="21"/>
          <w:szCs w:val="21"/>
          <w:color w:val="auto"/>
        </w:rPr>
        <w:t>You expressly agree and acknowledge that the forfeiture provisions of subsection 11.b.2. of this Agreement shall apply if: (A) you are terminated for Cause (as defined in the Plan) or you voluntarily terminate your employment with less than a 60-day notice period, or (B) from the Grant Date until the date that is twenty-four (24) months after your Termination of Employment for any reason, you (i) enter into an employment, consultation or similar agreement or arrangement (including any arrangement for service as an agent, partner, stockholder, consultant, officer or director) with any entity or person engaged in a business in which Honeywell is engaged if the business is competitive (in the sole judgment of the Honeywell International Inc. Chief Executive Officer (“CEO”)) with Honeywell and the CEO has not approved the agreement or arrangement in writing, or (ii) make any statement, publicly or privately (other than to your spouse and legal advisors), which would be disparaging (as defined below) to Honeywell or its businesses, products, strategies, prospects, condition, or reputation or that of its directors, employees, officers or members; provided, however, that nothing shall preclude you from making any statement in good faith which is required by any applicable law or regulation or the order of a court or other governmental body, or (iii) write or contribute to a book, article or other media publication, whether in written or electronic format, that is in any way descriptive of Honeywell or your career with Honeywell without first submitting a draft thereof, at least thirty (30) days in advance, to the Honeywell International Inc. Senior Vice President and General Counsel, whose judgment about whether such book, article or other media publication is disparaging shall be determinative; or such a book, article or other media publication is published after a determination that it is disparaging; provided, however, that nothing herein shall preclude you from reporting (in good faith) possible violations of</w:t>
      </w:r>
    </w:p>
    <w:p>
      <w:pPr>
        <w:sectPr>
          <w:pgSz w:w="11900" w:h="16838" w:orient="portrait"/>
          <w:cols w:equalWidth="0" w:num="1">
            <w:col w:w="11232"/>
          </w:cols>
          <w:pgMar w:left="328" w:top="1421" w:right="339" w:bottom="1440" w:gutter="0" w:footer="0" w:header="0"/>
        </w:sectPr>
      </w:pPr>
    </w:p>
    <w:bookmarkStart w:id="170" w:name="page171"/>
    <w:bookmarkEnd w:id="170"/>
    <w:p>
      <w:pPr>
        <w:jc w:val="both"/>
        <w:spacing w:after="0" w:line="263" w:lineRule="auto"/>
        <w:rPr>
          <w:sz w:val="20"/>
          <w:szCs w:val="20"/>
          <w:color w:val="auto"/>
        </w:rPr>
      </w:pPr>
      <w:r>
        <w:rPr>
          <w:rFonts w:ascii="Arial" w:cs="Arial" w:eastAsia="Arial" w:hAnsi="Arial"/>
          <w:sz w:val="22"/>
          <w:szCs w:val="22"/>
          <w:color w:val="auto"/>
        </w:rPr>
        <w:t>federal law or regulation to any governmental agency or entity, including but not limited to, the Department of Justice, the Securities and Exchange Commission, the Congress, and/or any agency Inspector General, or making any other disclosures that are protected under the whistleblower provisions of federal or state law or regulation, or from otherwise making any statement (in good faith) which is required by any applicable law or regulation or the order of a court or other governmental body.</w:t>
      </w:r>
    </w:p>
    <w:p>
      <w:pPr>
        <w:spacing w:after="0" w:line="112" w:lineRule="exact"/>
        <w:rPr>
          <w:sz w:val="20"/>
          <w:szCs w:val="20"/>
          <w:color w:val="auto"/>
        </w:rPr>
      </w:pPr>
    </w:p>
    <w:p>
      <w:pPr>
        <w:jc w:val="both"/>
        <w:spacing w:after="0" w:line="265" w:lineRule="auto"/>
        <w:rPr>
          <w:sz w:val="20"/>
          <w:szCs w:val="20"/>
          <w:color w:val="auto"/>
        </w:rPr>
      </w:pPr>
      <w:r>
        <w:rPr>
          <w:rFonts w:ascii="Arial" w:cs="Arial" w:eastAsia="Arial" w:hAnsi="Arial"/>
          <w:sz w:val="22"/>
          <w:szCs w:val="22"/>
          <w:color w:val="auto"/>
        </w:rPr>
        <w:t>For purposes of this subsection 11.b.1, the term “disparaging” shall mean any statement or representation (whether oral or written and whether true or untrue) which, directly or by implication, tends to create a negative, adverse, or derogatory impression about the subject of the statement or representation or which is intended to harm the reputation of the subject of the statement or representation.</w:t>
      </w:r>
    </w:p>
    <w:p>
      <w:pPr>
        <w:spacing w:after="0" w:line="98" w:lineRule="exact"/>
        <w:rPr>
          <w:sz w:val="20"/>
          <w:szCs w:val="20"/>
          <w:color w:val="auto"/>
        </w:rPr>
      </w:pPr>
    </w:p>
    <w:p>
      <w:pPr>
        <w:jc w:val="both"/>
        <w:ind w:firstLine="1304"/>
        <w:spacing w:after="0" w:line="258" w:lineRule="auto"/>
        <w:tabs>
          <w:tab w:leader="none" w:pos="1806" w:val="left"/>
        </w:tabs>
        <w:numPr>
          <w:ilvl w:val="2"/>
          <w:numId w:val="273"/>
        </w:numPr>
        <w:rPr>
          <w:rFonts w:ascii="Arial" w:cs="Arial" w:eastAsia="Arial" w:hAnsi="Arial"/>
          <w:sz w:val="22"/>
          <w:szCs w:val="22"/>
          <w:color w:val="auto"/>
        </w:rPr>
      </w:pPr>
      <w:r>
        <w:rPr>
          <w:rFonts w:ascii="Arial" w:cs="Arial" w:eastAsia="Arial" w:hAnsi="Arial"/>
          <w:sz w:val="22"/>
          <w:szCs w:val="22"/>
          <w:color w:val="auto"/>
        </w:rPr>
        <w:t>In addition to the relief described in any other agreement that governs your noncompetition with Honeywell, your nonsolicitation of Honeywell’s employees, customers, suppliers, business partners and vendors, and/or your conduct with respect to Honeywell’s trade secrets and proprietary and confidential information, if the CEO determines, in its sole judgment, that you have violated the terms of any such agreement or you have engaged in an act that violates subsection 11.b.1. of this Agreement, or you are terminated for Cause (as defined in the Plan) or you voluntarily terminate your employment with less than a 60-day notice period, (i) any portion of the Option you have not exercised (whether vested or unvested) shall immediately be cancelled, and you shall forfeit any rights you have with respect to the Option as of the date of the CEO’s determination or the date of your Termination of Employment, as applicable, and (ii) you shall immediately deliver to the Company Shares equal in value to the amount of any profit you realized upon an exercise of the Option during the period beginning twelve (12) months prior to your Termination of Employment and ending on (x) the date of the CEO’s determination in the case of a violation other than for a Termination of Employment for Cause or voluntary termination without sufficient notice, or (y) the date of your Termination of Employment in the case of a Termination of Employment for Cause or voluntary termination without sufficient notice, as applicable.</w:t>
      </w:r>
    </w:p>
    <w:p>
      <w:pPr>
        <w:spacing w:after="0" w:line="121" w:lineRule="exact"/>
        <w:rPr>
          <w:rFonts w:ascii="Arial" w:cs="Arial" w:eastAsia="Arial" w:hAnsi="Arial"/>
          <w:sz w:val="22"/>
          <w:szCs w:val="22"/>
          <w:color w:val="auto"/>
        </w:rPr>
      </w:pPr>
    </w:p>
    <w:p>
      <w:pPr>
        <w:jc w:val="both"/>
        <w:ind w:firstLine="512"/>
        <w:spacing w:after="0" w:line="265" w:lineRule="auto"/>
        <w:tabs>
          <w:tab w:leader="none" w:pos="936" w:val="left"/>
        </w:tabs>
        <w:numPr>
          <w:ilvl w:val="1"/>
          <w:numId w:val="274"/>
        </w:numPr>
        <w:rPr>
          <w:rFonts w:ascii="Arial" w:cs="Arial" w:eastAsia="Arial" w:hAnsi="Arial"/>
          <w:sz w:val="22"/>
          <w:szCs w:val="22"/>
          <w:color w:val="auto"/>
        </w:rPr>
      </w:pPr>
      <w:r>
        <w:rPr>
          <w:rFonts w:ascii="Arial" w:cs="Arial" w:eastAsia="Arial" w:hAnsi="Arial"/>
          <w:sz w:val="22"/>
          <w:szCs w:val="22"/>
          <w:color w:val="auto"/>
        </w:rPr>
        <w:t>Notwithstanding anything in the Plan or this Agreement to the contrary, you acknowledge that the Company may be entitled or required by law, Company policy or the requirements of an exchange on which the Shares are listed for trading, to recoup compensation paid to you pursuant to the Plan, and you agree to comply with any Company request or demand for recoupment.</w:t>
      </w:r>
    </w:p>
    <w:p>
      <w:pPr>
        <w:spacing w:after="0" w:line="109" w:lineRule="exact"/>
        <w:rPr>
          <w:rFonts w:ascii="Arial" w:cs="Arial" w:eastAsia="Arial" w:hAnsi="Arial"/>
          <w:sz w:val="22"/>
          <w:szCs w:val="22"/>
          <w:color w:val="auto"/>
        </w:rPr>
      </w:pPr>
    </w:p>
    <w:p>
      <w:pPr>
        <w:ind w:left="540" w:hanging="532"/>
        <w:spacing w:after="0"/>
        <w:tabs>
          <w:tab w:leader="none" w:pos="540" w:val="left"/>
        </w:tabs>
        <w:numPr>
          <w:ilvl w:val="0"/>
          <w:numId w:val="275"/>
        </w:numPr>
        <w:rPr>
          <w:rFonts w:ascii="Arial" w:cs="Arial" w:eastAsia="Arial" w:hAnsi="Arial"/>
          <w:sz w:val="22"/>
          <w:szCs w:val="22"/>
          <w:color w:val="auto"/>
        </w:rPr>
      </w:pPr>
      <w:r>
        <w:rPr>
          <w:rFonts w:ascii="Arial" w:cs="Arial" w:eastAsia="Arial" w:hAnsi="Arial"/>
          <w:sz w:val="22"/>
          <w:szCs w:val="22"/>
          <w:b w:val="1"/>
          <w:bCs w:val="1"/>
          <w:color w:val="auto"/>
        </w:rPr>
        <w:t xml:space="preserve">Adjustments. </w:t>
      </w:r>
      <w:r>
        <w:rPr>
          <w:rFonts w:ascii="Arial" w:cs="Arial" w:eastAsia="Arial" w:hAnsi="Arial"/>
          <w:sz w:val="22"/>
          <w:szCs w:val="22"/>
          <w:color w:val="auto"/>
        </w:rPr>
        <w:t>Any adjustments to the Option will be governed by Section 5.3 of the Plan.</w:t>
      </w:r>
    </w:p>
    <w:p>
      <w:pPr>
        <w:spacing w:after="0" w:line="152" w:lineRule="exact"/>
        <w:rPr>
          <w:rFonts w:ascii="Arial" w:cs="Arial" w:eastAsia="Arial" w:hAnsi="Arial"/>
          <w:sz w:val="22"/>
          <w:szCs w:val="22"/>
          <w:color w:val="auto"/>
        </w:rPr>
      </w:pPr>
    </w:p>
    <w:p>
      <w:pPr>
        <w:jc w:val="both"/>
        <w:ind w:firstLine="8"/>
        <w:spacing w:after="0" w:line="266" w:lineRule="auto"/>
        <w:tabs>
          <w:tab w:leader="none" w:pos="567" w:val="left"/>
        </w:tabs>
        <w:numPr>
          <w:ilvl w:val="0"/>
          <w:numId w:val="275"/>
        </w:numPr>
        <w:rPr>
          <w:rFonts w:ascii="Arial" w:cs="Arial" w:eastAsia="Arial" w:hAnsi="Arial"/>
          <w:sz w:val="22"/>
          <w:szCs w:val="22"/>
          <w:color w:val="auto"/>
        </w:rPr>
      </w:pPr>
      <w:r>
        <w:rPr>
          <w:rFonts w:ascii="Arial" w:cs="Arial" w:eastAsia="Arial" w:hAnsi="Arial"/>
          <w:sz w:val="22"/>
          <w:szCs w:val="22"/>
          <w:b w:val="1"/>
          <w:bCs w:val="1"/>
          <w:color w:val="auto"/>
        </w:rPr>
        <w:t xml:space="preserve">Restrictions on Exercise. </w:t>
      </w:r>
      <w:r>
        <w:rPr>
          <w:rFonts w:ascii="Arial" w:cs="Arial" w:eastAsia="Arial" w:hAnsi="Arial"/>
          <w:sz w:val="22"/>
          <w:szCs w:val="22"/>
          <w:color w:val="auto"/>
        </w:rPr>
        <w:t>Exercise of the Option is subject to the conditions that, to the extent required at the</w:t>
      </w:r>
      <w:r>
        <w:rPr>
          <w:rFonts w:ascii="Arial" w:cs="Arial" w:eastAsia="Arial" w:hAnsi="Arial"/>
          <w:sz w:val="22"/>
          <w:szCs w:val="22"/>
          <w:b w:val="1"/>
          <w:bCs w:val="1"/>
          <w:color w:val="auto"/>
        </w:rPr>
        <w:t xml:space="preserve"> </w:t>
      </w:r>
      <w:r>
        <w:rPr>
          <w:rFonts w:ascii="Arial" w:cs="Arial" w:eastAsia="Arial" w:hAnsi="Arial"/>
          <w:sz w:val="22"/>
          <w:szCs w:val="22"/>
          <w:color w:val="auto"/>
        </w:rPr>
        <w:t>time of exercise, (i) the Shares covered by the Option will be duly listed, upon official notice of issuance, upon Nasdaq, and (ii) a Registration Statement under the Securities Act of 1933 with respect to the Shares will be effective.</w:t>
      </w:r>
    </w:p>
    <w:p>
      <w:pPr>
        <w:sectPr>
          <w:pgSz w:w="11900" w:h="16838" w:orient="portrait"/>
          <w:cols w:equalWidth="0" w:num="1">
            <w:col w:w="11240"/>
          </w:cols>
          <w:pgMar w:left="320" w:top="1423" w:right="339" w:bottom="1440" w:gutter="0" w:footer="0" w:header="0"/>
        </w:sectPr>
      </w:pPr>
    </w:p>
    <w:bookmarkStart w:id="171" w:name="page172"/>
    <w:bookmarkEnd w:id="171"/>
    <w:p>
      <w:pPr>
        <w:jc w:val="both"/>
        <w:spacing w:after="0" w:line="270" w:lineRule="auto"/>
        <w:rPr>
          <w:sz w:val="20"/>
          <w:szCs w:val="20"/>
          <w:color w:val="auto"/>
        </w:rPr>
      </w:pPr>
      <w:r>
        <w:rPr>
          <w:rFonts w:ascii="Arial" w:cs="Arial" w:eastAsia="Arial" w:hAnsi="Arial"/>
          <w:sz w:val="22"/>
          <w:szCs w:val="22"/>
          <w:color w:val="auto"/>
        </w:rPr>
        <w:t>The Company will not be required to deliver any Common Stock until all applicable federal and state laws and regulations have been complied with and all legal matters in connection with the issuance and delivery of the Shares have been approved by counsel of the Company.</w:t>
      </w:r>
    </w:p>
    <w:p>
      <w:pPr>
        <w:spacing w:after="0" w:line="103" w:lineRule="exact"/>
        <w:rPr>
          <w:sz w:val="20"/>
          <w:szCs w:val="20"/>
          <w:color w:val="auto"/>
        </w:rPr>
      </w:pPr>
    </w:p>
    <w:p>
      <w:pPr>
        <w:jc w:val="both"/>
        <w:ind w:firstLine="8"/>
        <w:spacing w:after="0" w:line="260" w:lineRule="auto"/>
        <w:tabs>
          <w:tab w:leader="none" w:pos="608" w:val="left"/>
        </w:tabs>
        <w:numPr>
          <w:ilvl w:val="0"/>
          <w:numId w:val="276"/>
        </w:numPr>
        <w:rPr>
          <w:rFonts w:ascii="Arial" w:cs="Arial" w:eastAsia="Arial" w:hAnsi="Arial"/>
          <w:sz w:val="22"/>
          <w:szCs w:val="22"/>
          <w:color w:val="auto"/>
        </w:rPr>
      </w:pPr>
      <w:r>
        <w:rPr>
          <w:rFonts w:ascii="Arial" w:cs="Arial" w:eastAsia="Arial" w:hAnsi="Arial"/>
          <w:sz w:val="22"/>
          <w:szCs w:val="22"/>
          <w:b w:val="1"/>
          <w:bCs w:val="1"/>
          <w:color w:val="auto"/>
        </w:rPr>
        <w:t xml:space="preserve">Disposition of Securities. </w:t>
      </w:r>
      <w:r>
        <w:rPr>
          <w:rFonts w:ascii="Arial" w:cs="Arial" w:eastAsia="Arial" w:hAnsi="Arial"/>
          <w:sz w:val="22"/>
          <w:szCs w:val="22"/>
          <w:color w:val="auto"/>
        </w:rPr>
        <w:t>By accepting the Award, you acknowledge that you have read and understand (i)</w:t>
      </w:r>
      <w:r>
        <w:rPr>
          <w:rFonts w:ascii="Arial" w:cs="Arial" w:eastAsia="Arial" w:hAnsi="Arial"/>
          <w:sz w:val="22"/>
          <w:szCs w:val="22"/>
          <w:b w:val="1"/>
          <w:bCs w:val="1"/>
          <w:color w:val="auto"/>
        </w:rPr>
        <w:t xml:space="preserve"> </w:t>
      </w:r>
      <w:r>
        <w:rPr>
          <w:rFonts w:ascii="Arial" w:cs="Arial" w:eastAsia="Arial" w:hAnsi="Arial"/>
          <w:sz w:val="22"/>
          <w:szCs w:val="22"/>
          <w:color w:val="auto"/>
        </w:rPr>
        <w:t>the Company’s policy, and are aware of and understand your obligations under U.S. federal securities laws in respect of trading in the Company’s securities, and (ii) the Company’s stock ownership guidelines as they apply to this Award. You agree not to use the Company’s “cashless exercise” program (or any successor program) at any time when you possess material nonpublic information with respect to the Company or when using the program would otherwise result in a violation of securities law. The Company shall have the right to recover, or receive reimbursement for, any compensation or profit realized on the exercise of the Option or by the disposition of Shares received upon exercise of the Option to the extent that the Company has a right of recovery or reimbursement under applicable securities laws.</w:t>
      </w:r>
    </w:p>
    <w:p>
      <w:pPr>
        <w:spacing w:after="0" w:line="98" w:lineRule="exact"/>
        <w:rPr>
          <w:rFonts w:ascii="Arial" w:cs="Arial" w:eastAsia="Arial" w:hAnsi="Arial"/>
          <w:sz w:val="22"/>
          <w:szCs w:val="22"/>
          <w:color w:val="auto"/>
        </w:rPr>
      </w:pPr>
    </w:p>
    <w:p>
      <w:pPr>
        <w:jc w:val="both"/>
        <w:ind w:firstLine="8"/>
        <w:spacing w:after="0" w:line="261" w:lineRule="auto"/>
        <w:tabs>
          <w:tab w:leader="none" w:pos="594" w:val="left"/>
        </w:tabs>
        <w:numPr>
          <w:ilvl w:val="0"/>
          <w:numId w:val="276"/>
        </w:numPr>
        <w:rPr>
          <w:rFonts w:ascii="Arial" w:cs="Arial" w:eastAsia="Arial" w:hAnsi="Arial"/>
          <w:sz w:val="22"/>
          <w:szCs w:val="22"/>
          <w:color w:val="auto"/>
        </w:rPr>
      </w:pPr>
      <w:r>
        <w:rPr>
          <w:rFonts w:ascii="Arial" w:cs="Arial" w:eastAsia="Arial" w:hAnsi="Arial"/>
          <w:sz w:val="22"/>
          <w:szCs w:val="22"/>
          <w:b w:val="1"/>
          <w:bCs w:val="1"/>
          <w:color w:val="auto"/>
        </w:rPr>
        <w:t xml:space="preserve">Plan Terms Govern. </w:t>
      </w:r>
      <w:r>
        <w:rPr>
          <w:rFonts w:ascii="Arial" w:cs="Arial" w:eastAsia="Arial" w:hAnsi="Arial"/>
          <w:sz w:val="22"/>
          <w:szCs w:val="22"/>
          <w:color w:val="auto"/>
        </w:rPr>
        <w:t>The exercise of the Option, the disposition of any Shares received upon exercise of the</w:t>
      </w:r>
      <w:r>
        <w:rPr>
          <w:rFonts w:ascii="Arial" w:cs="Arial" w:eastAsia="Arial" w:hAnsi="Arial"/>
          <w:sz w:val="22"/>
          <w:szCs w:val="22"/>
          <w:b w:val="1"/>
          <w:bCs w:val="1"/>
          <w:color w:val="auto"/>
        </w:rPr>
        <w:t xml:space="preserve"> </w:t>
      </w:r>
      <w:r>
        <w:rPr>
          <w:rFonts w:ascii="Arial" w:cs="Arial" w:eastAsia="Arial" w:hAnsi="Arial"/>
          <w:sz w:val="22"/>
          <w:szCs w:val="22"/>
          <w:color w:val="auto"/>
        </w:rPr>
        <w:t>Option, and the treatment of any gain on the disposition of these Shares are subject to the terms of the Plan and any rules that the Committee may prescribe. The Plan document, as may be amended from time to time, is incorporated into this Agreement. Capitalized terms used in this Agreement have the meaning set forth in the Plan, unless otherwise stated in this Agreement. In the event of any conflict between the terms of the Plan and the terms of this Agreement, the Plan will control unless otherwise stated in this Agreement. By accepting the Award, you acknowledge receipt of the Plan and the prospectus, as in effect on the date of this Agreement.</w:t>
      </w:r>
    </w:p>
    <w:p>
      <w:pPr>
        <w:spacing w:after="0" w:line="112" w:lineRule="exact"/>
        <w:rPr>
          <w:rFonts w:ascii="Arial" w:cs="Arial" w:eastAsia="Arial" w:hAnsi="Arial"/>
          <w:sz w:val="22"/>
          <w:szCs w:val="22"/>
          <w:color w:val="auto"/>
        </w:rPr>
      </w:pPr>
    </w:p>
    <w:p>
      <w:pPr>
        <w:ind w:left="540" w:hanging="532"/>
        <w:spacing w:after="0"/>
        <w:tabs>
          <w:tab w:leader="none" w:pos="540" w:val="left"/>
        </w:tabs>
        <w:numPr>
          <w:ilvl w:val="0"/>
          <w:numId w:val="276"/>
        </w:numPr>
        <w:rPr>
          <w:rFonts w:ascii="Arial" w:cs="Arial" w:eastAsia="Arial" w:hAnsi="Arial"/>
          <w:sz w:val="22"/>
          <w:szCs w:val="22"/>
          <w:color w:val="auto"/>
        </w:rPr>
      </w:pPr>
      <w:r>
        <w:rPr>
          <w:rFonts w:ascii="Arial" w:cs="Arial" w:eastAsia="Arial" w:hAnsi="Arial"/>
          <w:sz w:val="22"/>
          <w:szCs w:val="22"/>
          <w:b w:val="1"/>
          <w:bCs w:val="1"/>
          <w:color w:val="auto"/>
        </w:rPr>
        <w:t>Personal Data.</w:t>
      </w:r>
    </w:p>
    <w:p>
      <w:pPr>
        <w:spacing w:after="0" w:line="167" w:lineRule="exact"/>
        <w:rPr>
          <w:rFonts w:ascii="Arial" w:cs="Arial" w:eastAsia="Arial" w:hAnsi="Arial"/>
          <w:sz w:val="22"/>
          <w:szCs w:val="22"/>
          <w:color w:val="auto"/>
        </w:rPr>
      </w:pPr>
    </w:p>
    <w:p>
      <w:pPr>
        <w:jc w:val="both"/>
        <w:ind w:firstLine="656"/>
        <w:spacing w:after="0" w:line="270" w:lineRule="auto"/>
        <w:tabs>
          <w:tab w:leader="none" w:pos="1127" w:val="left"/>
        </w:tabs>
        <w:numPr>
          <w:ilvl w:val="1"/>
          <w:numId w:val="276"/>
        </w:numPr>
        <w:rPr>
          <w:rFonts w:ascii="Arial" w:cs="Arial" w:eastAsia="Arial" w:hAnsi="Arial"/>
          <w:sz w:val="22"/>
          <w:szCs w:val="22"/>
          <w:color w:val="auto"/>
        </w:rPr>
      </w:pPr>
      <w:r>
        <w:rPr>
          <w:rFonts w:ascii="Arial" w:cs="Arial" w:eastAsia="Arial" w:hAnsi="Arial"/>
          <w:sz w:val="22"/>
          <w:szCs w:val="22"/>
          <w:color w:val="auto"/>
        </w:rPr>
        <w:t>By entering into this Agreement, and as a condition of the grant of the Option, you expressly consent to the collection, use, and transfer of personal data as described in this Section to the full extent permitted by and in full compliance with applicable law.</w:t>
      </w:r>
    </w:p>
    <w:p>
      <w:pPr>
        <w:spacing w:after="0" w:line="91" w:lineRule="exact"/>
        <w:rPr>
          <w:rFonts w:ascii="Arial" w:cs="Arial" w:eastAsia="Arial" w:hAnsi="Arial"/>
          <w:sz w:val="22"/>
          <w:szCs w:val="22"/>
          <w:color w:val="auto"/>
        </w:rPr>
      </w:pPr>
    </w:p>
    <w:p>
      <w:pPr>
        <w:jc w:val="both"/>
        <w:ind w:firstLine="656"/>
        <w:spacing w:after="0" w:line="263" w:lineRule="auto"/>
        <w:tabs>
          <w:tab w:leader="none" w:pos="1186" w:val="left"/>
        </w:tabs>
        <w:numPr>
          <w:ilvl w:val="1"/>
          <w:numId w:val="276"/>
        </w:numPr>
        <w:rPr>
          <w:rFonts w:ascii="Arial" w:cs="Arial" w:eastAsia="Arial" w:hAnsi="Arial"/>
          <w:sz w:val="22"/>
          <w:szCs w:val="22"/>
          <w:color w:val="auto"/>
        </w:rPr>
      </w:pPr>
      <w:r>
        <w:rPr>
          <w:rFonts w:ascii="Arial" w:cs="Arial" w:eastAsia="Arial" w:hAnsi="Arial"/>
          <w:sz w:val="22"/>
          <w:szCs w:val="22"/>
          <w:color w:val="auto"/>
        </w:rPr>
        <w:t>You understand that your local employer holds, by means of an automated data file, certain personal information about you, including, but not limited to, name, home address and telephone number, date of birth, social insurance number, salary, nationality, job title, any shares or directorships held in the Company, details of all options or other entitlement to shares awarded, canceled, exercised, vested, unvested, or outstanding in your favor, for the purpose of managing and administering the Plan (“Data”).</w:t>
      </w:r>
    </w:p>
    <w:p>
      <w:pPr>
        <w:spacing w:after="0" w:line="112" w:lineRule="exact"/>
        <w:rPr>
          <w:rFonts w:ascii="Arial" w:cs="Arial" w:eastAsia="Arial" w:hAnsi="Arial"/>
          <w:sz w:val="22"/>
          <w:szCs w:val="22"/>
          <w:color w:val="auto"/>
        </w:rPr>
      </w:pPr>
    </w:p>
    <w:p>
      <w:pPr>
        <w:jc w:val="both"/>
        <w:ind w:firstLine="656"/>
        <w:spacing w:after="0" w:line="270" w:lineRule="auto"/>
        <w:tabs>
          <w:tab w:leader="none" w:pos="1153" w:val="left"/>
        </w:tabs>
        <w:numPr>
          <w:ilvl w:val="1"/>
          <w:numId w:val="276"/>
        </w:numPr>
        <w:rPr>
          <w:rFonts w:ascii="Arial" w:cs="Arial" w:eastAsia="Arial" w:hAnsi="Arial"/>
          <w:sz w:val="22"/>
          <w:szCs w:val="22"/>
          <w:color w:val="auto"/>
        </w:rPr>
      </w:pPr>
      <w:r>
        <w:rPr>
          <w:rFonts w:ascii="Arial" w:cs="Arial" w:eastAsia="Arial" w:hAnsi="Arial"/>
          <w:sz w:val="22"/>
          <w:szCs w:val="22"/>
          <w:color w:val="auto"/>
        </w:rPr>
        <w:t>You further understand that part or all of your Data may be also held by the Company or its Affiliates, pursuant to a transfer made in the past with your consent, in respect of any previous grant of options or awards, which was made for the same</w:t>
      </w:r>
    </w:p>
    <w:p>
      <w:pPr>
        <w:sectPr>
          <w:pgSz w:w="11900" w:h="16838" w:orient="portrait"/>
          <w:cols w:equalWidth="0" w:num="1">
            <w:col w:w="11240"/>
          </w:cols>
          <w:pgMar w:left="320" w:top="1423" w:right="339" w:bottom="1440" w:gutter="0" w:footer="0" w:header="0"/>
        </w:sectPr>
      </w:pPr>
    </w:p>
    <w:bookmarkStart w:id="172" w:name="page173"/>
    <w:bookmarkEnd w:id="172"/>
    <w:p>
      <w:pPr>
        <w:spacing w:after="0"/>
        <w:rPr>
          <w:sz w:val="20"/>
          <w:szCs w:val="20"/>
          <w:color w:val="auto"/>
        </w:rPr>
      </w:pPr>
      <w:r>
        <w:rPr>
          <w:rFonts w:ascii="Arial" w:cs="Arial" w:eastAsia="Arial" w:hAnsi="Arial"/>
          <w:sz w:val="22"/>
          <w:szCs w:val="22"/>
          <w:color w:val="auto"/>
        </w:rPr>
        <w:t>purposes of managing and administering of previous award/incentive plans, or for other purposes.</w:t>
      </w:r>
    </w:p>
    <w:p>
      <w:pPr>
        <w:spacing w:after="0" w:line="166" w:lineRule="exact"/>
        <w:rPr>
          <w:sz w:val="20"/>
          <w:szCs w:val="20"/>
          <w:color w:val="auto"/>
        </w:rPr>
      </w:pPr>
    </w:p>
    <w:p>
      <w:pPr>
        <w:jc w:val="both"/>
        <w:ind w:firstLine="656"/>
        <w:spacing w:after="0" w:line="263" w:lineRule="auto"/>
        <w:tabs>
          <w:tab w:leader="none" w:pos="1113" w:val="left"/>
        </w:tabs>
        <w:numPr>
          <w:ilvl w:val="2"/>
          <w:numId w:val="277"/>
        </w:numPr>
        <w:rPr>
          <w:rFonts w:ascii="Arial" w:cs="Arial" w:eastAsia="Arial" w:hAnsi="Arial"/>
          <w:sz w:val="22"/>
          <w:szCs w:val="22"/>
          <w:color w:val="auto"/>
        </w:rPr>
      </w:pPr>
      <w:r>
        <w:rPr>
          <w:rFonts w:ascii="Arial" w:cs="Arial" w:eastAsia="Arial" w:hAnsi="Arial"/>
          <w:sz w:val="22"/>
          <w:szCs w:val="22"/>
          <w:color w:val="auto"/>
        </w:rPr>
        <w:t>You further understand that your local employer will transfer Data to the Company or its Affiliates among themselves as necessary for the purposes of implementation, administration, and management of your participation in the Plan, and that the Company or its Affiliates may transfer data among themselves, and/or each, in turn, further transfer Data to any third parties assisting the Company in the implementation, administration, and management of the Plan (“Data Recipients”).</w:t>
      </w:r>
    </w:p>
    <w:p>
      <w:pPr>
        <w:spacing w:after="0" w:line="98" w:lineRule="exact"/>
        <w:rPr>
          <w:rFonts w:ascii="Arial" w:cs="Arial" w:eastAsia="Arial" w:hAnsi="Arial"/>
          <w:sz w:val="22"/>
          <w:szCs w:val="22"/>
          <w:color w:val="auto"/>
        </w:rPr>
      </w:pPr>
    </w:p>
    <w:p>
      <w:pPr>
        <w:jc w:val="both"/>
        <w:ind w:firstLine="656"/>
        <w:spacing w:after="0" w:line="261" w:lineRule="auto"/>
        <w:tabs>
          <w:tab w:leader="none" w:pos="1071" w:val="left"/>
        </w:tabs>
        <w:numPr>
          <w:ilvl w:val="2"/>
          <w:numId w:val="277"/>
        </w:numPr>
        <w:rPr>
          <w:rFonts w:ascii="Arial" w:cs="Arial" w:eastAsia="Arial" w:hAnsi="Arial"/>
          <w:sz w:val="22"/>
          <w:szCs w:val="22"/>
          <w:color w:val="auto"/>
        </w:rPr>
      </w:pPr>
      <w:r>
        <w:rPr>
          <w:rFonts w:ascii="Arial" w:cs="Arial" w:eastAsia="Arial" w:hAnsi="Arial"/>
          <w:sz w:val="22"/>
          <w:szCs w:val="22"/>
          <w:color w:val="auto"/>
        </w:rPr>
        <w:t>You understand that the Company or its Affiliates, as well as the Data Recipients, are or may be located in your country of residence or elsewhere, such as the United States. You authorize the Company or its Affiliates, as well as the Data Recipients, to receive, possess, use, retain, and transfer Data in electronic or other form, for the purposes of implementing, administering, and managing your participation in the Plan, including any transfer of such Data, as may be required for the administration of the Plan and/or the subsequent holding of Shares on your behalf, to a broker or third party with whom the Shares may be deposited.</w:t>
      </w:r>
    </w:p>
    <w:p>
      <w:pPr>
        <w:spacing w:after="0" w:line="117" w:lineRule="exact"/>
        <w:rPr>
          <w:rFonts w:ascii="Arial" w:cs="Arial" w:eastAsia="Arial" w:hAnsi="Arial"/>
          <w:sz w:val="22"/>
          <w:szCs w:val="22"/>
          <w:color w:val="auto"/>
        </w:rPr>
      </w:pPr>
    </w:p>
    <w:p>
      <w:pPr>
        <w:jc w:val="both"/>
        <w:ind w:firstLine="656"/>
        <w:spacing w:after="0" w:line="265" w:lineRule="auto"/>
        <w:tabs>
          <w:tab w:leader="none" w:pos="1035" w:val="left"/>
        </w:tabs>
        <w:numPr>
          <w:ilvl w:val="2"/>
          <w:numId w:val="277"/>
        </w:numPr>
        <w:rPr>
          <w:rFonts w:ascii="Arial" w:cs="Arial" w:eastAsia="Arial" w:hAnsi="Arial"/>
          <w:sz w:val="22"/>
          <w:szCs w:val="22"/>
          <w:color w:val="auto"/>
        </w:rPr>
      </w:pPr>
      <w:r>
        <w:rPr>
          <w:rFonts w:ascii="Arial" w:cs="Arial" w:eastAsia="Arial" w:hAnsi="Arial"/>
          <w:sz w:val="22"/>
          <w:szCs w:val="22"/>
          <w:color w:val="auto"/>
        </w:rPr>
        <w:t>You understand that you may show your opposition to the processing and transfer of your Data, and, may at any time, review the Data, request that any necessary amendments be made to it, or withdraw your consent herein in writing by contacting the Company. You further understand that withdrawing consent may affect your ability to participate in the Plan.</w:t>
      </w:r>
    </w:p>
    <w:p>
      <w:pPr>
        <w:spacing w:after="0" w:line="111" w:lineRule="exact"/>
        <w:rPr>
          <w:rFonts w:ascii="Arial" w:cs="Arial" w:eastAsia="Arial" w:hAnsi="Arial"/>
          <w:sz w:val="22"/>
          <w:szCs w:val="22"/>
          <w:color w:val="auto"/>
        </w:rPr>
      </w:pPr>
    </w:p>
    <w:p>
      <w:pPr>
        <w:jc w:val="both"/>
        <w:ind w:firstLine="656"/>
        <w:spacing w:after="0" w:line="278" w:lineRule="auto"/>
        <w:tabs>
          <w:tab w:leader="none" w:pos="1094" w:val="left"/>
        </w:tabs>
        <w:numPr>
          <w:ilvl w:val="2"/>
          <w:numId w:val="277"/>
        </w:numPr>
        <w:rPr>
          <w:rFonts w:ascii="Arial" w:cs="Arial" w:eastAsia="Arial" w:hAnsi="Arial"/>
          <w:sz w:val="21"/>
          <w:szCs w:val="21"/>
          <w:color w:val="auto"/>
        </w:rPr>
      </w:pPr>
      <w:r>
        <w:rPr>
          <w:rFonts w:ascii="Arial" w:cs="Arial" w:eastAsia="Arial" w:hAnsi="Arial"/>
          <w:sz w:val="21"/>
          <w:szCs w:val="21"/>
          <w:color w:val="auto"/>
        </w:rPr>
        <w:t>You further understand the Company or the Affiliate(s) for which you act as a director or officer may need your Data to fulfill the applicable statutory requirements or prepare annual financial statements. You hereby consent that the Company or Affiliate(s) may transfer the Data among themselves, and/or each, in turn, further transfer Data to any third parties assisting the Company or the Affiliate(s) in fulfilling the applicable statutory requirements or preparing annual financial statements whether during your employment or after your Termination of Employment.</w:t>
      </w:r>
    </w:p>
    <w:p>
      <w:pPr>
        <w:spacing w:after="0" w:line="84" w:lineRule="exact"/>
        <w:rPr>
          <w:rFonts w:ascii="Arial" w:cs="Arial" w:eastAsia="Arial" w:hAnsi="Arial"/>
          <w:sz w:val="21"/>
          <w:szCs w:val="21"/>
          <w:color w:val="auto"/>
        </w:rPr>
      </w:pPr>
    </w:p>
    <w:p>
      <w:pPr>
        <w:ind w:firstLine="8"/>
        <w:spacing w:after="0" w:line="287" w:lineRule="auto"/>
        <w:tabs>
          <w:tab w:leader="none" w:pos="635" w:val="left"/>
        </w:tabs>
        <w:numPr>
          <w:ilvl w:val="0"/>
          <w:numId w:val="278"/>
        </w:numPr>
        <w:rPr>
          <w:rFonts w:ascii="Arial" w:cs="Arial" w:eastAsia="Arial" w:hAnsi="Arial"/>
          <w:sz w:val="22"/>
          <w:szCs w:val="22"/>
          <w:color w:val="auto"/>
        </w:rPr>
      </w:pPr>
      <w:r>
        <w:rPr>
          <w:rFonts w:ascii="Arial" w:cs="Arial" w:eastAsia="Arial" w:hAnsi="Arial"/>
          <w:sz w:val="22"/>
          <w:szCs w:val="22"/>
          <w:b w:val="1"/>
          <w:bCs w:val="1"/>
          <w:color w:val="auto"/>
        </w:rPr>
        <w:t xml:space="preserve">Discretionary Nature and Acceptance of Award. </w:t>
      </w:r>
      <w:r>
        <w:rPr>
          <w:rFonts w:ascii="Arial" w:cs="Arial" w:eastAsia="Arial" w:hAnsi="Arial"/>
          <w:sz w:val="22"/>
          <w:szCs w:val="22"/>
          <w:color w:val="auto"/>
        </w:rPr>
        <w:t>By accepting this Award, you agree to be bound by the</w:t>
      </w:r>
      <w:r>
        <w:rPr>
          <w:rFonts w:ascii="Arial" w:cs="Arial" w:eastAsia="Arial" w:hAnsi="Arial"/>
          <w:sz w:val="22"/>
          <w:szCs w:val="22"/>
          <w:b w:val="1"/>
          <w:bCs w:val="1"/>
          <w:color w:val="auto"/>
        </w:rPr>
        <w:t xml:space="preserve"> </w:t>
      </w:r>
      <w:r>
        <w:rPr>
          <w:rFonts w:ascii="Arial" w:cs="Arial" w:eastAsia="Arial" w:hAnsi="Arial"/>
          <w:sz w:val="22"/>
          <w:szCs w:val="22"/>
          <w:color w:val="auto"/>
        </w:rPr>
        <w:t>terms of this Agreement and acknowledge that:</w:t>
      </w:r>
    </w:p>
    <w:p>
      <w:pPr>
        <w:spacing w:after="0" w:line="85" w:lineRule="exact"/>
        <w:rPr>
          <w:rFonts w:ascii="Arial" w:cs="Arial" w:eastAsia="Arial" w:hAnsi="Arial"/>
          <w:sz w:val="22"/>
          <w:szCs w:val="22"/>
          <w:color w:val="auto"/>
        </w:rPr>
      </w:pPr>
    </w:p>
    <w:p>
      <w:pPr>
        <w:jc w:val="both"/>
        <w:ind w:firstLine="656"/>
        <w:spacing w:after="0" w:line="270" w:lineRule="auto"/>
        <w:tabs>
          <w:tab w:leader="none" w:pos="1118" w:val="left"/>
        </w:tabs>
        <w:numPr>
          <w:ilvl w:val="2"/>
          <w:numId w:val="278"/>
        </w:numPr>
        <w:rPr>
          <w:rFonts w:ascii="Arial" w:cs="Arial" w:eastAsia="Arial" w:hAnsi="Arial"/>
          <w:sz w:val="22"/>
          <w:szCs w:val="22"/>
          <w:color w:val="auto"/>
        </w:rPr>
      </w:pPr>
      <w:r>
        <w:rPr>
          <w:rFonts w:ascii="Arial" w:cs="Arial" w:eastAsia="Arial" w:hAnsi="Arial"/>
          <w:sz w:val="22"/>
          <w:szCs w:val="22"/>
          <w:color w:val="auto"/>
        </w:rPr>
        <w:t>The Company (and not your local employer) is granting your Option. Furthermore, this Agreement is not derived from any preexisting labor relationship between you and the Company, but rather from a mercantile relationship.</w:t>
      </w:r>
    </w:p>
    <w:p>
      <w:pPr>
        <w:spacing w:after="0" w:line="104" w:lineRule="exact"/>
        <w:rPr>
          <w:rFonts w:ascii="Arial" w:cs="Arial" w:eastAsia="Arial" w:hAnsi="Arial"/>
          <w:sz w:val="22"/>
          <w:szCs w:val="22"/>
          <w:color w:val="auto"/>
        </w:rPr>
      </w:pPr>
    </w:p>
    <w:p>
      <w:pPr>
        <w:ind w:firstLine="345"/>
        <w:spacing w:after="0" w:line="285" w:lineRule="auto"/>
        <w:tabs>
          <w:tab w:leader="none" w:pos="850" w:val="left"/>
        </w:tabs>
        <w:numPr>
          <w:ilvl w:val="1"/>
          <w:numId w:val="278"/>
        </w:numPr>
        <w:rPr>
          <w:rFonts w:ascii="Arial" w:cs="Arial" w:eastAsia="Arial" w:hAnsi="Arial"/>
          <w:sz w:val="22"/>
          <w:szCs w:val="22"/>
          <w:color w:val="auto"/>
        </w:rPr>
      </w:pPr>
      <w:r>
        <w:rPr>
          <w:rFonts w:ascii="Arial" w:cs="Arial" w:eastAsia="Arial" w:hAnsi="Arial"/>
          <w:sz w:val="22"/>
          <w:szCs w:val="22"/>
          <w:color w:val="auto"/>
        </w:rPr>
        <w:t>The Company may administer the Plan from outside your country of residence and United States law will govern all options granted under the Plan.</w:t>
      </w:r>
    </w:p>
    <w:p>
      <w:pPr>
        <w:spacing w:after="0" w:line="74" w:lineRule="exact"/>
        <w:rPr>
          <w:rFonts w:ascii="Arial" w:cs="Arial" w:eastAsia="Arial" w:hAnsi="Arial"/>
          <w:sz w:val="22"/>
          <w:szCs w:val="22"/>
          <w:color w:val="auto"/>
        </w:rPr>
      </w:pPr>
    </w:p>
    <w:p>
      <w:pPr>
        <w:ind w:firstLine="656"/>
        <w:spacing w:after="0" w:line="285" w:lineRule="auto"/>
        <w:tabs>
          <w:tab w:leader="none" w:pos="1236" w:val="left"/>
        </w:tabs>
        <w:numPr>
          <w:ilvl w:val="2"/>
          <w:numId w:val="279"/>
        </w:numPr>
        <w:rPr>
          <w:rFonts w:ascii="Arial" w:cs="Arial" w:eastAsia="Arial" w:hAnsi="Arial"/>
          <w:sz w:val="22"/>
          <w:szCs w:val="22"/>
          <w:color w:val="auto"/>
        </w:rPr>
      </w:pPr>
      <w:r>
        <w:rPr>
          <w:rFonts w:ascii="Arial" w:cs="Arial" w:eastAsia="Arial" w:hAnsi="Arial"/>
          <w:sz w:val="22"/>
          <w:szCs w:val="22"/>
          <w:color w:val="auto"/>
        </w:rPr>
        <w:t>Benefits and rights provided under the Plan are wholly discretionary and, although provided by the Company, do not constitute regular or periodic payments.</w:t>
      </w:r>
    </w:p>
    <w:p>
      <w:pPr>
        <w:sectPr>
          <w:pgSz w:w="11900" w:h="16838" w:orient="portrait"/>
          <w:cols w:equalWidth="0" w:num="1">
            <w:col w:w="11240"/>
          </w:cols>
          <w:pgMar w:left="320" w:top="1423" w:right="339" w:bottom="1440" w:gutter="0" w:footer="0" w:header="0"/>
        </w:sectPr>
      </w:pPr>
    </w:p>
    <w:bookmarkStart w:id="173" w:name="page174"/>
    <w:bookmarkEnd w:id="173"/>
    <w:p>
      <w:pPr>
        <w:jc w:val="both"/>
        <w:ind w:left="-8" w:firstLine="656"/>
        <w:spacing w:after="0" w:line="260" w:lineRule="auto"/>
        <w:tabs>
          <w:tab w:leader="none" w:pos="1280" w:val="left"/>
        </w:tabs>
        <w:numPr>
          <w:ilvl w:val="1"/>
          <w:numId w:val="280"/>
        </w:numPr>
        <w:rPr>
          <w:rFonts w:ascii="Arial" w:cs="Arial" w:eastAsia="Arial" w:hAnsi="Arial"/>
          <w:sz w:val="22"/>
          <w:szCs w:val="22"/>
          <w:color w:val="auto"/>
        </w:rPr>
      </w:pPr>
      <w:r>
        <w:rPr>
          <w:rFonts w:ascii="Arial" w:cs="Arial" w:eastAsia="Arial" w:hAnsi="Arial"/>
          <w:sz w:val="22"/>
          <w:szCs w:val="22"/>
          <w:color w:val="auto"/>
        </w:rPr>
        <w:t>The benefits and rights provided under the Plan are not to be considered part of your salary or compensation under your employment with your local employer for purposes of calculating any severance, resignation, redundancy or other end of service payments, vacation, bonuses, long-term service awards, indemnification, pension or retirement benefits, or any other payments, benefits or rights of any kind. You waive any and all rights to compensation or damages as a result of the termination of employment with your local employer for any reason whatsoever insofar as those rights result, or may result, from the loss or diminution in value of such rights under the Plan or your ceasing to have any rights under, or ceasing to be entitled to any rights under, the Plan as a result of such termination.</w:t>
      </w:r>
    </w:p>
    <w:p>
      <w:pPr>
        <w:spacing w:after="0" w:line="116" w:lineRule="exact"/>
        <w:rPr>
          <w:rFonts w:ascii="Arial" w:cs="Arial" w:eastAsia="Arial" w:hAnsi="Arial"/>
          <w:sz w:val="22"/>
          <w:szCs w:val="22"/>
          <w:color w:val="auto"/>
        </w:rPr>
      </w:pPr>
    </w:p>
    <w:p>
      <w:pPr>
        <w:jc w:val="both"/>
        <w:ind w:left="-8" w:firstLine="656"/>
        <w:spacing w:after="0" w:line="261" w:lineRule="auto"/>
        <w:tabs>
          <w:tab w:leader="none" w:pos="1091" w:val="left"/>
        </w:tabs>
        <w:numPr>
          <w:ilvl w:val="1"/>
          <w:numId w:val="280"/>
        </w:numPr>
        <w:rPr>
          <w:rFonts w:ascii="Arial" w:cs="Arial" w:eastAsia="Arial" w:hAnsi="Arial"/>
          <w:sz w:val="22"/>
          <w:szCs w:val="22"/>
          <w:color w:val="auto"/>
        </w:rPr>
      </w:pPr>
      <w:r>
        <w:rPr>
          <w:rFonts w:ascii="Arial" w:cs="Arial" w:eastAsia="Arial" w:hAnsi="Arial"/>
          <w:sz w:val="22"/>
          <w:szCs w:val="22"/>
          <w:color w:val="auto"/>
        </w:rPr>
        <w:t>The grant of the Option hereunder, and any future grant of an option under the Plan, is entirely voluntary, and at the complete discretion of the Company. Neither the grant of the Option nor any future grant by the Company will be deemed to create any obligation to make any future grants, whether or not such a reservation is explicitly stated at the time of such a grant. The Company has the right, at any time and/or on an annual basis, to amend, suspend or terminate the Plan; provided, however, that no such amendment, suspension, or termination will adversely affect your rights hereunder.</w:t>
      </w:r>
    </w:p>
    <w:p>
      <w:pPr>
        <w:spacing w:after="0" w:line="104" w:lineRule="exact"/>
        <w:rPr>
          <w:rFonts w:ascii="Arial" w:cs="Arial" w:eastAsia="Arial" w:hAnsi="Arial"/>
          <w:sz w:val="22"/>
          <w:szCs w:val="22"/>
          <w:color w:val="auto"/>
        </w:rPr>
      </w:pPr>
    </w:p>
    <w:p>
      <w:pPr>
        <w:jc w:val="both"/>
        <w:ind w:left="-8" w:firstLine="656"/>
        <w:spacing w:after="0" w:line="270" w:lineRule="auto"/>
        <w:tabs>
          <w:tab w:leader="none" w:pos="1021" w:val="left"/>
        </w:tabs>
        <w:numPr>
          <w:ilvl w:val="1"/>
          <w:numId w:val="280"/>
        </w:numPr>
        <w:rPr>
          <w:rFonts w:ascii="Arial" w:cs="Arial" w:eastAsia="Arial" w:hAnsi="Arial"/>
          <w:sz w:val="22"/>
          <w:szCs w:val="22"/>
          <w:color w:val="auto"/>
        </w:rPr>
      </w:pPr>
      <w:r>
        <w:rPr>
          <w:rFonts w:ascii="Arial" w:cs="Arial" w:eastAsia="Arial" w:hAnsi="Arial"/>
          <w:sz w:val="22"/>
          <w:szCs w:val="22"/>
          <w:color w:val="auto"/>
        </w:rPr>
        <w:t>The Plan will not be deemed to constitute, and will not be construed by you to constitute, part of the terms and conditions of employment. Neither the Company nor your local employer will incur any liability of any kind to you as a result of any change or amendment, or any cancellation, of the Plan at any time.</w:t>
      </w:r>
    </w:p>
    <w:p>
      <w:pPr>
        <w:spacing w:after="0" w:line="104" w:lineRule="exact"/>
        <w:rPr>
          <w:rFonts w:ascii="Arial" w:cs="Arial" w:eastAsia="Arial" w:hAnsi="Arial"/>
          <w:sz w:val="22"/>
          <w:szCs w:val="22"/>
          <w:color w:val="auto"/>
        </w:rPr>
      </w:pPr>
    </w:p>
    <w:p>
      <w:pPr>
        <w:ind w:left="-8" w:right="20" w:firstLine="656"/>
        <w:spacing w:after="0" w:line="285" w:lineRule="auto"/>
        <w:tabs>
          <w:tab w:leader="none" w:pos="1091" w:val="left"/>
        </w:tabs>
        <w:numPr>
          <w:ilvl w:val="1"/>
          <w:numId w:val="280"/>
        </w:numPr>
        <w:rPr>
          <w:rFonts w:ascii="Arial" w:cs="Arial" w:eastAsia="Arial" w:hAnsi="Arial"/>
          <w:sz w:val="22"/>
          <w:szCs w:val="22"/>
          <w:color w:val="auto"/>
        </w:rPr>
      </w:pPr>
      <w:r>
        <w:rPr>
          <w:rFonts w:ascii="Arial" w:cs="Arial" w:eastAsia="Arial" w:hAnsi="Arial"/>
          <w:sz w:val="22"/>
          <w:szCs w:val="22"/>
          <w:color w:val="auto"/>
        </w:rPr>
        <w:t>Participation in the Plan will not be deemed to constitute, and will not be deemed by you to constitute, an employment or labor relationship of any kind with the Company.</w:t>
      </w:r>
    </w:p>
    <w:p>
      <w:pPr>
        <w:spacing w:after="0" w:line="85" w:lineRule="exact"/>
        <w:rPr>
          <w:rFonts w:ascii="Arial" w:cs="Arial" w:eastAsia="Arial" w:hAnsi="Arial"/>
          <w:sz w:val="22"/>
          <w:szCs w:val="22"/>
          <w:color w:val="auto"/>
        </w:rPr>
      </w:pPr>
    </w:p>
    <w:p>
      <w:pPr>
        <w:jc w:val="both"/>
        <w:ind w:left="-8" w:firstLine="8"/>
        <w:spacing w:after="0" w:line="263" w:lineRule="auto"/>
        <w:tabs>
          <w:tab w:leader="none" w:pos="694" w:val="left"/>
        </w:tabs>
        <w:numPr>
          <w:ilvl w:val="0"/>
          <w:numId w:val="281"/>
        </w:numPr>
        <w:rPr>
          <w:rFonts w:ascii="Arial" w:cs="Arial" w:eastAsia="Arial" w:hAnsi="Arial"/>
          <w:sz w:val="22"/>
          <w:szCs w:val="22"/>
          <w:color w:val="auto"/>
        </w:rPr>
      </w:pPr>
      <w:r>
        <w:rPr>
          <w:rFonts w:ascii="Arial" w:cs="Arial" w:eastAsia="Arial" w:hAnsi="Arial"/>
          <w:sz w:val="22"/>
          <w:szCs w:val="22"/>
          <w:b w:val="1"/>
          <w:bCs w:val="1"/>
          <w:color w:val="auto"/>
        </w:rPr>
        <w:t xml:space="preserve">Limitations. </w:t>
      </w:r>
      <w:r>
        <w:rPr>
          <w:rFonts w:ascii="Arial" w:cs="Arial" w:eastAsia="Arial" w:hAnsi="Arial"/>
          <w:sz w:val="22"/>
          <w:szCs w:val="22"/>
          <w:color w:val="auto"/>
        </w:rPr>
        <w:t>Nothing in this Agreement or the Plan gives you any right to continue in the employ of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or any of its Affiliates or to interfere in any way with the right of the Company or any Affiliate to terminate your employment at any time. Payment of Shares is not secured by a trust, insurance contract or other funding medium, and you do not have any interest in any fund or specific asset of the Company by reason of the Option. You have no rights as a shareowner of the Company pursuant to the Option until Shares are actually delivered you.</w:t>
      </w:r>
    </w:p>
    <w:p>
      <w:pPr>
        <w:spacing w:after="0" w:line="98" w:lineRule="exact"/>
        <w:rPr>
          <w:rFonts w:ascii="Arial" w:cs="Arial" w:eastAsia="Arial" w:hAnsi="Arial"/>
          <w:sz w:val="22"/>
          <w:szCs w:val="22"/>
          <w:color w:val="auto"/>
        </w:rPr>
      </w:pPr>
    </w:p>
    <w:p>
      <w:pPr>
        <w:jc w:val="both"/>
        <w:ind w:left="-8" w:firstLine="8"/>
        <w:spacing w:after="0" w:line="271" w:lineRule="auto"/>
        <w:tabs>
          <w:tab w:leader="none" w:pos="721" w:val="left"/>
        </w:tabs>
        <w:numPr>
          <w:ilvl w:val="0"/>
          <w:numId w:val="281"/>
        </w:numPr>
        <w:rPr>
          <w:rFonts w:ascii="Arial" w:cs="Arial" w:eastAsia="Arial" w:hAnsi="Arial"/>
          <w:sz w:val="22"/>
          <w:szCs w:val="22"/>
          <w:color w:val="auto"/>
        </w:rPr>
      </w:pPr>
      <w:r>
        <w:rPr>
          <w:rFonts w:ascii="Arial" w:cs="Arial" w:eastAsia="Arial" w:hAnsi="Arial"/>
          <w:sz w:val="22"/>
          <w:szCs w:val="22"/>
          <w:b w:val="1"/>
          <w:bCs w:val="1"/>
          <w:color w:val="auto"/>
        </w:rPr>
        <w:t xml:space="preserve">Incorporation of Other Agreements. </w:t>
      </w:r>
      <w:r>
        <w:rPr>
          <w:rFonts w:ascii="Arial" w:cs="Arial" w:eastAsia="Arial" w:hAnsi="Arial"/>
          <w:sz w:val="22"/>
          <w:szCs w:val="22"/>
          <w:color w:val="auto"/>
        </w:rPr>
        <w:t>This Agreement and the Plan constitute the entire understanding</w:t>
      </w:r>
      <w:r>
        <w:rPr>
          <w:rFonts w:ascii="Arial" w:cs="Arial" w:eastAsia="Arial" w:hAnsi="Arial"/>
          <w:sz w:val="22"/>
          <w:szCs w:val="22"/>
          <w:b w:val="1"/>
          <w:bCs w:val="1"/>
          <w:color w:val="auto"/>
        </w:rPr>
        <w:t xml:space="preserve"> </w:t>
      </w:r>
      <w:r>
        <w:rPr>
          <w:rFonts w:ascii="Arial" w:cs="Arial" w:eastAsia="Arial" w:hAnsi="Arial"/>
          <w:sz w:val="22"/>
          <w:szCs w:val="22"/>
          <w:color w:val="auto"/>
        </w:rPr>
        <w:t>between you and the Company regarding the Option. This Agreement supersedes any prior agreements, commitments or negotiations concerning the Option.</w:t>
      </w:r>
    </w:p>
    <w:p>
      <w:pPr>
        <w:spacing w:after="0" w:line="101" w:lineRule="exact"/>
        <w:rPr>
          <w:rFonts w:ascii="Arial" w:cs="Arial" w:eastAsia="Arial" w:hAnsi="Arial"/>
          <w:sz w:val="22"/>
          <w:szCs w:val="22"/>
          <w:color w:val="auto"/>
        </w:rPr>
      </w:pPr>
    </w:p>
    <w:p>
      <w:pPr>
        <w:jc w:val="both"/>
        <w:ind w:left="-8" w:firstLine="8"/>
        <w:spacing w:after="0" w:line="266" w:lineRule="auto"/>
        <w:tabs>
          <w:tab w:leader="none" w:pos="586" w:val="left"/>
        </w:tabs>
        <w:numPr>
          <w:ilvl w:val="0"/>
          <w:numId w:val="281"/>
        </w:numPr>
        <w:rPr>
          <w:rFonts w:ascii="Arial" w:cs="Arial" w:eastAsia="Arial" w:hAnsi="Arial"/>
          <w:sz w:val="22"/>
          <w:szCs w:val="22"/>
          <w:color w:val="auto"/>
        </w:rPr>
      </w:pPr>
      <w:r>
        <w:rPr>
          <w:rFonts w:ascii="Arial" w:cs="Arial" w:eastAsia="Arial" w:hAnsi="Arial"/>
          <w:sz w:val="22"/>
          <w:szCs w:val="22"/>
          <w:b w:val="1"/>
          <w:bCs w:val="1"/>
          <w:color w:val="auto"/>
        </w:rPr>
        <w:t xml:space="preserve">Severability. </w:t>
      </w:r>
      <w:r>
        <w:rPr>
          <w:rFonts w:ascii="Arial" w:cs="Arial" w:eastAsia="Arial" w:hAnsi="Arial"/>
          <w:sz w:val="22"/>
          <w:szCs w:val="22"/>
          <w:color w:val="auto"/>
        </w:rPr>
        <w:t>The invalidity or unenforceability of any provision of this Agreement will not affect the validity or</w:t>
      </w:r>
      <w:r>
        <w:rPr>
          <w:rFonts w:ascii="Arial" w:cs="Arial" w:eastAsia="Arial" w:hAnsi="Arial"/>
          <w:sz w:val="22"/>
          <w:szCs w:val="22"/>
          <w:b w:val="1"/>
          <w:bCs w:val="1"/>
          <w:color w:val="auto"/>
        </w:rPr>
        <w:t xml:space="preserve"> </w:t>
      </w:r>
      <w:r>
        <w:rPr>
          <w:rFonts w:ascii="Arial" w:cs="Arial" w:eastAsia="Arial" w:hAnsi="Arial"/>
          <w:sz w:val="22"/>
          <w:szCs w:val="22"/>
          <w:color w:val="auto"/>
        </w:rPr>
        <w:t>enforceability of the other provisions of the Agreement, which will remain in full force and effect. Moreover, if any provision is found to be excessively broad in duration, scope or covered activity, the provision will be construed so as to be enforceable to the maximum extent compatible with applicable law.</w:t>
      </w:r>
    </w:p>
    <w:p>
      <w:pPr>
        <w:sectPr>
          <w:pgSz w:w="11900" w:h="16838" w:orient="portrait"/>
          <w:cols w:equalWidth="0" w:num="1">
            <w:col w:w="11232"/>
          </w:cols>
          <w:pgMar w:left="328" w:top="1423" w:right="339" w:bottom="1440" w:gutter="0" w:footer="0" w:header="0"/>
        </w:sectPr>
      </w:pPr>
    </w:p>
    <w:bookmarkStart w:id="174" w:name="page175"/>
    <w:bookmarkEnd w:id="174"/>
    <w:p>
      <w:pPr>
        <w:jc w:val="both"/>
        <w:ind w:firstLine="8"/>
        <w:spacing w:after="0" w:line="271" w:lineRule="auto"/>
        <w:tabs>
          <w:tab w:leader="none" w:pos="594" w:val="left"/>
        </w:tabs>
        <w:numPr>
          <w:ilvl w:val="0"/>
          <w:numId w:val="282"/>
        </w:numPr>
        <w:rPr>
          <w:rFonts w:ascii="Arial" w:cs="Arial" w:eastAsia="Arial" w:hAnsi="Arial"/>
          <w:sz w:val="22"/>
          <w:szCs w:val="22"/>
          <w:color w:val="auto"/>
        </w:rPr>
      </w:pPr>
      <w:r>
        <w:rPr>
          <w:rFonts w:ascii="Arial" w:cs="Arial" w:eastAsia="Arial" w:hAnsi="Arial"/>
          <w:sz w:val="22"/>
          <w:szCs w:val="22"/>
          <w:b w:val="1"/>
          <w:bCs w:val="1"/>
          <w:color w:val="auto"/>
        </w:rPr>
        <w:t xml:space="preserve">Governing Law. </w:t>
      </w:r>
      <w:r>
        <w:rPr>
          <w:rFonts w:ascii="Arial" w:cs="Arial" w:eastAsia="Arial" w:hAnsi="Arial"/>
          <w:sz w:val="22"/>
          <w:szCs w:val="22"/>
          <w:color w:val="auto"/>
        </w:rPr>
        <w:t>The Plan, this Agreement, and all determinations made and actions taken under the Plan or</w:t>
      </w:r>
      <w:r>
        <w:rPr>
          <w:rFonts w:ascii="Arial" w:cs="Arial" w:eastAsia="Arial" w:hAnsi="Arial"/>
          <w:sz w:val="22"/>
          <w:szCs w:val="22"/>
          <w:b w:val="1"/>
          <w:bCs w:val="1"/>
          <w:color w:val="auto"/>
        </w:rPr>
        <w:t xml:space="preserve"> </w:t>
      </w:r>
      <w:r>
        <w:rPr>
          <w:rFonts w:ascii="Arial" w:cs="Arial" w:eastAsia="Arial" w:hAnsi="Arial"/>
          <w:sz w:val="22"/>
          <w:szCs w:val="22"/>
          <w:color w:val="auto"/>
        </w:rPr>
        <w:t>this Agreement shall be governed by the internal substantive laws, and not the choice of law rules, of the State of Delaware and construed accordingly, to the extent not superseded by applicable federal law.</w:t>
      </w:r>
    </w:p>
    <w:p>
      <w:pPr>
        <w:spacing w:after="0" w:line="101" w:lineRule="exact"/>
        <w:rPr>
          <w:rFonts w:ascii="Arial" w:cs="Arial" w:eastAsia="Arial" w:hAnsi="Arial"/>
          <w:sz w:val="22"/>
          <w:szCs w:val="22"/>
          <w:color w:val="auto"/>
        </w:rPr>
      </w:pPr>
    </w:p>
    <w:p>
      <w:pPr>
        <w:jc w:val="both"/>
        <w:ind w:firstLine="8"/>
        <w:spacing w:after="0" w:line="263" w:lineRule="auto"/>
        <w:tabs>
          <w:tab w:leader="none" w:pos="648" w:val="left"/>
        </w:tabs>
        <w:numPr>
          <w:ilvl w:val="0"/>
          <w:numId w:val="282"/>
        </w:numPr>
        <w:rPr>
          <w:rFonts w:ascii="Arial" w:cs="Arial" w:eastAsia="Arial" w:hAnsi="Arial"/>
          <w:sz w:val="22"/>
          <w:szCs w:val="22"/>
          <w:color w:val="auto"/>
        </w:rPr>
      </w:pPr>
      <w:r>
        <w:rPr>
          <w:rFonts w:ascii="Arial" w:cs="Arial" w:eastAsia="Arial" w:hAnsi="Arial"/>
          <w:sz w:val="22"/>
          <w:szCs w:val="22"/>
          <w:b w:val="1"/>
          <w:bCs w:val="1"/>
          <w:color w:val="auto"/>
        </w:rPr>
        <w:t xml:space="preserve">Acknowledgements and Acceptance. </w:t>
      </w:r>
      <w:r>
        <w:rPr>
          <w:rFonts w:ascii="Arial" w:cs="Arial" w:eastAsia="Arial" w:hAnsi="Arial"/>
          <w:sz w:val="22"/>
          <w:szCs w:val="22"/>
          <w:color w:val="auto"/>
        </w:rPr>
        <w:t>By accepting this Agreement, you agree that: (i) you have carefully</w:t>
      </w:r>
      <w:r>
        <w:rPr>
          <w:rFonts w:ascii="Arial" w:cs="Arial" w:eastAsia="Arial" w:hAnsi="Arial"/>
          <w:sz w:val="22"/>
          <w:szCs w:val="22"/>
          <w:b w:val="1"/>
          <w:bCs w:val="1"/>
          <w:color w:val="auto"/>
        </w:rPr>
        <w:t xml:space="preserve"> </w:t>
      </w:r>
      <w:r>
        <w:rPr>
          <w:rFonts w:ascii="Arial" w:cs="Arial" w:eastAsia="Arial" w:hAnsi="Arial"/>
          <w:sz w:val="22"/>
          <w:szCs w:val="22"/>
          <w:color w:val="auto"/>
        </w:rPr>
        <w:t>read, fully understand and agree to all of the terms and conditions described in this Agreement, the Plan, the Plan’s prospectus and all accompanying documentation; and (ii) you understand and agree that this Agreement and the Plan constitute the entire understanding between you and the Company regarding the Option, and that any prior agreements, commitments, or negotiations concerning the Option are replaced and superseded.</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color w:val="auto"/>
        </w:rPr>
        <w:t>To retain this Award, you must accept it on the Morgan Stanley website.</w:t>
      </w:r>
    </w:p>
    <w:p>
      <w:pPr>
        <w:sectPr>
          <w:pgSz w:w="11900" w:h="16838" w:orient="portrait"/>
          <w:cols w:equalWidth="0" w:num="1">
            <w:col w:w="11240"/>
          </w:cols>
          <w:pgMar w:left="320" w:top="1421" w:right="339" w:bottom="1440" w:gutter="0" w:footer="0" w:header="0"/>
        </w:sectPr>
      </w:pPr>
    </w:p>
    <w:bookmarkStart w:id="175" w:name="page176"/>
    <w:bookmarkEnd w:id="175"/>
    <w:p>
      <w:pPr>
        <w:jc w:val="center"/>
        <w:spacing w:after="0"/>
        <w:rPr>
          <w:sz w:val="20"/>
          <w:szCs w:val="20"/>
          <w:color w:val="auto"/>
        </w:rPr>
      </w:pPr>
      <w:r>
        <w:rPr>
          <w:rFonts w:ascii="Arial" w:cs="Arial" w:eastAsia="Arial" w:hAnsi="Arial"/>
          <w:sz w:val="22"/>
          <w:szCs w:val="22"/>
          <w:b w:val="1"/>
          <w:bCs w:val="1"/>
          <w:color w:val="auto"/>
        </w:rPr>
        <w:t>VESTING SCHEDULE TABLE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[VESTING PROVISIONS CONSISTENT WITH THE PLAN]</w:t>
      </w:r>
    </w:p>
    <w:p>
      <w:pPr>
        <w:sectPr>
          <w:pgSz w:w="11900" w:h="16838" w:orient="portrait"/>
          <w:cols w:equalWidth="0" w:num="1">
            <w:col w:w="9019"/>
          </w:cols>
          <w:pgMar w:left="1440" w:top="1421" w:right="1440" w:bottom="1440" w:gutter="0" w:footer="0" w:header="0"/>
        </w:sectPr>
      </w:pPr>
    </w:p>
    <w:bookmarkStart w:id="176" w:name="page177"/>
    <w:bookmarkEnd w:id="176"/>
    <w:p>
      <w:pPr>
        <w:jc w:val="right"/>
        <w:spacing w:after="0"/>
        <w:rPr>
          <w:sz w:val="20"/>
          <w:szCs w:val="20"/>
          <w:color w:val="auto"/>
        </w:rPr>
      </w:pPr>
      <w:r>
        <w:rPr>
          <w:rFonts w:ascii="Arial" w:cs="Arial" w:eastAsia="Arial" w:hAnsi="Arial"/>
          <w:sz w:val="22"/>
          <w:szCs w:val="22"/>
          <w:b w:val="1"/>
          <w:bCs w:val="1"/>
          <w:color w:val="auto"/>
        </w:rPr>
        <w:t>EXHIBIT 10.47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left="340" w:right="2480"/>
        <w:spacing w:after="0" w:line="265" w:lineRule="auto"/>
        <w:rPr>
          <w:sz w:val="20"/>
          <w:szCs w:val="20"/>
          <w:color w:val="auto"/>
        </w:rPr>
      </w:pPr>
      <w:r>
        <w:rPr>
          <w:rFonts w:ascii="Arial" w:cs="Arial" w:eastAsia="Arial" w:hAnsi="Arial"/>
          <w:sz w:val="22"/>
          <w:szCs w:val="22"/>
          <w:b w:val="1"/>
          <w:bCs w:val="1"/>
          <w:color w:val="auto"/>
        </w:rPr>
        <w:t>2016 STOCK INCENTIVE PLAN OF HONEYWELL INTERNATIONAL INC. AND ITS AFFILIATES PERFORMANCE PLAN GRANT AGREEMENT</w:t>
      </w:r>
    </w:p>
    <w:p>
      <w:pPr>
        <w:spacing w:after="0" w:line="1" w:lineRule="exact"/>
        <w:rPr>
          <w:sz w:val="20"/>
          <w:szCs w:val="20"/>
          <w:color w:val="auto"/>
        </w:rPr>
      </w:pPr>
    </w:p>
    <w:p>
      <w:pPr>
        <w:ind w:left="20"/>
        <w:spacing w:after="0"/>
        <w:rPr>
          <w:sz w:val="20"/>
          <w:szCs w:val="20"/>
          <w:color w:val="auto"/>
        </w:rPr>
      </w:pPr>
      <w:r>
        <w:rPr>
          <w:rFonts w:ascii="Arial" w:cs="Arial" w:eastAsia="Arial" w:hAnsi="Arial"/>
          <w:sz w:val="22"/>
          <w:szCs w:val="22"/>
          <w:color w:val="auto"/>
        </w:rPr>
        <w:t>EID:</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22"/>
          <w:szCs w:val="22"/>
          <w:color w:val="auto"/>
        </w:rPr>
        <w:t>Employee Name:</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22"/>
          <w:szCs w:val="22"/>
          <w:color w:val="auto"/>
        </w:rPr>
        <w:t># of Performance Stock Units Granted:</w:t>
      </w:r>
    </w:p>
    <w:p>
      <w:pPr>
        <w:spacing w:after="0" w:line="200" w:lineRule="exact"/>
        <w:rPr>
          <w:sz w:val="20"/>
          <w:szCs w:val="20"/>
          <w:color w:val="auto"/>
        </w:rPr>
      </w:pPr>
    </w:p>
    <w:p>
      <w:pPr>
        <w:spacing w:after="0" w:line="276" w:lineRule="exact"/>
        <w:rPr>
          <w:sz w:val="20"/>
          <w:szCs w:val="20"/>
          <w:color w:val="auto"/>
        </w:rPr>
      </w:pPr>
    </w:p>
    <w:p>
      <w:pPr>
        <w:jc w:val="both"/>
        <w:spacing w:after="0" w:line="270" w:lineRule="auto"/>
        <w:rPr>
          <w:sz w:val="20"/>
          <w:szCs w:val="20"/>
          <w:color w:val="auto"/>
        </w:rPr>
      </w:pPr>
      <w:r>
        <w:rPr>
          <w:rFonts w:ascii="Arial" w:cs="Arial" w:eastAsia="Arial" w:hAnsi="Arial"/>
          <w:sz w:val="22"/>
          <w:szCs w:val="22"/>
          <w:color w:val="auto"/>
        </w:rPr>
        <w:t>This PERFORMANCE STOCK UNIT AGREEMENT made in Charlotte, North Carolina, as of the [GRANT DATE] (the “Grant Date”), between Honeywell International Inc. (the “Company”) and the Company senior executive named above (the “Participant”).</w:t>
      </w:r>
    </w:p>
    <w:p>
      <w:pPr>
        <w:spacing w:after="0" w:line="103" w:lineRule="exact"/>
        <w:rPr>
          <w:sz w:val="20"/>
          <w:szCs w:val="20"/>
          <w:color w:val="auto"/>
        </w:rPr>
      </w:pPr>
    </w:p>
    <w:p>
      <w:pPr>
        <w:jc w:val="both"/>
        <w:ind w:firstLine="8"/>
        <w:spacing w:after="0" w:line="271" w:lineRule="auto"/>
        <w:tabs>
          <w:tab w:leader="none" w:pos="474" w:val="left"/>
        </w:tabs>
        <w:numPr>
          <w:ilvl w:val="0"/>
          <w:numId w:val="283"/>
        </w:numPr>
        <w:rPr>
          <w:rFonts w:ascii="Arial" w:cs="Arial" w:eastAsia="Arial" w:hAnsi="Arial"/>
          <w:sz w:val="22"/>
          <w:szCs w:val="22"/>
          <w:color w:val="auto"/>
        </w:rPr>
      </w:pPr>
      <w:r>
        <w:rPr>
          <w:rFonts w:ascii="Arial" w:cs="Arial" w:eastAsia="Arial" w:hAnsi="Arial"/>
          <w:sz w:val="22"/>
          <w:szCs w:val="22"/>
          <w:b w:val="1"/>
          <w:bCs w:val="1"/>
          <w:color w:val="auto"/>
        </w:rPr>
        <w:t xml:space="preserve">Grant of Performance Award. </w:t>
      </w:r>
      <w:r>
        <w:rPr>
          <w:rFonts w:ascii="Arial" w:cs="Arial" w:eastAsia="Arial" w:hAnsi="Arial"/>
          <w:sz w:val="22"/>
          <w:szCs w:val="22"/>
          <w:color w:val="auto"/>
        </w:rPr>
        <w:t>The Company has granted you a target number (“Target Award”) of Restricted</w:t>
      </w:r>
      <w:r>
        <w:rPr>
          <w:rFonts w:ascii="Arial" w:cs="Arial" w:eastAsia="Arial" w:hAnsi="Arial"/>
          <w:sz w:val="22"/>
          <w:szCs w:val="22"/>
          <w:b w:val="1"/>
          <w:bCs w:val="1"/>
          <w:color w:val="auto"/>
        </w:rPr>
        <w:t xml:space="preserve"> </w:t>
      </w:r>
      <w:r>
        <w:rPr>
          <w:rFonts w:ascii="Arial" w:cs="Arial" w:eastAsia="Arial" w:hAnsi="Arial"/>
          <w:sz w:val="22"/>
          <w:szCs w:val="22"/>
          <w:color w:val="auto"/>
        </w:rPr>
        <w:t>Stock Units as a Performance Award (“Performance Stock Units”), subject to the terms of this Agreement and the 2016 Stock Incentive Plan of Honeywell International Inc. and Its Affiliates (the “Plan”).</w:t>
      </w:r>
    </w:p>
    <w:p>
      <w:pPr>
        <w:spacing w:after="0" w:line="104" w:lineRule="exact"/>
        <w:rPr>
          <w:sz w:val="20"/>
          <w:szCs w:val="20"/>
          <w:color w:val="auto"/>
        </w:rPr>
      </w:pPr>
    </w:p>
    <w:p>
      <w:pPr>
        <w:jc w:val="both"/>
        <w:spacing w:after="0" w:line="285" w:lineRule="auto"/>
        <w:rPr>
          <w:sz w:val="20"/>
          <w:szCs w:val="20"/>
          <w:color w:val="auto"/>
        </w:rPr>
      </w:pPr>
      <w:r>
        <w:rPr>
          <w:rFonts w:ascii="Arial" w:cs="Arial" w:eastAsia="Arial" w:hAnsi="Arial"/>
          <w:sz w:val="22"/>
          <w:szCs w:val="22"/>
          <w:color w:val="auto"/>
        </w:rPr>
        <w:t>The Company will hold the Performance Stock Units and [Additional Performance Stock Units (as defined in Section 4)] in a bookkeeping account on your behalf until they become payable or are forfeited or cancelled.</w:t>
      </w:r>
    </w:p>
    <w:p>
      <w:pPr>
        <w:spacing w:after="0" w:line="74" w:lineRule="exact"/>
        <w:rPr>
          <w:sz w:val="20"/>
          <w:szCs w:val="20"/>
          <w:color w:val="auto"/>
        </w:rPr>
      </w:pPr>
    </w:p>
    <w:p>
      <w:pPr>
        <w:jc w:val="both"/>
        <w:spacing w:after="0" w:line="265" w:lineRule="auto"/>
        <w:rPr>
          <w:sz w:val="20"/>
          <w:szCs w:val="20"/>
          <w:color w:val="auto"/>
        </w:rPr>
      </w:pPr>
      <w:r>
        <w:rPr>
          <w:rFonts w:ascii="Arial" w:cs="Arial" w:eastAsia="Arial" w:hAnsi="Arial"/>
          <w:sz w:val="22"/>
          <w:szCs w:val="22"/>
          <w:color w:val="auto"/>
        </w:rPr>
        <w:t xml:space="preserve">The details for this grant can be found on the Morgan Stanley StockPlan Connect website at </w:t>
      </w:r>
      <w:r>
        <w:rPr>
          <w:rFonts w:ascii="Arial" w:cs="Arial" w:eastAsia="Arial" w:hAnsi="Arial"/>
          <w:sz w:val="22"/>
          <w:szCs w:val="22"/>
          <w:u w:val="single" w:color="auto"/>
          <w:color w:val="auto"/>
        </w:rPr>
        <w:t>www.stockplanconnect.com</w:t>
      </w:r>
      <w:r>
        <w:rPr>
          <w:rFonts w:ascii="Arial" w:cs="Arial" w:eastAsia="Arial" w:hAnsi="Arial"/>
          <w:sz w:val="22"/>
          <w:szCs w:val="22"/>
          <w:color w:val="auto"/>
        </w:rPr>
        <w:t>. The Company reserves the right to change or correct any information contained on the Morgan Stanley StockPlan Connect website to reflect the terms of the Award actually made by the Company on the Grant Date or the Plan.</w:t>
      </w:r>
    </w:p>
    <w:p>
      <w:pPr>
        <w:spacing w:after="0" w:line="109" w:lineRule="exact"/>
        <w:rPr>
          <w:sz w:val="20"/>
          <w:szCs w:val="20"/>
          <w:color w:val="auto"/>
        </w:rPr>
      </w:pPr>
    </w:p>
    <w:p>
      <w:pPr>
        <w:ind w:left="420" w:hanging="412"/>
        <w:spacing w:after="0"/>
        <w:tabs>
          <w:tab w:leader="none" w:pos="420" w:val="left"/>
        </w:tabs>
        <w:numPr>
          <w:ilvl w:val="0"/>
          <w:numId w:val="284"/>
        </w:numPr>
        <w:rPr>
          <w:rFonts w:ascii="Arial" w:cs="Arial" w:eastAsia="Arial" w:hAnsi="Arial"/>
          <w:sz w:val="22"/>
          <w:szCs w:val="22"/>
          <w:color w:val="auto"/>
        </w:rPr>
      </w:pPr>
      <w:r>
        <w:rPr>
          <w:rFonts w:ascii="Arial" w:cs="Arial" w:eastAsia="Arial" w:hAnsi="Arial"/>
          <w:sz w:val="22"/>
          <w:szCs w:val="22"/>
          <w:b w:val="1"/>
          <w:bCs w:val="1"/>
          <w:color w:val="auto"/>
        </w:rPr>
        <w:t xml:space="preserve">Definitions. </w:t>
      </w:r>
      <w:r>
        <w:rPr>
          <w:rFonts w:ascii="Arial" w:cs="Arial" w:eastAsia="Arial" w:hAnsi="Arial"/>
          <w:sz w:val="22"/>
          <w:szCs w:val="22"/>
          <w:color w:val="auto"/>
        </w:rPr>
        <w:t>For purposes of this Agreement, the following definitions apply:</w:t>
      </w:r>
    </w:p>
    <w:p>
      <w:pPr>
        <w:spacing w:after="0" w:line="167" w:lineRule="exact"/>
        <w:rPr>
          <w:rFonts w:ascii="Arial" w:cs="Arial" w:eastAsia="Arial" w:hAnsi="Arial"/>
          <w:sz w:val="22"/>
          <w:szCs w:val="22"/>
          <w:color w:val="auto"/>
        </w:rPr>
      </w:pPr>
    </w:p>
    <w:p>
      <w:pPr>
        <w:jc w:val="both"/>
        <w:ind w:firstLine="656"/>
        <w:spacing w:after="0" w:line="265" w:lineRule="auto"/>
        <w:tabs>
          <w:tab w:leader="none" w:pos="1087" w:val="left"/>
        </w:tabs>
        <w:numPr>
          <w:ilvl w:val="1"/>
          <w:numId w:val="284"/>
        </w:numPr>
        <w:rPr>
          <w:rFonts w:ascii="Arial" w:cs="Arial" w:eastAsia="Arial" w:hAnsi="Arial"/>
          <w:sz w:val="22"/>
          <w:szCs w:val="22"/>
          <w:color w:val="auto"/>
        </w:rPr>
      </w:pPr>
      <w:r>
        <w:rPr>
          <w:rFonts w:ascii="Arial" w:cs="Arial" w:eastAsia="Arial" w:hAnsi="Arial"/>
          <w:sz w:val="22"/>
          <w:szCs w:val="22"/>
          <w:color w:val="auto"/>
        </w:rPr>
        <w:t>“Actual Award” means (A) the product of (i) the Plan Payout Percentage (as determined under Section 3), and (ii) your Target Award[; plus (B) any Additional Performance Stock Units (as determined under Section 4)]. Notwithstanding anything in this Agreement to the contrary, the Committee may reduce the amount of your Actual Award in its sole discretion.</w:t>
      </w:r>
    </w:p>
    <w:p>
      <w:pPr>
        <w:spacing w:after="0" w:line="97" w:lineRule="exact"/>
        <w:rPr>
          <w:rFonts w:ascii="Arial" w:cs="Arial" w:eastAsia="Arial" w:hAnsi="Arial"/>
          <w:sz w:val="22"/>
          <w:szCs w:val="22"/>
          <w:color w:val="auto"/>
        </w:rPr>
      </w:pPr>
    </w:p>
    <w:p>
      <w:pPr>
        <w:ind w:left="1080" w:hanging="424"/>
        <w:spacing w:after="0"/>
        <w:tabs>
          <w:tab w:leader="none" w:pos="1080" w:val="left"/>
        </w:tabs>
        <w:numPr>
          <w:ilvl w:val="1"/>
          <w:numId w:val="284"/>
        </w:numPr>
        <w:rPr>
          <w:rFonts w:ascii="Arial" w:cs="Arial" w:eastAsia="Arial" w:hAnsi="Arial"/>
          <w:sz w:val="22"/>
          <w:szCs w:val="22"/>
          <w:color w:val="auto"/>
        </w:rPr>
      </w:pPr>
      <w:r>
        <w:rPr>
          <w:rFonts w:ascii="Arial" w:cs="Arial" w:eastAsia="Arial" w:hAnsi="Arial"/>
          <w:sz w:val="22"/>
          <w:szCs w:val="22"/>
          <w:color w:val="auto"/>
        </w:rPr>
        <w:t>“Performance Cycle” means the [INSERT PERFORMANCE CYCLE DATES].</w:t>
      </w:r>
    </w:p>
    <w:p>
      <w:pPr>
        <w:spacing w:after="0" w:line="163" w:lineRule="exact"/>
        <w:rPr>
          <w:rFonts w:ascii="Arial" w:cs="Arial" w:eastAsia="Arial" w:hAnsi="Arial"/>
          <w:sz w:val="22"/>
          <w:szCs w:val="22"/>
          <w:color w:val="auto"/>
        </w:rPr>
      </w:pPr>
    </w:p>
    <w:p>
      <w:pPr>
        <w:jc w:val="both"/>
        <w:ind w:firstLine="8"/>
        <w:spacing w:after="0" w:line="261" w:lineRule="auto"/>
        <w:tabs>
          <w:tab w:leader="none" w:pos="744" w:val="left"/>
        </w:tabs>
        <w:numPr>
          <w:ilvl w:val="0"/>
          <w:numId w:val="284"/>
        </w:numPr>
        <w:rPr>
          <w:rFonts w:ascii="Arial" w:cs="Arial" w:eastAsia="Arial" w:hAnsi="Arial"/>
          <w:sz w:val="22"/>
          <w:szCs w:val="22"/>
          <w:color w:val="auto"/>
        </w:rPr>
      </w:pPr>
      <w:r>
        <w:rPr>
          <w:rFonts w:ascii="Arial" w:cs="Arial" w:eastAsia="Arial" w:hAnsi="Arial"/>
          <w:sz w:val="22"/>
          <w:szCs w:val="22"/>
          <w:b w:val="1"/>
          <w:bCs w:val="1"/>
          <w:color w:val="auto"/>
        </w:rPr>
        <w:t xml:space="preserve">Performance Measures. </w:t>
      </w:r>
      <w:r>
        <w:rPr>
          <w:rFonts w:ascii="Arial" w:cs="Arial" w:eastAsia="Arial" w:hAnsi="Arial"/>
          <w:sz w:val="22"/>
          <w:szCs w:val="22"/>
          <w:color w:val="auto"/>
        </w:rPr>
        <w:t>The Plan Payout Percentage shall be determined based on [INCLUDE IF</w:t>
      </w:r>
      <w:r>
        <w:rPr>
          <w:rFonts w:ascii="Arial" w:cs="Arial" w:eastAsia="Arial" w:hAnsi="Arial"/>
          <w:sz w:val="22"/>
          <w:szCs w:val="22"/>
          <w:b w:val="1"/>
          <w:bCs w:val="1"/>
          <w:color w:val="auto"/>
        </w:rPr>
        <w:t xml:space="preserve"> </w:t>
      </w:r>
      <w:r>
        <w:rPr>
          <w:rFonts w:ascii="Arial" w:cs="Arial" w:eastAsia="Arial" w:hAnsi="Arial"/>
          <w:sz w:val="22"/>
          <w:szCs w:val="22"/>
          <w:color w:val="auto"/>
        </w:rPr>
        <w:t>PERFORMANCE MEASURES ARE THE SAME, OTHERWISE DESCRIBE PERFORMANCE MEASURES: actual performance against pre-set goals of (a) total revenue, (b) average return on investment, (c) average segment margin rate, and (d) Total Shareholder Return (collectively the “Performance Measures”) for the Performance Cycle, with each Performance Measure equally weighted (25% each). The Plan Payout for each Performance Measure other than Total Shareholder Return shall be determined at the Company level (“Corporate”) for eligible employees not assigned</w:t>
      </w:r>
    </w:p>
    <w:p>
      <w:pPr>
        <w:sectPr>
          <w:pgSz w:w="11900" w:h="16838" w:orient="portrait"/>
          <w:cols w:equalWidth="0" w:num="1">
            <w:col w:w="11240"/>
          </w:cols>
          <w:pgMar w:left="320" w:top="125" w:right="339" w:bottom="1440" w:gutter="0" w:footer="0" w:header="0"/>
        </w:sectPr>
      </w:pPr>
    </w:p>
    <w:bookmarkStart w:id="177" w:name="page178"/>
    <w:bookmarkEnd w:id="177"/>
    <w:p>
      <w:pPr>
        <w:jc w:val="both"/>
        <w:spacing w:after="0" w:line="260" w:lineRule="auto"/>
        <w:rPr>
          <w:sz w:val="20"/>
          <w:szCs w:val="20"/>
          <w:color w:val="auto"/>
        </w:rPr>
      </w:pPr>
      <w:r>
        <w:rPr>
          <w:rFonts w:ascii="Arial" w:cs="Arial" w:eastAsia="Arial" w:hAnsi="Arial"/>
          <w:sz w:val="22"/>
          <w:szCs w:val="22"/>
          <w:color w:val="auto"/>
        </w:rPr>
        <w:t>to one of the Company’s strategic business groups or the Honeywell Connected Enterprise business unit (collectively, an “SBG”), and 50% at the Company level and 50% at the SBG level for other eligible employees; provided, however, that the average return on investment Performance Measure for eligible employees assigned to the Honeywell Connected Enterprise business unit shall be determined 100% at the Company level.] For purposes of this determination, if an eligible employee transfers from one of the Company’s business units (i.e., an SBG or Corporate) to another during the Performance Cycle, their Actual Award will be prorated for the number of days actively employed in each business unit during the Performance Cycle.</w:t>
      </w:r>
    </w:p>
    <w:p>
      <w:pPr>
        <w:spacing w:after="0" w:line="120" w:lineRule="exact"/>
        <w:rPr>
          <w:sz w:val="20"/>
          <w:szCs w:val="20"/>
          <w:color w:val="auto"/>
        </w:rPr>
      </w:pPr>
    </w:p>
    <w:p>
      <w:pPr>
        <w:spacing w:after="0"/>
        <w:rPr>
          <w:sz w:val="20"/>
          <w:szCs w:val="20"/>
          <w:color w:val="auto"/>
        </w:rPr>
      </w:pPr>
      <w:r>
        <w:rPr>
          <w:rFonts w:ascii="Arial" w:cs="Arial" w:eastAsia="Arial" w:hAnsi="Arial"/>
          <w:sz w:val="22"/>
          <w:szCs w:val="22"/>
          <w:color w:val="auto"/>
        </w:rPr>
        <w:t>[DESCRIBE ADDITIONAL PERFORMANCE MEASURES]</w:t>
      </w:r>
    </w:p>
    <w:p>
      <w:pPr>
        <w:spacing w:after="0" w:line="150" w:lineRule="exact"/>
        <w:rPr>
          <w:sz w:val="20"/>
          <w:szCs w:val="20"/>
          <w:color w:val="auto"/>
        </w:rPr>
      </w:pPr>
    </w:p>
    <w:p>
      <w:pPr>
        <w:jc w:val="both"/>
        <w:ind w:firstLine="8"/>
        <w:spacing w:after="0" w:line="257" w:lineRule="auto"/>
        <w:tabs>
          <w:tab w:leader="none" w:pos="447" w:val="left"/>
        </w:tabs>
        <w:numPr>
          <w:ilvl w:val="0"/>
          <w:numId w:val="285"/>
        </w:numPr>
        <w:rPr>
          <w:rFonts w:ascii="Arial" w:cs="Arial" w:eastAsia="Arial" w:hAnsi="Arial"/>
          <w:sz w:val="22"/>
          <w:szCs w:val="22"/>
          <w:color w:val="auto"/>
        </w:rPr>
      </w:pPr>
      <w:r>
        <w:rPr>
          <w:rFonts w:ascii="Arial" w:cs="Arial" w:eastAsia="Arial" w:hAnsi="Arial"/>
          <w:sz w:val="22"/>
          <w:szCs w:val="22"/>
          <w:b w:val="1"/>
          <w:bCs w:val="1"/>
          <w:color w:val="auto"/>
        </w:rPr>
        <w:t xml:space="preserve">[INCLUDE IF DIVIDEND EQUIVALENTS ARE PROVIDED UNDER GRANT: Dividend Equivalents. </w:t>
      </w:r>
      <w:r>
        <w:rPr>
          <w:rFonts w:ascii="Arial" w:cs="Arial" w:eastAsia="Arial" w:hAnsi="Arial"/>
          <w:sz w:val="22"/>
          <w:szCs w:val="22"/>
          <w:color w:val="auto"/>
        </w:rPr>
        <w:t>Except as</w:t>
      </w:r>
      <w:r>
        <w:rPr>
          <w:rFonts w:ascii="Arial" w:cs="Arial" w:eastAsia="Arial" w:hAnsi="Arial"/>
          <w:sz w:val="22"/>
          <w:szCs w:val="22"/>
          <w:b w:val="1"/>
          <w:bCs w:val="1"/>
          <w:color w:val="auto"/>
        </w:rPr>
        <w:t xml:space="preserve"> </w:t>
      </w:r>
      <w:r>
        <w:rPr>
          <w:rFonts w:ascii="Arial" w:cs="Arial" w:eastAsia="Arial" w:hAnsi="Arial"/>
          <w:sz w:val="22"/>
          <w:szCs w:val="22"/>
          <w:color w:val="auto"/>
        </w:rPr>
        <w:t>otherwise determined by the Management Development and Compensation Committee (the “Committee”), in its sole discretion, you will earn Dividend Equivalents in an amount equal to the value of any cash or stock dividends paid by the Company upon one Share of Common Stock for each unvested Performance Stock Unit or Additional Performance Stock Unit (as defined below) credited to your bookkeeping account on a dividend payment date. At the vesting date(s) specified in Section 6, such Dividend Equivalents shall be adjusted up or down based on your Actual Award. In the case of cash dividends, the Company shall credit to your bookkeeping account, on each dividend payment date, an additional number of Performance Stock Units (“Additional Performance Stock Units”) equal to (a) divided by (b), where (a) equals the total number of unvested Performance Stock Units and Additional Performance Stock Units, if any, subject to this Agreement on such date multiplied by the dollar amount of the cash dividend paid per Share of Common Stock on such date, and (b) equals the Fair Market Value of a Share on such date. If a dividend is paid to holders of Common Stock in Shares, the Company shall credit to you, on such dividend payment date, Additional Performance Stock Units equal to the total number of unvested Performance Stock Units and Additional Performance Stock Units subject to this Agreement on such date multiplied by the Share dividend paid per Share of Common Stock on such date. Additional Performance Stock Units are subject to the same restrictions, including but not limited to vesting, transferability and payment restrictions, that apply to the Performance Stock Units to which they relate. You will continue to earn Additional Performance Stock Units on unpaid Performance Stock Units and Additional Performance Stock Units that are held in your bookkeeping account until the vested Shares are paid to you.]</w:t>
      </w:r>
    </w:p>
    <w:p>
      <w:pPr>
        <w:spacing w:after="0" w:line="131" w:lineRule="exact"/>
        <w:rPr>
          <w:rFonts w:ascii="Arial" w:cs="Arial" w:eastAsia="Arial" w:hAnsi="Arial"/>
          <w:sz w:val="22"/>
          <w:szCs w:val="22"/>
          <w:color w:val="auto"/>
        </w:rPr>
      </w:pPr>
    </w:p>
    <w:p>
      <w:pPr>
        <w:ind w:firstLine="8"/>
        <w:spacing w:after="0" w:line="287" w:lineRule="auto"/>
        <w:tabs>
          <w:tab w:leader="none" w:pos="501" w:val="left"/>
        </w:tabs>
        <w:numPr>
          <w:ilvl w:val="0"/>
          <w:numId w:val="285"/>
        </w:numPr>
        <w:rPr>
          <w:rFonts w:ascii="Arial" w:cs="Arial" w:eastAsia="Arial" w:hAnsi="Arial"/>
          <w:sz w:val="22"/>
          <w:szCs w:val="22"/>
          <w:color w:val="auto"/>
        </w:rPr>
      </w:pPr>
      <w:r>
        <w:rPr>
          <w:rFonts w:ascii="Arial" w:cs="Arial" w:eastAsia="Arial" w:hAnsi="Arial"/>
          <w:sz w:val="22"/>
          <w:szCs w:val="22"/>
          <w:b w:val="1"/>
          <w:bCs w:val="1"/>
          <w:color w:val="auto"/>
        </w:rPr>
        <w:t xml:space="preserve">Payment Amount. </w:t>
      </w:r>
      <w:r>
        <w:rPr>
          <w:rFonts w:ascii="Arial" w:cs="Arial" w:eastAsia="Arial" w:hAnsi="Arial"/>
          <w:sz w:val="22"/>
          <w:szCs w:val="22"/>
          <w:color w:val="auto"/>
        </w:rPr>
        <w:t>Each Performance Stock Unit [and Additional Performance Stock Unit] represents one (1)</w:t>
      </w:r>
      <w:r>
        <w:rPr>
          <w:rFonts w:ascii="Arial" w:cs="Arial" w:eastAsia="Arial" w:hAnsi="Arial"/>
          <w:sz w:val="22"/>
          <w:szCs w:val="22"/>
          <w:b w:val="1"/>
          <w:bCs w:val="1"/>
          <w:color w:val="auto"/>
        </w:rPr>
        <w:t xml:space="preserve"> </w:t>
      </w:r>
      <w:r>
        <w:rPr>
          <w:rFonts w:ascii="Arial" w:cs="Arial" w:eastAsia="Arial" w:hAnsi="Arial"/>
          <w:sz w:val="22"/>
          <w:szCs w:val="22"/>
          <w:color w:val="auto"/>
        </w:rPr>
        <w:t>Share of Common Stock. Your Actual Award will not exceed 200% of your Target Award.</w:t>
      </w:r>
    </w:p>
    <w:p>
      <w:pPr>
        <w:spacing w:after="0" w:line="83" w:lineRule="exact"/>
        <w:rPr>
          <w:rFonts w:ascii="Arial" w:cs="Arial" w:eastAsia="Arial" w:hAnsi="Arial"/>
          <w:sz w:val="22"/>
          <w:szCs w:val="22"/>
          <w:color w:val="auto"/>
        </w:rPr>
      </w:pPr>
    </w:p>
    <w:p>
      <w:pPr>
        <w:jc w:val="both"/>
        <w:ind w:firstLine="8"/>
        <w:spacing w:after="0" w:line="271" w:lineRule="auto"/>
        <w:tabs>
          <w:tab w:leader="none" w:pos="474" w:val="left"/>
        </w:tabs>
        <w:numPr>
          <w:ilvl w:val="0"/>
          <w:numId w:val="285"/>
        </w:numPr>
        <w:rPr>
          <w:rFonts w:ascii="Arial" w:cs="Arial" w:eastAsia="Arial" w:hAnsi="Arial"/>
          <w:sz w:val="22"/>
          <w:szCs w:val="22"/>
          <w:color w:val="auto"/>
        </w:rPr>
      </w:pPr>
      <w:r>
        <w:rPr>
          <w:rFonts w:ascii="Arial" w:cs="Arial" w:eastAsia="Arial" w:hAnsi="Arial"/>
          <w:sz w:val="22"/>
          <w:szCs w:val="22"/>
          <w:b w:val="1"/>
          <w:bCs w:val="1"/>
          <w:color w:val="auto"/>
        </w:rPr>
        <w:t xml:space="preserve">Vesting and Payment. </w:t>
      </w:r>
      <w:r>
        <w:rPr>
          <w:rFonts w:ascii="Arial" w:cs="Arial" w:eastAsia="Arial" w:hAnsi="Arial"/>
          <w:sz w:val="22"/>
          <w:szCs w:val="22"/>
          <w:color w:val="auto"/>
        </w:rPr>
        <w:t>Except as otherwise provided in this Agreement, the vesting and payment of an Actual</w:t>
      </w:r>
      <w:r>
        <w:rPr>
          <w:rFonts w:ascii="Arial" w:cs="Arial" w:eastAsia="Arial" w:hAnsi="Arial"/>
          <w:sz w:val="22"/>
          <w:szCs w:val="22"/>
          <w:b w:val="1"/>
          <w:bCs w:val="1"/>
          <w:color w:val="auto"/>
        </w:rPr>
        <w:t xml:space="preserve"> </w:t>
      </w:r>
      <w:r>
        <w:rPr>
          <w:rFonts w:ascii="Arial" w:cs="Arial" w:eastAsia="Arial" w:hAnsi="Arial"/>
          <w:sz w:val="22"/>
          <w:szCs w:val="22"/>
          <w:color w:val="auto"/>
        </w:rPr>
        <w:t>Award is contingent upon (i) the achievement of a Plan Payout Percentage based on performance as described in Section 3 and</w:t>
      </w:r>
    </w:p>
    <w:p>
      <w:pPr>
        <w:sectPr>
          <w:pgSz w:w="11900" w:h="16838" w:orient="portrait"/>
          <w:cols w:equalWidth="0" w:num="1">
            <w:col w:w="11240"/>
          </w:cols>
          <w:pgMar w:left="320" w:top="1423" w:right="339" w:bottom="1440" w:gutter="0" w:footer="0" w:header="0"/>
        </w:sectPr>
      </w:pPr>
    </w:p>
    <w:bookmarkStart w:id="178" w:name="page179"/>
    <w:bookmarkEnd w:id="178"/>
    <w:p>
      <w:pPr>
        <w:jc w:val="both"/>
        <w:spacing w:after="0" w:line="270" w:lineRule="auto"/>
        <w:rPr>
          <w:sz w:val="20"/>
          <w:szCs w:val="20"/>
          <w:color w:val="auto"/>
        </w:rPr>
      </w:pPr>
      <w:r>
        <w:rPr>
          <w:rFonts w:ascii="Arial" w:cs="Arial" w:eastAsia="Arial" w:hAnsi="Arial"/>
          <w:sz w:val="22"/>
          <w:szCs w:val="22"/>
          <w:color w:val="auto"/>
        </w:rPr>
        <w:t>Attachment A, and (ii) you remaining actively employed by the Company on [DESCRIBE VESTING PROVISIONS] (“Vesting Date”). [In no event will Additional Performance Stock Units be paid if the related Performance Stock Units have not vested.]</w:t>
      </w:r>
    </w:p>
    <w:p>
      <w:pPr>
        <w:spacing w:after="0" w:line="105"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[INCLUDE IF PAYMENT PROVISIONS ARE THE SAME, OTHERWISE DESCRIBE PAYMENT PROVISIONS Except as otherwise provided in Sections 8 and 10, if earned, the Actual Award will be paid 50% in Shares rounded up to the nearest whole Share, with the net Shares held by you for at least one year from the Vesting Date. The remaining Actual Award will be converted and paid in cash, calculated by multiplying 50% of the Actual Award, stated in Shares, by the Fair Market Value of the Shares on the last trading day of the Performance Cycle.</w:t>
      </w:r>
    </w:p>
    <w:p>
      <w:pPr>
        <w:spacing w:after="0" w:line="99" w:lineRule="exact"/>
        <w:rPr>
          <w:sz w:val="20"/>
          <w:szCs w:val="20"/>
          <w:color w:val="auto"/>
        </w:rPr>
      </w:pPr>
    </w:p>
    <w:p>
      <w:pPr>
        <w:jc w:val="both"/>
        <w:spacing w:after="0" w:line="285" w:lineRule="auto"/>
        <w:rPr>
          <w:sz w:val="20"/>
          <w:szCs w:val="20"/>
          <w:color w:val="auto"/>
        </w:rPr>
      </w:pPr>
      <w:r>
        <w:rPr>
          <w:rFonts w:ascii="Arial" w:cs="Arial" w:eastAsia="Arial" w:hAnsi="Arial"/>
          <w:sz w:val="22"/>
          <w:szCs w:val="22"/>
          <w:color w:val="auto"/>
        </w:rPr>
        <w:t>If an Actual Award is due, payment in cash and Shares will be made as soon as practicable following the Vesting Date, but in no event later than two and one-half months following the end of the year in which vesting occurs.</w:t>
      </w:r>
    </w:p>
    <w:p>
      <w:pPr>
        <w:spacing w:after="0" w:line="88" w:lineRule="exact"/>
        <w:rPr>
          <w:sz w:val="20"/>
          <w:szCs w:val="20"/>
          <w:color w:val="auto"/>
        </w:rPr>
      </w:pPr>
    </w:p>
    <w:p>
      <w:pPr>
        <w:jc w:val="both"/>
        <w:spacing w:after="0" w:line="260" w:lineRule="auto"/>
        <w:rPr>
          <w:sz w:val="20"/>
          <w:szCs w:val="20"/>
          <w:color w:val="auto"/>
        </w:rPr>
      </w:pPr>
      <w:r>
        <w:rPr>
          <w:rFonts w:ascii="Arial" w:cs="Arial" w:eastAsia="Arial" w:hAnsi="Arial"/>
          <w:sz w:val="22"/>
          <w:szCs w:val="22"/>
          <w:color w:val="auto"/>
        </w:rPr>
        <w:t>The cash portion of your Actual Award shall be expressed in U.S. dollars. Cash payment shall be made in the same currency as your pay (“Local Currency”). In the event you receive pay in more than one Local Currency, the currency used for payment will be at the discretion of the Company or your employer. The Company will convert the cash portion of your Actual Award from U.S. dollars to your Local Currency using the exchange rate in effect for the compensation planning cycle in the year of payment (i.e., the same rate used for converting annual bonuses to local currency in the first quarter of the year of payment). No payments will be credited with interest, and you may not defer any portion of the Actual Award hereunder.]</w:t>
      </w:r>
    </w:p>
    <w:p>
      <w:pPr>
        <w:spacing w:after="0" w:line="118" w:lineRule="exact"/>
        <w:rPr>
          <w:sz w:val="20"/>
          <w:szCs w:val="20"/>
          <w:color w:val="auto"/>
        </w:rPr>
      </w:pPr>
    </w:p>
    <w:p>
      <w:pPr>
        <w:jc w:val="both"/>
        <w:ind w:firstLine="8"/>
        <w:spacing w:after="0" w:line="266" w:lineRule="auto"/>
        <w:tabs>
          <w:tab w:leader="none" w:pos="690" w:val="left"/>
        </w:tabs>
        <w:numPr>
          <w:ilvl w:val="0"/>
          <w:numId w:val="286"/>
        </w:numPr>
        <w:rPr>
          <w:rFonts w:ascii="Arial" w:cs="Arial" w:eastAsia="Arial" w:hAnsi="Arial"/>
          <w:sz w:val="22"/>
          <w:szCs w:val="22"/>
          <w:color w:val="auto"/>
        </w:rPr>
      </w:pPr>
      <w:r>
        <w:rPr>
          <w:rFonts w:ascii="Arial" w:cs="Arial" w:eastAsia="Arial" w:hAnsi="Arial"/>
          <w:sz w:val="22"/>
          <w:szCs w:val="22"/>
          <w:b w:val="1"/>
          <w:bCs w:val="1"/>
          <w:color w:val="auto"/>
        </w:rPr>
        <w:t xml:space="preserve">Termination of Employment. </w:t>
      </w:r>
      <w:r>
        <w:rPr>
          <w:rFonts w:ascii="Arial" w:cs="Arial" w:eastAsia="Arial" w:hAnsi="Arial"/>
          <w:sz w:val="22"/>
          <w:szCs w:val="22"/>
          <w:color w:val="auto"/>
        </w:rPr>
        <w:t>Except as otherwise provided in this Agreement, if your Termination of</w:t>
      </w:r>
      <w:r>
        <w:rPr>
          <w:rFonts w:ascii="Arial" w:cs="Arial" w:eastAsia="Arial" w:hAnsi="Arial"/>
          <w:sz w:val="22"/>
          <w:szCs w:val="22"/>
          <w:b w:val="1"/>
          <w:bCs w:val="1"/>
          <w:color w:val="auto"/>
        </w:rPr>
        <w:t xml:space="preserve"> </w:t>
      </w:r>
      <w:r>
        <w:rPr>
          <w:rFonts w:ascii="Arial" w:cs="Arial" w:eastAsia="Arial" w:hAnsi="Arial"/>
          <w:sz w:val="22"/>
          <w:szCs w:val="22"/>
          <w:color w:val="auto"/>
        </w:rPr>
        <w:t>Employment occurs for any reason other than death or Disability before the Vesting Date, any unvested Performance Stock Units [and Additional Performance Stock Units] will immediately be forfeited and your rights with respect to future payments under this Agreement will end.</w:t>
      </w:r>
    </w:p>
    <w:p>
      <w:pPr>
        <w:spacing w:after="0" w:line="93" w:lineRule="exact"/>
        <w:rPr>
          <w:rFonts w:ascii="Arial" w:cs="Arial" w:eastAsia="Arial" w:hAnsi="Arial"/>
          <w:sz w:val="22"/>
          <w:szCs w:val="22"/>
          <w:color w:val="auto"/>
        </w:rPr>
      </w:pPr>
    </w:p>
    <w:p>
      <w:pPr>
        <w:jc w:val="both"/>
        <w:ind w:firstLine="8"/>
        <w:spacing w:after="0" w:line="273" w:lineRule="auto"/>
        <w:tabs>
          <w:tab w:leader="none" w:pos="501" w:val="left"/>
        </w:tabs>
        <w:numPr>
          <w:ilvl w:val="0"/>
          <w:numId w:val="286"/>
        </w:numPr>
        <w:rPr>
          <w:rFonts w:ascii="Arial" w:cs="Arial" w:eastAsia="Arial" w:hAnsi="Arial"/>
          <w:sz w:val="21"/>
          <w:szCs w:val="21"/>
          <w:color w:val="auto"/>
        </w:rPr>
      </w:pPr>
      <w:r>
        <w:rPr>
          <w:rFonts w:ascii="Arial" w:cs="Arial" w:eastAsia="Arial" w:hAnsi="Arial"/>
          <w:sz w:val="21"/>
          <w:szCs w:val="21"/>
          <w:b w:val="1"/>
          <w:bCs w:val="1"/>
          <w:color w:val="auto"/>
        </w:rPr>
        <w:t xml:space="preserve">Death or Disability. </w:t>
      </w:r>
      <w:r>
        <w:rPr>
          <w:rFonts w:ascii="Arial" w:cs="Arial" w:eastAsia="Arial" w:hAnsi="Arial"/>
          <w:sz w:val="21"/>
          <w:szCs w:val="21"/>
          <w:color w:val="auto"/>
        </w:rPr>
        <w:t>If your Termination of Employment occurs because of your death or Disability before the</w:t>
      </w:r>
      <w:r>
        <w:rPr>
          <w:rFonts w:ascii="Arial" w:cs="Arial" w:eastAsia="Arial" w:hAnsi="Arial"/>
          <w:sz w:val="21"/>
          <w:szCs w:val="21"/>
          <w:b w:val="1"/>
          <w:bCs w:val="1"/>
          <w:color w:val="auto"/>
        </w:rPr>
        <w:t xml:space="preserve"> </w:t>
      </w:r>
      <w:r>
        <w:rPr>
          <w:rFonts w:ascii="Arial" w:cs="Arial" w:eastAsia="Arial" w:hAnsi="Arial"/>
          <w:sz w:val="21"/>
          <w:szCs w:val="21"/>
          <w:color w:val="auto"/>
        </w:rPr>
        <w:t>Vesting Date, you or your estate will receive the prorated value of your Actual Award. The prorated value of the Actual Award shall be determined by multiplying the Actual Award by a fraction, the numerator of which is the number of days you were actively employed before your Termination of Employment from your first eligibility date to the last day of the Performance Cycle, and the denominator of which is the total number of days from your first eligibility date to the last day of the Performance Cycle. Such prorated Actual Award, stated in Shares, shall be multiplied by the Fair Market Value of the Shares on the last trading day of the Performance Cycle and paid in cash as soon as practicable, but in no event later than two and one-half months following the end of the Performance Cycle. [Additional Performance Stock Units will be calculated on the prorated Actual Award as provided in Section 4.]</w:t>
      </w:r>
    </w:p>
    <w:p>
      <w:pPr>
        <w:sectPr>
          <w:pgSz w:w="11900" w:h="16838" w:orient="portrait"/>
          <w:cols w:equalWidth="0" w:num="1">
            <w:col w:w="11240"/>
          </w:cols>
          <w:pgMar w:left="320" w:top="1423" w:right="339" w:bottom="1440" w:gutter="0" w:footer="0" w:header="0"/>
        </w:sectPr>
      </w:pPr>
    </w:p>
    <w:bookmarkStart w:id="179" w:name="page180"/>
    <w:bookmarkEnd w:id="179"/>
    <w:p>
      <w:pPr>
        <w:jc w:val="both"/>
        <w:ind w:firstLine="8"/>
        <w:spacing w:after="0" w:line="266" w:lineRule="auto"/>
        <w:tabs>
          <w:tab w:leader="none" w:pos="555" w:val="left"/>
        </w:tabs>
        <w:numPr>
          <w:ilvl w:val="0"/>
          <w:numId w:val="287"/>
        </w:numPr>
        <w:rPr>
          <w:rFonts w:ascii="Arial" w:cs="Arial" w:eastAsia="Arial" w:hAnsi="Arial"/>
          <w:sz w:val="22"/>
          <w:szCs w:val="22"/>
          <w:color w:val="auto"/>
        </w:rPr>
      </w:pPr>
      <w:r>
        <w:rPr>
          <w:rFonts w:ascii="Arial" w:cs="Arial" w:eastAsia="Arial" w:hAnsi="Arial"/>
          <w:sz w:val="22"/>
          <w:szCs w:val="22"/>
          <w:b w:val="1"/>
          <w:bCs w:val="1"/>
          <w:color w:val="auto"/>
        </w:rPr>
        <w:t xml:space="preserve">Retirement. </w:t>
      </w:r>
      <w:r>
        <w:rPr>
          <w:rFonts w:ascii="Arial" w:cs="Arial" w:eastAsia="Arial" w:hAnsi="Arial"/>
          <w:sz w:val="22"/>
          <w:szCs w:val="22"/>
          <w:color w:val="auto"/>
        </w:rPr>
        <w:t>For the avoidance of doubt, if your Termination of Employment occurs solely because of your</w:t>
      </w:r>
      <w:r>
        <w:rPr>
          <w:rFonts w:ascii="Arial" w:cs="Arial" w:eastAsia="Arial" w:hAnsi="Arial"/>
          <w:sz w:val="22"/>
          <w:szCs w:val="22"/>
          <w:b w:val="1"/>
          <w:bCs w:val="1"/>
          <w:color w:val="auto"/>
        </w:rPr>
        <w:t xml:space="preserve"> </w:t>
      </w:r>
      <w:r>
        <w:rPr>
          <w:rFonts w:ascii="Arial" w:cs="Arial" w:eastAsia="Arial" w:hAnsi="Arial"/>
          <w:sz w:val="22"/>
          <w:szCs w:val="22"/>
          <w:color w:val="auto"/>
        </w:rPr>
        <w:t>Retirement at any age before the Vesting Date specified above, any unvested Performance Stock Units [and Additional Performance Stock Units] or unpaid Actual Award, as applicable, will immediately be forfeited and your rights with respect to future payments under this Agreement will end.</w:t>
      </w:r>
    </w:p>
    <w:p>
      <w:pPr>
        <w:spacing w:after="0" w:line="107" w:lineRule="exact"/>
        <w:rPr>
          <w:sz w:val="20"/>
          <w:szCs w:val="20"/>
          <w:color w:val="auto"/>
        </w:rPr>
      </w:pPr>
    </w:p>
    <w:p>
      <w:pPr>
        <w:jc w:val="both"/>
        <w:spacing w:after="0" w:line="263" w:lineRule="auto"/>
        <w:rPr>
          <w:sz w:val="20"/>
          <w:szCs w:val="20"/>
          <w:color w:val="auto"/>
        </w:rPr>
      </w:pPr>
      <w:r>
        <w:rPr>
          <w:rFonts w:ascii="Arial" w:cs="Arial" w:eastAsia="Arial" w:hAnsi="Arial"/>
          <w:sz w:val="22"/>
          <w:szCs w:val="22"/>
          <w:b w:val="1"/>
          <w:bCs w:val="1"/>
          <w:color w:val="auto"/>
        </w:rPr>
        <w:t xml:space="preserve">[FOLLOWING INCLUDED AT COMMITTEE’S DISCRETION: </w:t>
      </w:r>
      <w:r>
        <w:rPr>
          <w:rFonts w:ascii="Arial" w:cs="Arial" w:eastAsia="Arial" w:hAnsi="Arial"/>
          <w:sz w:val="22"/>
          <w:szCs w:val="22"/>
          <w:color w:val="auto"/>
        </w:rPr>
        <w:t>If you terminate employment with the Company and its</w:t>
      </w:r>
      <w:r>
        <w:rPr>
          <w:rFonts w:ascii="Arial" w:cs="Arial" w:eastAsia="Arial" w:hAnsi="Arial"/>
          <w:sz w:val="22"/>
          <w:szCs w:val="22"/>
          <w:b w:val="1"/>
          <w:bCs w:val="1"/>
          <w:color w:val="auto"/>
        </w:rPr>
        <w:t xml:space="preserve"> </w:t>
      </w:r>
      <w:r>
        <w:rPr>
          <w:rFonts w:ascii="Arial" w:cs="Arial" w:eastAsia="Arial" w:hAnsi="Arial"/>
          <w:sz w:val="22"/>
          <w:szCs w:val="22"/>
          <w:color w:val="auto"/>
        </w:rPr>
        <w:t>Affiliates (i) not for Cause, and (ii) after you attain at least 70 points (actual age plus Years of Service, with minimum age 55), and (iii) after you provide the Company at least 120 days’ advance notice of your Termination of Employment, and (iv) you comply with all applicable post-termination restrictive covenants, the following special provisions shall apply:</w:t>
      </w:r>
    </w:p>
    <w:p>
      <w:pPr>
        <w:spacing w:after="0" w:line="101" w:lineRule="exact"/>
        <w:rPr>
          <w:sz w:val="20"/>
          <w:szCs w:val="20"/>
          <w:color w:val="auto"/>
        </w:rPr>
      </w:pPr>
    </w:p>
    <w:p>
      <w:pPr>
        <w:jc w:val="both"/>
        <w:ind w:left="660" w:firstLine="298"/>
        <w:spacing w:after="0" w:line="263" w:lineRule="auto"/>
        <w:tabs>
          <w:tab w:leader="none" w:pos="1551" w:val="left"/>
        </w:tabs>
        <w:numPr>
          <w:ilvl w:val="2"/>
          <w:numId w:val="288"/>
        </w:numPr>
        <w:rPr>
          <w:rFonts w:ascii="Arial" w:cs="Arial" w:eastAsia="Arial" w:hAnsi="Arial"/>
          <w:sz w:val="22"/>
          <w:szCs w:val="22"/>
          <w:color w:val="auto"/>
        </w:rPr>
      </w:pPr>
      <w:r>
        <w:rPr>
          <w:rFonts w:ascii="Arial" w:cs="Arial" w:eastAsia="Arial" w:hAnsi="Arial"/>
          <w:sz w:val="22"/>
          <w:szCs w:val="22"/>
          <w:color w:val="auto"/>
        </w:rPr>
        <w:t>the amount of the unvested Performance Stock Units [and Additional Performance Stock Units] that shall vest under this Section 9 shall equal (1) the Actual Award as determined by the Company following the end of the Performance Cycle, and (2) multiplied by a fraction, the numerator of which is your Years of Service from the Grant Date to your Termination of Employment and the denominator of which is the total years of service from the Grant Date to the final vesting date of this Award; and</w:t>
      </w:r>
    </w:p>
    <w:p>
      <w:pPr>
        <w:spacing w:after="0" w:line="112" w:lineRule="exact"/>
        <w:rPr>
          <w:rFonts w:ascii="Arial" w:cs="Arial" w:eastAsia="Arial" w:hAnsi="Arial"/>
          <w:sz w:val="22"/>
          <w:szCs w:val="22"/>
          <w:color w:val="auto"/>
        </w:rPr>
      </w:pPr>
    </w:p>
    <w:p>
      <w:pPr>
        <w:jc w:val="both"/>
        <w:ind w:left="660" w:firstLine="430"/>
        <w:spacing w:after="0" w:line="265" w:lineRule="auto"/>
        <w:tabs>
          <w:tab w:leader="none" w:pos="1813" w:val="left"/>
        </w:tabs>
        <w:numPr>
          <w:ilvl w:val="3"/>
          <w:numId w:val="288"/>
        </w:numPr>
        <w:rPr>
          <w:rFonts w:ascii="Arial" w:cs="Arial" w:eastAsia="Arial" w:hAnsi="Arial"/>
          <w:sz w:val="22"/>
          <w:szCs w:val="22"/>
          <w:color w:val="auto"/>
        </w:rPr>
      </w:pPr>
      <w:r>
        <w:rPr>
          <w:rFonts w:ascii="Arial" w:cs="Arial" w:eastAsia="Arial" w:hAnsi="Arial"/>
          <w:sz w:val="22"/>
          <w:szCs w:val="22"/>
          <w:color w:val="auto"/>
        </w:rPr>
        <w:t>The Performance Stock Units [and Additional Performance Stock Units] that vest pursuant to Paragraph (A) above shall be paid following the completion of the Performance Cycle and determination of the Performance Measures, at the same time and in the same manner such awards are paid to other similarly situated officers of the Company.]</w:t>
      </w:r>
    </w:p>
    <w:p>
      <w:pPr>
        <w:spacing w:after="0" w:line="109" w:lineRule="exact"/>
        <w:rPr>
          <w:rFonts w:ascii="Arial" w:cs="Arial" w:eastAsia="Arial" w:hAnsi="Arial"/>
          <w:sz w:val="22"/>
          <w:szCs w:val="22"/>
          <w:color w:val="auto"/>
        </w:rPr>
      </w:pPr>
    </w:p>
    <w:p>
      <w:pPr>
        <w:ind w:right="20" w:firstLine="8"/>
        <w:spacing w:after="0" w:line="287" w:lineRule="auto"/>
        <w:tabs>
          <w:tab w:leader="none" w:pos="554" w:val="left"/>
        </w:tabs>
        <w:numPr>
          <w:ilvl w:val="0"/>
          <w:numId w:val="289"/>
        </w:numPr>
        <w:rPr>
          <w:rFonts w:ascii="Arial" w:cs="Arial" w:eastAsia="Arial" w:hAnsi="Arial"/>
          <w:sz w:val="22"/>
          <w:szCs w:val="22"/>
          <w:color w:val="auto"/>
        </w:rPr>
      </w:pPr>
      <w:r>
        <w:rPr>
          <w:rFonts w:ascii="Arial" w:cs="Arial" w:eastAsia="Arial" w:hAnsi="Arial"/>
          <w:sz w:val="22"/>
          <w:szCs w:val="22"/>
          <w:b w:val="1"/>
          <w:bCs w:val="1"/>
          <w:color w:val="auto"/>
        </w:rPr>
        <w:t xml:space="preserve">Change in Control. </w:t>
      </w:r>
      <w:r>
        <w:rPr>
          <w:rFonts w:ascii="Arial" w:cs="Arial" w:eastAsia="Arial" w:hAnsi="Arial"/>
          <w:sz w:val="22"/>
          <w:szCs w:val="22"/>
          <w:color w:val="auto"/>
        </w:rPr>
        <w:t>Notwithstanding anything in Sections 2 through 9 to the contrary, in the event of a Change</w:t>
      </w:r>
      <w:r>
        <w:rPr>
          <w:rFonts w:ascii="Arial" w:cs="Arial" w:eastAsia="Arial" w:hAnsi="Arial"/>
          <w:sz w:val="22"/>
          <w:szCs w:val="22"/>
          <w:b w:val="1"/>
          <w:bCs w:val="1"/>
          <w:color w:val="auto"/>
        </w:rPr>
        <w:t xml:space="preserve"> </w:t>
      </w:r>
      <w:r>
        <w:rPr>
          <w:rFonts w:ascii="Arial" w:cs="Arial" w:eastAsia="Arial" w:hAnsi="Arial"/>
          <w:sz w:val="22"/>
          <w:szCs w:val="22"/>
          <w:color w:val="auto"/>
        </w:rPr>
        <w:t>in Control (as defined in the Plan), the following provisions apply:</w:t>
      </w:r>
    </w:p>
    <w:p>
      <w:pPr>
        <w:spacing w:after="0" w:line="69" w:lineRule="exact"/>
        <w:rPr>
          <w:rFonts w:ascii="Arial" w:cs="Arial" w:eastAsia="Arial" w:hAnsi="Arial"/>
          <w:sz w:val="22"/>
          <w:szCs w:val="22"/>
          <w:color w:val="auto"/>
        </w:rPr>
      </w:pPr>
    </w:p>
    <w:p>
      <w:pPr>
        <w:jc w:val="both"/>
        <w:ind w:firstLine="656"/>
        <w:spacing w:after="0" w:line="259" w:lineRule="auto"/>
        <w:tabs>
          <w:tab w:leader="none" w:pos="1109" w:val="left"/>
        </w:tabs>
        <w:numPr>
          <w:ilvl w:val="1"/>
          <w:numId w:val="289"/>
        </w:numPr>
        <w:rPr>
          <w:rFonts w:ascii="Arial" w:cs="Arial" w:eastAsia="Arial" w:hAnsi="Arial"/>
          <w:sz w:val="22"/>
          <w:szCs w:val="22"/>
          <w:color w:val="auto"/>
        </w:rPr>
      </w:pPr>
      <w:r>
        <w:rPr>
          <w:rFonts w:ascii="Arial" w:cs="Arial" w:eastAsia="Arial" w:hAnsi="Arial"/>
          <w:sz w:val="22"/>
          <w:szCs w:val="22"/>
          <w:b w:val="1"/>
          <w:bCs w:val="1"/>
          <w:color w:val="auto"/>
        </w:rPr>
        <w:t xml:space="preserve">Rollover of Performance Awards. </w:t>
      </w:r>
      <w:r>
        <w:rPr>
          <w:rFonts w:ascii="Arial" w:cs="Arial" w:eastAsia="Arial" w:hAnsi="Arial"/>
          <w:sz w:val="22"/>
          <w:szCs w:val="22"/>
          <w:color w:val="auto"/>
        </w:rPr>
        <w:t>If adjusted or exchanged pursuant to Section 5.3(c) – (f) of the Plan,</w:t>
      </w:r>
      <w:r>
        <w:rPr>
          <w:rFonts w:ascii="Arial" w:cs="Arial" w:eastAsia="Arial" w:hAnsi="Arial"/>
          <w:sz w:val="22"/>
          <w:szCs w:val="22"/>
          <w:b w:val="1"/>
          <w:bCs w:val="1"/>
          <w:color w:val="auto"/>
        </w:rPr>
        <w:t xml:space="preserve"> </w:t>
      </w:r>
      <w:r>
        <w:rPr>
          <w:rFonts w:ascii="Arial" w:cs="Arial" w:eastAsia="Arial" w:hAnsi="Arial"/>
          <w:sz w:val="22"/>
          <w:szCs w:val="22"/>
          <w:color w:val="auto"/>
        </w:rPr>
        <w:t>Performance Stock Units [and Additional Performance Stock Units] that have not vested or terminated as of the date of the Change in Control will continue to vest in accordance with the schedule described in Section 6 of this Agreement (or as adjusted if more favorable); provided, however, that (x) if you incur an involuntary Termination of Employment not for Cause (as defined in Section 2.7 of the Plan) or a voluntary Termination of Employment for Good Reason (as defined in Section 5.4(d) of the Plan) on or before the second anniversary of the date of the Change in Control and after the Performance Cycle has ended, your unpaid Actual Award will immediately vest in full and be paid in cash no later than the earlier of 90 days after the Termination of Employment or two and one-half months after the end of the calendar year in which the Termination of Employment occurs, or (y) if you incur an involuntary Termination of Employment not for Cause (as defined in Section 2.7 of the Plan) or a voluntary Termination of Employment for Good Reason (as defined in Section 5.4(d) of</w:t>
      </w:r>
    </w:p>
    <w:p>
      <w:pPr>
        <w:sectPr>
          <w:pgSz w:w="11900" w:h="16838" w:orient="portrait"/>
          <w:cols w:equalWidth="0" w:num="1">
            <w:col w:w="11240"/>
          </w:cols>
          <w:pgMar w:left="320" w:top="1421" w:right="339" w:bottom="1440" w:gutter="0" w:footer="0" w:header="0"/>
        </w:sectPr>
      </w:pPr>
    </w:p>
    <w:bookmarkStart w:id="180" w:name="page181"/>
    <w:bookmarkEnd w:id="180"/>
    <w:p>
      <w:pPr>
        <w:jc w:val="both"/>
        <w:spacing w:after="0" w:line="263" w:lineRule="auto"/>
        <w:rPr>
          <w:sz w:val="20"/>
          <w:szCs w:val="20"/>
          <w:color w:val="auto"/>
        </w:rPr>
      </w:pPr>
      <w:r>
        <w:rPr>
          <w:rFonts w:ascii="Arial" w:cs="Arial" w:eastAsia="Arial" w:hAnsi="Arial"/>
          <w:sz w:val="22"/>
          <w:szCs w:val="22"/>
          <w:color w:val="auto"/>
        </w:rPr>
        <w:t>the Plan) during the two-year period following the Change in Control and before the Performance Cycle has ended, an amount equal to the Target Award, pro-rated to reflect the portion of the Performance Cycle that elapsed before such Termination of Employment, will be paid in cash no later than the earlier of 90 days after the Termination of Employment or two and one-half months after the end of the calendar year in which the Termination of Employment occurs.</w:t>
      </w:r>
    </w:p>
    <w:p>
      <w:pPr>
        <w:spacing w:after="0" w:line="110" w:lineRule="exact"/>
        <w:rPr>
          <w:sz w:val="20"/>
          <w:szCs w:val="20"/>
          <w:color w:val="auto"/>
        </w:rPr>
      </w:pPr>
    </w:p>
    <w:p>
      <w:pPr>
        <w:jc w:val="both"/>
        <w:ind w:firstLine="656"/>
        <w:spacing w:after="0" w:line="258" w:lineRule="auto"/>
        <w:tabs>
          <w:tab w:leader="none" w:pos="1095" w:val="left"/>
        </w:tabs>
        <w:numPr>
          <w:ilvl w:val="1"/>
          <w:numId w:val="290"/>
        </w:numPr>
        <w:rPr>
          <w:rFonts w:ascii="Arial" w:cs="Arial" w:eastAsia="Arial" w:hAnsi="Arial"/>
          <w:sz w:val="22"/>
          <w:szCs w:val="22"/>
          <w:color w:val="auto"/>
        </w:rPr>
      </w:pPr>
      <w:r>
        <w:rPr>
          <w:rFonts w:ascii="Arial" w:cs="Arial" w:eastAsia="Arial" w:hAnsi="Arial"/>
          <w:sz w:val="22"/>
          <w:szCs w:val="22"/>
          <w:b w:val="1"/>
          <w:bCs w:val="1"/>
          <w:color w:val="auto"/>
        </w:rPr>
        <w:t xml:space="preserve">Cashout of Performance Awards. </w:t>
      </w:r>
      <w:r>
        <w:rPr>
          <w:rFonts w:ascii="Arial" w:cs="Arial" w:eastAsia="Arial" w:hAnsi="Arial"/>
          <w:sz w:val="22"/>
          <w:szCs w:val="22"/>
          <w:color w:val="auto"/>
        </w:rPr>
        <w:t>Unless adjusted or exchanged pursuant to Section 5.3(a) or 5.3(b) of</w:t>
      </w:r>
      <w:r>
        <w:rPr>
          <w:rFonts w:ascii="Arial" w:cs="Arial" w:eastAsia="Arial" w:hAnsi="Arial"/>
          <w:sz w:val="22"/>
          <w:szCs w:val="22"/>
          <w:b w:val="1"/>
          <w:bCs w:val="1"/>
          <w:color w:val="auto"/>
        </w:rPr>
        <w:t xml:space="preserve"> </w:t>
      </w:r>
      <w:r>
        <w:rPr>
          <w:rFonts w:ascii="Arial" w:cs="Arial" w:eastAsia="Arial" w:hAnsi="Arial"/>
          <w:sz w:val="22"/>
          <w:szCs w:val="22"/>
          <w:color w:val="auto"/>
        </w:rPr>
        <w:t>the Plan (concerning rollover of outstanding awards in certain circumstances), Performance Stock Units [and Additional Performance Stock Units] that have not vested or terminated as of the date of the Change in Control will immediately vest. If the Change in Control occurs after the Performance Cycle has ended, you will receive your unpaid Actual Award. If the Change in Control occurs before the Performance Cycle has ended, the Actual Award will be based on the Target Award or other level of substantially achieved performance, as determined by the Committee prior to the Change in Control. No later than the earlier of 90 days after the date of the Change in Control or two and one-half months after the end of the calendar year in which the Change in Control occurs, you will receive for the Performance Stock Units [and Additional Performance Stock Units] a single cash payment equal to the product of the number of vested and outstanding Performance Stock Units [and Additional Performance Stock Units] as of the date of the Change in Control (including any Performance Stock Units [and Additional Performance Stock Units] that vest pursuant to this Section 10) and an amount equal to the greater of (i) the highest price per Share paid by the successor, as determined by the Committee, and (ii) the highest Fair Market Value during the period of 90 days that ends on the date of the Change in Control. Any securities or other property that is part or all of the consideration paid for Shares pursuant to the Change in Control will be valued at the higher of (x) the valuation placed on the securities or property by any entity that is a party with the Company to the Change in Control, or (y) the valuation placed on the securities or property by the Committee.</w:t>
      </w:r>
    </w:p>
    <w:p>
      <w:pPr>
        <w:spacing w:after="0" w:line="102" w:lineRule="exact"/>
        <w:rPr>
          <w:rFonts w:ascii="Arial" w:cs="Arial" w:eastAsia="Arial" w:hAnsi="Arial"/>
          <w:sz w:val="22"/>
          <w:szCs w:val="22"/>
          <w:color w:val="auto"/>
        </w:rPr>
      </w:pPr>
    </w:p>
    <w:p>
      <w:pPr>
        <w:jc w:val="both"/>
        <w:ind w:firstLine="8"/>
        <w:spacing w:after="0" w:line="262" w:lineRule="auto"/>
        <w:tabs>
          <w:tab w:leader="none" w:pos="524" w:val="left"/>
        </w:tabs>
        <w:numPr>
          <w:ilvl w:val="0"/>
          <w:numId w:val="291"/>
        </w:numPr>
        <w:rPr>
          <w:rFonts w:ascii="Arial" w:cs="Arial" w:eastAsia="Arial" w:hAnsi="Arial"/>
          <w:sz w:val="22"/>
          <w:szCs w:val="22"/>
          <w:color w:val="auto"/>
        </w:rPr>
      </w:pPr>
      <w:r>
        <w:rPr>
          <w:rFonts w:ascii="Arial" w:cs="Arial" w:eastAsia="Arial" w:hAnsi="Arial"/>
          <w:sz w:val="22"/>
          <w:szCs w:val="22"/>
          <w:b w:val="1"/>
          <w:bCs w:val="1"/>
          <w:color w:val="auto"/>
        </w:rPr>
        <w:t xml:space="preserve">Withholdings. </w:t>
      </w:r>
      <w:r>
        <w:rPr>
          <w:rFonts w:ascii="Arial" w:cs="Arial" w:eastAsia="Arial" w:hAnsi="Arial"/>
          <w:sz w:val="22"/>
          <w:szCs w:val="22"/>
          <w:color w:val="auto"/>
        </w:rPr>
        <w:t>The Company or your local employer shall have the power and the right to deduct or withhold, or</w:t>
      </w:r>
      <w:r>
        <w:rPr>
          <w:rFonts w:ascii="Arial" w:cs="Arial" w:eastAsia="Arial" w:hAnsi="Arial"/>
          <w:sz w:val="22"/>
          <w:szCs w:val="22"/>
          <w:b w:val="1"/>
          <w:bCs w:val="1"/>
          <w:color w:val="auto"/>
        </w:rPr>
        <w:t xml:space="preserve"> </w:t>
      </w:r>
      <w:r>
        <w:rPr>
          <w:rFonts w:ascii="Arial" w:cs="Arial" w:eastAsia="Arial" w:hAnsi="Arial"/>
          <w:sz w:val="22"/>
          <w:szCs w:val="22"/>
          <w:color w:val="auto"/>
        </w:rPr>
        <w:t>require you to remit to the Company or to your local employer, prior to any issuance or delivery of Shares, an amount sufficient to satisfy taxes imposed under the laws of any country, state, province, city or other jurisdiction, including but not limited to income taxes, capital gain taxes, transfer taxes, and social security contributions, and National Insurance Contributions, that are required by law to be withheld as determined by the Company or your local employer.</w:t>
      </w:r>
    </w:p>
    <w:p>
      <w:pPr>
        <w:spacing w:after="0" w:line="111" w:lineRule="exact"/>
        <w:rPr>
          <w:rFonts w:ascii="Arial" w:cs="Arial" w:eastAsia="Arial" w:hAnsi="Arial"/>
          <w:sz w:val="22"/>
          <w:szCs w:val="22"/>
          <w:color w:val="auto"/>
        </w:rPr>
      </w:pPr>
    </w:p>
    <w:p>
      <w:pPr>
        <w:jc w:val="both"/>
        <w:ind w:firstLine="8"/>
        <w:spacing w:after="0" w:line="266" w:lineRule="auto"/>
        <w:tabs>
          <w:tab w:leader="none" w:pos="567" w:val="left"/>
        </w:tabs>
        <w:numPr>
          <w:ilvl w:val="0"/>
          <w:numId w:val="291"/>
        </w:numPr>
        <w:rPr>
          <w:rFonts w:ascii="Arial" w:cs="Arial" w:eastAsia="Arial" w:hAnsi="Arial"/>
          <w:sz w:val="22"/>
          <w:szCs w:val="22"/>
          <w:color w:val="auto"/>
        </w:rPr>
      </w:pPr>
      <w:r>
        <w:rPr>
          <w:rFonts w:ascii="Arial" w:cs="Arial" w:eastAsia="Arial" w:hAnsi="Arial"/>
          <w:sz w:val="22"/>
          <w:szCs w:val="22"/>
          <w:b w:val="1"/>
          <w:bCs w:val="1"/>
          <w:color w:val="auto"/>
        </w:rPr>
        <w:t xml:space="preserve">Transfer of Performance Award. </w:t>
      </w:r>
      <w:r>
        <w:rPr>
          <w:rFonts w:ascii="Arial" w:cs="Arial" w:eastAsia="Arial" w:hAnsi="Arial"/>
          <w:sz w:val="22"/>
          <w:szCs w:val="22"/>
          <w:color w:val="auto"/>
        </w:rPr>
        <w:t>You may not transfer the Performance Stock Units[, Additional Performance</w:t>
      </w:r>
      <w:r>
        <w:rPr>
          <w:rFonts w:ascii="Arial" w:cs="Arial" w:eastAsia="Arial" w:hAnsi="Arial"/>
          <w:sz w:val="22"/>
          <w:szCs w:val="22"/>
          <w:b w:val="1"/>
          <w:bCs w:val="1"/>
          <w:color w:val="auto"/>
        </w:rPr>
        <w:t xml:space="preserve"> </w:t>
      </w:r>
      <w:r>
        <w:rPr>
          <w:rFonts w:ascii="Arial" w:cs="Arial" w:eastAsia="Arial" w:hAnsi="Arial"/>
          <w:sz w:val="22"/>
          <w:szCs w:val="22"/>
          <w:color w:val="auto"/>
        </w:rPr>
        <w:t>Stock Units] or any interest in such Units or any portion of your Actual Award except by will or the laws of descent and distribution or except as permitted by the Committee and as specified in the Plan. Any other attempt to dispose of your interest will be null and void.</w:t>
      </w:r>
    </w:p>
    <w:p>
      <w:pPr>
        <w:sectPr>
          <w:pgSz w:w="11900" w:h="16838" w:orient="portrait"/>
          <w:cols w:equalWidth="0" w:num="1">
            <w:col w:w="11240"/>
          </w:cols>
          <w:pgMar w:left="320" w:top="1423" w:right="339" w:bottom="1440" w:gutter="0" w:footer="0" w:header="0"/>
        </w:sectPr>
      </w:pPr>
    </w:p>
    <w:bookmarkStart w:id="181" w:name="page182"/>
    <w:bookmarkEnd w:id="181"/>
    <w:p>
      <w:pPr>
        <w:ind w:left="532" w:hanging="532"/>
        <w:spacing w:after="0"/>
        <w:tabs>
          <w:tab w:leader="none" w:pos="532" w:val="left"/>
        </w:tabs>
        <w:numPr>
          <w:ilvl w:val="0"/>
          <w:numId w:val="292"/>
        </w:numPr>
        <w:rPr>
          <w:rFonts w:ascii="Arial" w:cs="Arial" w:eastAsia="Arial" w:hAnsi="Arial"/>
          <w:sz w:val="22"/>
          <w:szCs w:val="22"/>
          <w:color w:val="auto"/>
        </w:rPr>
      </w:pPr>
      <w:r>
        <w:rPr>
          <w:rFonts w:ascii="Arial" w:cs="Arial" w:eastAsia="Arial" w:hAnsi="Arial"/>
          <w:sz w:val="22"/>
          <w:szCs w:val="22"/>
          <w:b w:val="1"/>
          <w:bCs w:val="1"/>
          <w:color w:val="auto"/>
        </w:rPr>
        <w:t>Requirements for and Forfeiture of Award.</w:t>
      </w:r>
    </w:p>
    <w:p>
      <w:pPr>
        <w:spacing w:after="0" w:line="165" w:lineRule="exact"/>
        <w:rPr>
          <w:rFonts w:ascii="Arial" w:cs="Arial" w:eastAsia="Arial" w:hAnsi="Arial"/>
          <w:sz w:val="22"/>
          <w:szCs w:val="22"/>
          <w:color w:val="auto"/>
        </w:rPr>
      </w:pPr>
    </w:p>
    <w:p>
      <w:pPr>
        <w:jc w:val="both"/>
        <w:ind w:left="-8" w:firstLine="656"/>
        <w:spacing w:after="0" w:line="260" w:lineRule="auto"/>
        <w:tabs>
          <w:tab w:leader="none" w:pos="1290" w:val="left"/>
        </w:tabs>
        <w:numPr>
          <w:ilvl w:val="2"/>
          <w:numId w:val="292"/>
        </w:numPr>
        <w:rPr>
          <w:rFonts w:ascii="Arial" w:cs="Arial" w:eastAsia="Arial" w:hAnsi="Arial"/>
          <w:sz w:val="22"/>
          <w:szCs w:val="22"/>
          <w:color w:val="auto"/>
        </w:rPr>
      </w:pPr>
      <w:r>
        <w:rPr>
          <w:rFonts w:ascii="Arial" w:cs="Arial" w:eastAsia="Arial" w:hAnsi="Arial"/>
          <w:sz w:val="22"/>
          <w:szCs w:val="22"/>
          <w:b w:val="1"/>
          <w:bCs w:val="1"/>
          <w:color w:val="auto"/>
        </w:rPr>
        <w:t xml:space="preserve">General. </w:t>
      </w:r>
      <w:r>
        <w:rPr>
          <w:rFonts w:ascii="Arial" w:cs="Arial" w:eastAsia="Arial" w:hAnsi="Arial"/>
          <w:sz w:val="22"/>
          <w:szCs w:val="22"/>
          <w:color w:val="auto"/>
        </w:rPr>
        <w:t>This Award is expressly contingent upon you complying with the terms, conditions and</w:t>
      </w:r>
      <w:r>
        <w:rPr>
          <w:rFonts w:ascii="Arial" w:cs="Arial" w:eastAsia="Arial" w:hAnsi="Arial"/>
          <w:sz w:val="22"/>
          <w:szCs w:val="22"/>
          <w:b w:val="1"/>
          <w:bCs w:val="1"/>
          <w:color w:val="auto"/>
        </w:rPr>
        <w:t xml:space="preserve"> </w:t>
      </w:r>
      <w:r>
        <w:rPr>
          <w:rFonts w:ascii="Arial" w:cs="Arial" w:eastAsia="Arial" w:hAnsi="Arial"/>
          <w:sz w:val="22"/>
          <w:szCs w:val="22"/>
          <w:color w:val="auto"/>
        </w:rPr>
        <w:t>definitions contained in this Section 13 and in any other agreement that governs your noncompetition with Honeywell, your nonsolicitation of Honeywell’s employees, customers, suppliers, business partners and vendors, and/or your conduct with respect to Honeywell’s trade secrets and proprietary and confidential information. For purposes of this Section 13, the term “Honeywell” is defined as Honeywell International Inc. (a Delaware corporation having a place of business in Charlotte, North Carolina), its predecessors, designees and successors, as well as its past, present and future operating companies, divisions, subsidiaries, affiliates and other business units, including businesses acquired by purchase of assets, stock, merger or otherwise.</w:t>
      </w:r>
    </w:p>
    <w:p>
      <w:pPr>
        <w:spacing w:after="0" w:line="102" w:lineRule="exact"/>
        <w:rPr>
          <w:rFonts w:ascii="Arial" w:cs="Arial" w:eastAsia="Arial" w:hAnsi="Arial"/>
          <w:sz w:val="22"/>
          <w:szCs w:val="22"/>
          <w:color w:val="auto"/>
        </w:rPr>
      </w:pPr>
    </w:p>
    <w:p>
      <w:pPr>
        <w:ind w:left="1072" w:hanging="424"/>
        <w:spacing w:after="0"/>
        <w:tabs>
          <w:tab w:leader="none" w:pos="1072" w:val="left"/>
        </w:tabs>
        <w:numPr>
          <w:ilvl w:val="2"/>
          <w:numId w:val="292"/>
        </w:numPr>
        <w:rPr>
          <w:rFonts w:ascii="Arial" w:cs="Arial" w:eastAsia="Arial" w:hAnsi="Arial"/>
          <w:sz w:val="22"/>
          <w:szCs w:val="22"/>
          <w:color w:val="auto"/>
        </w:rPr>
      </w:pPr>
      <w:r>
        <w:rPr>
          <w:rFonts w:ascii="Arial" w:cs="Arial" w:eastAsia="Arial" w:hAnsi="Arial"/>
          <w:sz w:val="22"/>
          <w:szCs w:val="22"/>
          <w:b w:val="1"/>
          <w:bCs w:val="1"/>
          <w:color w:val="auto"/>
        </w:rPr>
        <w:t>Remedies.</w:t>
      </w:r>
    </w:p>
    <w:p>
      <w:pPr>
        <w:spacing w:after="0" w:line="167" w:lineRule="exact"/>
        <w:rPr>
          <w:rFonts w:ascii="Arial" w:cs="Arial" w:eastAsia="Arial" w:hAnsi="Arial"/>
          <w:sz w:val="22"/>
          <w:szCs w:val="22"/>
          <w:color w:val="auto"/>
        </w:rPr>
      </w:pPr>
    </w:p>
    <w:p>
      <w:pPr>
        <w:jc w:val="both"/>
        <w:ind w:left="-8" w:firstLine="521"/>
        <w:spacing w:after="0" w:line="270" w:lineRule="auto"/>
        <w:tabs>
          <w:tab w:leader="none" w:pos="938" w:val="left"/>
        </w:tabs>
        <w:numPr>
          <w:ilvl w:val="1"/>
          <w:numId w:val="292"/>
        </w:numPr>
        <w:rPr>
          <w:rFonts w:ascii="Arial" w:cs="Arial" w:eastAsia="Arial" w:hAnsi="Arial"/>
          <w:sz w:val="21"/>
          <w:szCs w:val="21"/>
          <w:color w:val="auto"/>
        </w:rPr>
      </w:pPr>
      <w:r>
        <w:rPr>
          <w:rFonts w:ascii="Arial" w:cs="Arial" w:eastAsia="Arial" w:hAnsi="Arial"/>
          <w:sz w:val="21"/>
          <w:szCs w:val="21"/>
          <w:color w:val="auto"/>
        </w:rPr>
        <w:t>You expressly agree and acknowledge that the forfeiture provisions of subsection 13.b.2. of this Agreement shall apply if: (A) you are terminated for Cause (as defined in the Plan) or you voluntarily terminate your employment with less than a 60-day notice period, or (B) from the Grant Date until the date that is twenty-four (24) months after your Termination of Employment for any reason, you (i) enter into an employment, consultation or similar agreement or arrangement (including any arrangement for service as an agent, partner, stockholder, consultant, officer or director) with any entity or person engaged in a business in which Honeywell is engaged if the business is competitive (in the sole judgment of the Honeywell International Inc. Chief Executive Officer (“CEO”)) and the CEO has not approved the agreement or arrangement in writing, or (ii) make any statement, publicly or privately (other than to your spouse and legal advisors), which would be disparaging (as defined below) to Honeywell or its businesses, products, strategies, prospects, condition, or reputation or that of its directors, employees, officers or members; provided, however, that nothing shall preclude you from making any statement in good faith which is required by any applicable law or regulation or the order of a court or other governmental body, or (iii) write or contribute to a book, article or other media publication, whether in written or electronic format, that is in any way descriptive of Honeywell or your career with Honeywell without first submitting a draft thereof, at least thirty (30) days in advance, to the Honeywell International Inc. Senior Vice President and General Counsel, whose judgment about whether such book, article or other media publication is disparaging shall be determinative; or such a book, article or other media publication is published after a determination that it is disparaging; provided, however, that nothing herein shall preclude you from reporting (in good faith) possible violations of federal law or regulation to any governmental agency or entity, including but not limited to, the Department of Justice, the Securities and Exchange Commission, the Congress, and/or any agency Inspector General, or making any other disclosures that are protected under the whistleblower provisions of federal or state law or regulation, or from otherwise</w:t>
      </w:r>
    </w:p>
    <w:p>
      <w:pPr>
        <w:sectPr>
          <w:pgSz w:w="11900" w:h="16838" w:orient="portrait"/>
          <w:cols w:equalWidth="0" w:num="1">
            <w:col w:w="11232"/>
          </w:cols>
          <w:pgMar w:left="328" w:top="1421" w:right="339" w:bottom="1440" w:gutter="0" w:footer="0" w:header="0"/>
        </w:sectPr>
      </w:pPr>
    </w:p>
    <w:bookmarkStart w:id="182" w:name="page183"/>
    <w:bookmarkEnd w:id="182"/>
    <w:p>
      <w:pPr>
        <w:jc w:val="both"/>
        <w:ind w:right="20"/>
        <w:spacing w:after="0" w:line="285" w:lineRule="auto"/>
        <w:rPr>
          <w:sz w:val="20"/>
          <w:szCs w:val="20"/>
          <w:color w:val="auto"/>
        </w:rPr>
      </w:pPr>
      <w:r>
        <w:rPr>
          <w:rFonts w:ascii="Arial" w:cs="Arial" w:eastAsia="Arial" w:hAnsi="Arial"/>
          <w:sz w:val="22"/>
          <w:szCs w:val="22"/>
          <w:color w:val="auto"/>
        </w:rPr>
        <w:t>making any statement (in good faith) which is required by any applicable law or regulation or the order of a court or other governmental body.</w:t>
      </w:r>
    </w:p>
    <w:p>
      <w:pPr>
        <w:spacing w:after="0" w:line="88" w:lineRule="exact"/>
        <w:rPr>
          <w:sz w:val="20"/>
          <w:szCs w:val="20"/>
          <w:color w:val="auto"/>
        </w:rPr>
      </w:pPr>
    </w:p>
    <w:p>
      <w:pPr>
        <w:jc w:val="both"/>
        <w:spacing w:after="0" w:line="265" w:lineRule="auto"/>
        <w:rPr>
          <w:sz w:val="20"/>
          <w:szCs w:val="20"/>
          <w:color w:val="auto"/>
        </w:rPr>
      </w:pPr>
      <w:r>
        <w:rPr>
          <w:rFonts w:ascii="Arial" w:cs="Arial" w:eastAsia="Arial" w:hAnsi="Arial"/>
          <w:sz w:val="22"/>
          <w:szCs w:val="22"/>
          <w:color w:val="auto"/>
        </w:rPr>
        <w:t>For purposes of this subsection 13.b.1, the term “disparaging” shall mean any statement or representation (whether oral or written and whether true or untrue) which, directly or by implication, tends to create a negative, adverse, or derogatory impression about the subject of the statement or representation or which is intended to harm the reputation of the subject of the statement or representation.</w:t>
      </w:r>
    </w:p>
    <w:p>
      <w:pPr>
        <w:spacing w:after="0" w:line="98" w:lineRule="exact"/>
        <w:rPr>
          <w:sz w:val="20"/>
          <w:szCs w:val="20"/>
          <w:color w:val="auto"/>
        </w:rPr>
      </w:pPr>
    </w:p>
    <w:p>
      <w:pPr>
        <w:jc w:val="both"/>
        <w:ind w:firstLine="1304"/>
        <w:spacing w:after="0" w:line="271" w:lineRule="auto"/>
        <w:tabs>
          <w:tab w:leader="none" w:pos="1806" w:val="left"/>
        </w:tabs>
        <w:numPr>
          <w:ilvl w:val="1"/>
          <w:numId w:val="293"/>
        </w:numPr>
        <w:rPr>
          <w:rFonts w:ascii="Arial" w:cs="Arial" w:eastAsia="Arial" w:hAnsi="Arial"/>
          <w:sz w:val="21"/>
          <w:szCs w:val="21"/>
          <w:color w:val="auto"/>
        </w:rPr>
      </w:pPr>
      <w:r>
        <w:rPr>
          <w:rFonts w:ascii="Arial" w:cs="Arial" w:eastAsia="Arial" w:hAnsi="Arial"/>
          <w:sz w:val="21"/>
          <w:szCs w:val="21"/>
          <w:color w:val="auto"/>
        </w:rPr>
        <w:t>In addition to the relief described in any other agreement that governs your noncompetition with Honeywell, your nonsolicitation of Honeywell’s employees, customers, suppliers, business partners and vendors, and/or your conduct with respect to Honeywell’s trade secrets and proprietary and confidential information, if the CEO determines, in their sole judgment, that you have violated the terms of any such agreement or you have engaged in an act that violates subsection 13.b.1. of this Agreement, or you are terminated for Cause (as defined in the Plan) or you voluntarily terminate your employment with less than a 60-day notice period, (i) any Performance Stock Units [and Additional Performance Stock Units] that have not vested under this Agreement shall immediately be cancelled, and you shall forfeit any rights you have with respect to such Units as of the date of the CEO’s determination or the date of your Termination of Employment for Cause or voluntary Termination of Employment, as applicable, and (ii) you shall immediately deliver to the Company Shares and cash equal in value to the Actual Award you received during the period beginning twelve (12) months prior to your Termination of Employment and ending on (x) the date of the CEO’s determination in the case of a violation other than for a Termination of Employment for Cause or voluntary termination without sufficient notice, or (y) the date of your Termination of Employment in the case of a Termination of Employment for Cause or voluntary termination without sufficient notice, as applicable.</w:t>
      </w:r>
    </w:p>
    <w:p>
      <w:pPr>
        <w:spacing w:after="0" w:line="111" w:lineRule="exact"/>
        <w:rPr>
          <w:rFonts w:ascii="Arial" w:cs="Arial" w:eastAsia="Arial" w:hAnsi="Arial"/>
          <w:sz w:val="21"/>
          <w:szCs w:val="21"/>
          <w:color w:val="auto"/>
        </w:rPr>
      </w:pPr>
    </w:p>
    <w:p>
      <w:pPr>
        <w:jc w:val="both"/>
        <w:ind w:firstLine="1304"/>
        <w:spacing w:after="0" w:line="265" w:lineRule="auto"/>
        <w:tabs>
          <w:tab w:leader="none" w:pos="1773" w:val="left"/>
        </w:tabs>
        <w:numPr>
          <w:ilvl w:val="1"/>
          <w:numId w:val="293"/>
        </w:numPr>
        <w:rPr>
          <w:rFonts w:ascii="Arial" w:cs="Arial" w:eastAsia="Arial" w:hAnsi="Arial"/>
          <w:sz w:val="22"/>
          <w:szCs w:val="22"/>
          <w:color w:val="auto"/>
        </w:rPr>
      </w:pPr>
      <w:r>
        <w:rPr>
          <w:rFonts w:ascii="Arial" w:cs="Arial" w:eastAsia="Arial" w:hAnsi="Arial"/>
          <w:sz w:val="22"/>
          <w:szCs w:val="22"/>
          <w:color w:val="auto"/>
        </w:rPr>
        <w:t>Notwithstanding anything in the Plan or this Agreement to the contrary, you acknowledge that the Company may be entitled or required by law, Company policy or the requirements of an exchange on which the Shares are listed for trading, to recoup compensation paid to you pursuant to the Plan, and you agree to comply with any Company request or demand for recoupment.</w:t>
      </w:r>
    </w:p>
    <w:p>
      <w:pPr>
        <w:spacing w:after="0" w:line="109" w:lineRule="exact"/>
        <w:rPr>
          <w:rFonts w:ascii="Arial" w:cs="Arial" w:eastAsia="Arial" w:hAnsi="Arial"/>
          <w:sz w:val="22"/>
          <w:szCs w:val="22"/>
          <w:color w:val="auto"/>
        </w:rPr>
      </w:pPr>
    </w:p>
    <w:p>
      <w:pPr>
        <w:jc w:val="both"/>
        <w:ind w:firstLine="8"/>
        <w:spacing w:after="0" w:line="277" w:lineRule="auto"/>
        <w:tabs>
          <w:tab w:leader="none" w:pos="702" w:val="left"/>
        </w:tabs>
        <w:numPr>
          <w:ilvl w:val="0"/>
          <w:numId w:val="294"/>
        </w:numPr>
        <w:rPr>
          <w:rFonts w:ascii="Arial" w:cs="Arial" w:eastAsia="Arial" w:hAnsi="Arial"/>
          <w:sz w:val="21"/>
          <w:szCs w:val="21"/>
          <w:color w:val="auto"/>
        </w:rPr>
      </w:pPr>
      <w:r>
        <w:rPr>
          <w:rFonts w:ascii="Arial" w:cs="Arial" w:eastAsia="Arial" w:hAnsi="Arial"/>
          <w:sz w:val="21"/>
          <w:szCs w:val="21"/>
          <w:b w:val="1"/>
          <w:bCs w:val="1"/>
          <w:color w:val="auto"/>
        </w:rPr>
        <w:t xml:space="preserve">Restrictions on Payment of Shares. </w:t>
      </w:r>
      <w:r>
        <w:rPr>
          <w:rFonts w:ascii="Arial" w:cs="Arial" w:eastAsia="Arial" w:hAnsi="Arial"/>
          <w:sz w:val="21"/>
          <w:szCs w:val="21"/>
          <w:color w:val="auto"/>
        </w:rPr>
        <w:t>Payment of Shares is subject to the conditions that, to the extent</w:t>
      </w:r>
      <w:r>
        <w:rPr>
          <w:rFonts w:ascii="Arial" w:cs="Arial" w:eastAsia="Arial" w:hAnsi="Arial"/>
          <w:sz w:val="21"/>
          <w:szCs w:val="21"/>
          <w:b w:val="1"/>
          <w:bCs w:val="1"/>
          <w:color w:val="auto"/>
        </w:rPr>
        <w:t xml:space="preserve"> </w:t>
      </w:r>
      <w:r>
        <w:rPr>
          <w:rFonts w:ascii="Arial" w:cs="Arial" w:eastAsia="Arial" w:hAnsi="Arial"/>
          <w:sz w:val="21"/>
          <w:szCs w:val="21"/>
          <w:color w:val="auto"/>
        </w:rPr>
        <w:t>required at the time of exercise, (i) the Shares underlying the Award and/or Actual Award shall be duly listed, upon official notice of redemption, upon The Nasdaq Stock Market LLC (“Nasdaq”), and (ii) a Registration Statement under the Securities Act of 1933 with respect to the Shares shall be effective. The Company shall not be required to deliver any Common Stock until all applicable federal and state laws and regulations have been complied with and all legal matters in connection with the issuance and delivery of the Shares have been approved by counsel for the Company.</w:t>
      </w:r>
    </w:p>
    <w:p>
      <w:pPr>
        <w:sectPr>
          <w:pgSz w:w="11900" w:h="16838" w:orient="portrait"/>
          <w:cols w:equalWidth="0" w:num="1">
            <w:col w:w="11240"/>
          </w:cols>
          <w:pgMar w:left="320" w:top="1423" w:right="339" w:bottom="1440" w:gutter="0" w:footer="0" w:header="0"/>
        </w:sectPr>
      </w:pPr>
    </w:p>
    <w:bookmarkStart w:id="183" w:name="page184"/>
    <w:bookmarkEnd w:id="183"/>
    <w:p>
      <w:pPr>
        <w:ind w:left="532" w:hanging="532"/>
        <w:spacing w:after="0"/>
        <w:tabs>
          <w:tab w:leader="none" w:pos="532" w:val="left"/>
        </w:tabs>
        <w:numPr>
          <w:ilvl w:val="0"/>
          <w:numId w:val="295"/>
        </w:numPr>
        <w:rPr>
          <w:rFonts w:ascii="Arial" w:cs="Arial" w:eastAsia="Arial" w:hAnsi="Arial"/>
          <w:sz w:val="22"/>
          <w:szCs w:val="22"/>
          <w:color w:val="auto"/>
        </w:rPr>
      </w:pPr>
      <w:r>
        <w:rPr>
          <w:rFonts w:ascii="Arial" w:cs="Arial" w:eastAsia="Arial" w:hAnsi="Arial"/>
          <w:sz w:val="22"/>
          <w:szCs w:val="22"/>
          <w:b w:val="1"/>
          <w:bCs w:val="1"/>
          <w:color w:val="auto"/>
        </w:rPr>
        <w:t xml:space="preserve">Adjustments. </w:t>
      </w:r>
      <w:r>
        <w:rPr>
          <w:rFonts w:ascii="Arial" w:cs="Arial" w:eastAsia="Arial" w:hAnsi="Arial"/>
          <w:sz w:val="22"/>
          <w:szCs w:val="22"/>
          <w:color w:val="auto"/>
        </w:rPr>
        <w:t>Any adjustments to this Performance Award will be governed by Section 5.3 of the Plan.</w:t>
      </w:r>
    </w:p>
    <w:p>
      <w:pPr>
        <w:spacing w:after="0" w:line="165" w:lineRule="exact"/>
        <w:rPr>
          <w:rFonts w:ascii="Arial" w:cs="Arial" w:eastAsia="Arial" w:hAnsi="Arial"/>
          <w:sz w:val="22"/>
          <w:szCs w:val="22"/>
          <w:color w:val="auto"/>
        </w:rPr>
      </w:pPr>
    </w:p>
    <w:p>
      <w:pPr>
        <w:jc w:val="both"/>
        <w:ind w:left="-8" w:firstLine="8"/>
        <w:spacing w:after="0" w:line="262" w:lineRule="auto"/>
        <w:tabs>
          <w:tab w:leader="none" w:pos="613" w:val="left"/>
        </w:tabs>
        <w:numPr>
          <w:ilvl w:val="0"/>
          <w:numId w:val="295"/>
        </w:numPr>
        <w:rPr>
          <w:rFonts w:ascii="Arial" w:cs="Arial" w:eastAsia="Arial" w:hAnsi="Arial"/>
          <w:sz w:val="22"/>
          <w:szCs w:val="22"/>
          <w:color w:val="auto"/>
        </w:rPr>
      </w:pPr>
      <w:r>
        <w:rPr>
          <w:rFonts w:ascii="Arial" w:cs="Arial" w:eastAsia="Arial" w:hAnsi="Arial"/>
          <w:sz w:val="22"/>
          <w:szCs w:val="22"/>
          <w:b w:val="1"/>
          <w:bCs w:val="1"/>
          <w:color w:val="auto"/>
        </w:rPr>
        <w:t xml:space="preserve">Disposition of Securities. </w:t>
      </w:r>
      <w:r>
        <w:rPr>
          <w:rFonts w:ascii="Arial" w:cs="Arial" w:eastAsia="Arial" w:hAnsi="Arial"/>
          <w:sz w:val="22"/>
          <w:szCs w:val="22"/>
          <w:color w:val="auto"/>
        </w:rPr>
        <w:t>By accepting the Performance Award, you acknowledge that you have read and</w:t>
      </w:r>
      <w:r>
        <w:rPr>
          <w:rFonts w:ascii="Arial" w:cs="Arial" w:eastAsia="Arial" w:hAnsi="Arial"/>
          <w:sz w:val="22"/>
          <w:szCs w:val="22"/>
          <w:b w:val="1"/>
          <w:bCs w:val="1"/>
          <w:color w:val="auto"/>
        </w:rPr>
        <w:t xml:space="preserve"> </w:t>
      </w:r>
      <w:r>
        <w:rPr>
          <w:rFonts w:ascii="Arial" w:cs="Arial" w:eastAsia="Arial" w:hAnsi="Arial"/>
          <w:sz w:val="22"/>
          <w:szCs w:val="22"/>
          <w:color w:val="auto"/>
        </w:rPr>
        <w:t>understand (i) the Company’s policy, and are aware of and understand your obligations under applicable securities laws in respect of trading in the Company’s securities, and (ii) the Company’s stock ownership guidelines as they apply to this Performance Award. The Company shall have the right to recover, or receive reimbursement for, any compensation or profit you realize on the disposition of Shares received to the extent that the Company has a right of recovery or reimbursement under applicable securities laws.</w:t>
      </w:r>
    </w:p>
    <w:p>
      <w:pPr>
        <w:spacing w:after="0" w:line="98" w:lineRule="exact"/>
        <w:rPr>
          <w:rFonts w:ascii="Arial" w:cs="Arial" w:eastAsia="Arial" w:hAnsi="Arial"/>
          <w:sz w:val="22"/>
          <w:szCs w:val="22"/>
          <w:color w:val="auto"/>
        </w:rPr>
      </w:pPr>
    </w:p>
    <w:p>
      <w:pPr>
        <w:jc w:val="both"/>
        <w:ind w:left="-8" w:firstLine="8"/>
        <w:spacing w:after="0" w:line="272" w:lineRule="auto"/>
        <w:tabs>
          <w:tab w:leader="none" w:pos="721" w:val="left"/>
        </w:tabs>
        <w:numPr>
          <w:ilvl w:val="0"/>
          <w:numId w:val="295"/>
        </w:numPr>
        <w:rPr>
          <w:rFonts w:ascii="Arial" w:cs="Arial" w:eastAsia="Arial" w:hAnsi="Arial"/>
          <w:sz w:val="21"/>
          <w:szCs w:val="21"/>
          <w:color w:val="auto"/>
        </w:rPr>
      </w:pPr>
      <w:r>
        <w:rPr>
          <w:rFonts w:ascii="Arial" w:cs="Arial" w:eastAsia="Arial" w:hAnsi="Arial"/>
          <w:sz w:val="21"/>
          <w:szCs w:val="21"/>
          <w:b w:val="1"/>
          <w:bCs w:val="1"/>
          <w:color w:val="auto"/>
        </w:rPr>
        <w:t xml:space="preserve">Plan Terms Govern. </w:t>
      </w:r>
      <w:r>
        <w:rPr>
          <w:rFonts w:ascii="Arial" w:cs="Arial" w:eastAsia="Arial" w:hAnsi="Arial"/>
          <w:sz w:val="21"/>
          <w:szCs w:val="21"/>
          <w:color w:val="auto"/>
        </w:rPr>
        <w:t>This Award (including the vesting and redemption of Performance Stock Units [or</w:t>
      </w:r>
      <w:r>
        <w:rPr>
          <w:rFonts w:ascii="Arial" w:cs="Arial" w:eastAsia="Arial" w:hAnsi="Arial"/>
          <w:sz w:val="21"/>
          <w:szCs w:val="21"/>
          <w:b w:val="1"/>
          <w:bCs w:val="1"/>
          <w:color w:val="auto"/>
        </w:rPr>
        <w:t xml:space="preserve"> </w:t>
      </w:r>
      <w:r>
        <w:rPr>
          <w:rFonts w:ascii="Arial" w:cs="Arial" w:eastAsia="Arial" w:hAnsi="Arial"/>
          <w:sz w:val="21"/>
          <w:szCs w:val="21"/>
          <w:color w:val="auto"/>
        </w:rPr>
        <w:t>Additional Performance Stock Units], the disposition of any Shares received, the treatment of gain on the disposition of these Shares, and the treatment of Dividend Equivalents) are subject to the provisions of the Plan and any rules that the Committee may prescribe. The Plan document, as may be amended from time to time, is incorporated into this Agreement. Capitalized terms used in this Agreement have the meaning set forth in the Plan, unless otherwise stated in this Agreement. In the event of any conflict between the terms of the Plan and the terms of this Agreement, the Plan shall control. By accepting the Performance Award, you acknowledge that the Plan and the Plan prospectus, as in effect on the date of this Agreement, have been made available to you for your review. Without limiting the generality of the foregoing, you agree that all determinations made by the Committee of the Performance Measures described in Section 3 (including but not limited to, Total Shareholder Return and the Company’s ranking within the Compensation Peer Group) shall be final, binding and conclusive on you in accordance with Article III of the Plan.</w:t>
      </w:r>
    </w:p>
    <w:p>
      <w:pPr>
        <w:spacing w:after="0" w:line="108" w:lineRule="exact"/>
        <w:rPr>
          <w:rFonts w:ascii="Arial" w:cs="Arial" w:eastAsia="Arial" w:hAnsi="Arial"/>
          <w:sz w:val="21"/>
          <w:szCs w:val="21"/>
          <w:color w:val="auto"/>
        </w:rPr>
      </w:pPr>
    </w:p>
    <w:p>
      <w:pPr>
        <w:ind w:left="532" w:hanging="532"/>
        <w:spacing w:after="0"/>
        <w:tabs>
          <w:tab w:leader="none" w:pos="532" w:val="left"/>
        </w:tabs>
        <w:numPr>
          <w:ilvl w:val="0"/>
          <w:numId w:val="295"/>
        </w:numPr>
        <w:rPr>
          <w:rFonts w:ascii="Arial" w:cs="Arial" w:eastAsia="Arial" w:hAnsi="Arial"/>
          <w:sz w:val="22"/>
          <w:szCs w:val="22"/>
          <w:color w:val="auto"/>
        </w:rPr>
      </w:pPr>
      <w:r>
        <w:rPr>
          <w:rFonts w:ascii="Arial" w:cs="Arial" w:eastAsia="Arial" w:hAnsi="Arial"/>
          <w:sz w:val="22"/>
          <w:szCs w:val="22"/>
          <w:b w:val="1"/>
          <w:bCs w:val="1"/>
          <w:color w:val="auto"/>
        </w:rPr>
        <w:t>Personal Data.</w:t>
      </w:r>
    </w:p>
    <w:p>
      <w:pPr>
        <w:spacing w:after="0" w:line="167" w:lineRule="exact"/>
        <w:rPr>
          <w:rFonts w:ascii="Arial" w:cs="Arial" w:eastAsia="Arial" w:hAnsi="Arial"/>
          <w:sz w:val="22"/>
          <w:szCs w:val="22"/>
          <w:color w:val="auto"/>
        </w:rPr>
      </w:pPr>
    </w:p>
    <w:p>
      <w:pPr>
        <w:jc w:val="both"/>
        <w:ind w:left="-8" w:firstLine="656"/>
        <w:spacing w:after="0" w:line="270" w:lineRule="auto"/>
        <w:tabs>
          <w:tab w:leader="none" w:pos="1076" w:val="left"/>
        </w:tabs>
        <w:numPr>
          <w:ilvl w:val="1"/>
          <w:numId w:val="295"/>
        </w:numPr>
        <w:rPr>
          <w:rFonts w:ascii="Arial" w:cs="Arial" w:eastAsia="Arial" w:hAnsi="Arial"/>
          <w:sz w:val="22"/>
          <w:szCs w:val="22"/>
          <w:color w:val="auto"/>
        </w:rPr>
      </w:pPr>
      <w:r>
        <w:rPr>
          <w:rFonts w:ascii="Arial" w:cs="Arial" w:eastAsia="Arial" w:hAnsi="Arial"/>
          <w:sz w:val="22"/>
          <w:szCs w:val="22"/>
          <w:color w:val="auto"/>
        </w:rPr>
        <w:t>By entering into this Agreement, and as a condition of the grant of this Performance Award, you expressly consent to the collection, use, and transfer of personal data as described in this Section to the full extent permitted by and in full compliance with applicable law.</w:t>
      </w:r>
    </w:p>
    <w:p>
      <w:pPr>
        <w:spacing w:after="0" w:line="91" w:lineRule="exact"/>
        <w:rPr>
          <w:rFonts w:ascii="Arial" w:cs="Arial" w:eastAsia="Arial" w:hAnsi="Arial"/>
          <w:sz w:val="22"/>
          <w:szCs w:val="22"/>
          <w:color w:val="auto"/>
        </w:rPr>
      </w:pPr>
    </w:p>
    <w:p>
      <w:pPr>
        <w:jc w:val="both"/>
        <w:ind w:left="-8" w:firstLine="656"/>
        <w:spacing w:after="0" w:line="263" w:lineRule="auto"/>
        <w:tabs>
          <w:tab w:leader="none" w:pos="1178" w:val="left"/>
        </w:tabs>
        <w:numPr>
          <w:ilvl w:val="1"/>
          <w:numId w:val="295"/>
        </w:numPr>
        <w:rPr>
          <w:rFonts w:ascii="Arial" w:cs="Arial" w:eastAsia="Arial" w:hAnsi="Arial"/>
          <w:sz w:val="22"/>
          <w:szCs w:val="22"/>
          <w:color w:val="auto"/>
        </w:rPr>
      </w:pPr>
      <w:r>
        <w:rPr>
          <w:rFonts w:ascii="Arial" w:cs="Arial" w:eastAsia="Arial" w:hAnsi="Arial"/>
          <w:sz w:val="22"/>
          <w:szCs w:val="22"/>
          <w:color w:val="auto"/>
        </w:rPr>
        <w:t>You understand that your local employer holds, by means of an automated data file, certain personal information about you, including, but not limited to, name, home address and telephone number, date of birth, social insurance number, salary, nationality, job title, any shares or directorships held in the Company, details of all Performance Stock Units or other entitlement to shares awarded, canceled, exercised, vested, unvested, or outstanding in your favor, for the purpose of managing and administering the Plan (“Data”).</w:t>
      </w:r>
    </w:p>
    <w:p>
      <w:pPr>
        <w:spacing w:after="0" w:line="112" w:lineRule="exact"/>
        <w:rPr>
          <w:rFonts w:ascii="Arial" w:cs="Arial" w:eastAsia="Arial" w:hAnsi="Arial"/>
          <w:sz w:val="22"/>
          <w:szCs w:val="22"/>
          <w:color w:val="auto"/>
        </w:rPr>
      </w:pPr>
    </w:p>
    <w:p>
      <w:pPr>
        <w:jc w:val="both"/>
        <w:ind w:left="-8" w:firstLine="656"/>
        <w:spacing w:after="0" w:line="270" w:lineRule="auto"/>
        <w:tabs>
          <w:tab w:leader="none" w:pos="1064" w:val="left"/>
        </w:tabs>
        <w:numPr>
          <w:ilvl w:val="1"/>
          <w:numId w:val="295"/>
        </w:numPr>
        <w:rPr>
          <w:rFonts w:ascii="Arial" w:cs="Arial" w:eastAsia="Arial" w:hAnsi="Arial"/>
          <w:sz w:val="22"/>
          <w:szCs w:val="22"/>
          <w:color w:val="auto"/>
        </w:rPr>
      </w:pPr>
      <w:r>
        <w:rPr>
          <w:rFonts w:ascii="Arial" w:cs="Arial" w:eastAsia="Arial" w:hAnsi="Arial"/>
          <w:sz w:val="22"/>
          <w:szCs w:val="22"/>
          <w:color w:val="auto"/>
        </w:rPr>
        <w:t>You understand that part or all of your Data may be also held by the Company or its Affiliates, pursuant to a transfer made in the past with your consent, in respect of any previous grant of Performance Stock Units or awards, which was made</w:t>
      </w:r>
    </w:p>
    <w:p>
      <w:pPr>
        <w:sectPr>
          <w:pgSz w:w="11900" w:h="16838" w:orient="portrait"/>
          <w:cols w:equalWidth="0" w:num="1">
            <w:col w:w="11232"/>
          </w:cols>
          <w:pgMar w:left="328" w:top="1421" w:right="339" w:bottom="1440" w:gutter="0" w:footer="0" w:header="0"/>
        </w:sectPr>
      </w:pPr>
    </w:p>
    <w:bookmarkStart w:id="184" w:name="page185"/>
    <w:bookmarkEnd w:id="184"/>
    <w:p>
      <w:pPr>
        <w:spacing w:after="0"/>
        <w:rPr>
          <w:sz w:val="20"/>
          <w:szCs w:val="20"/>
          <w:color w:val="auto"/>
        </w:rPr>
      </w:pPr>
      <w:r>
        <w:rPr>
          <w:rFonts w:ascii="Arial" w:cs="Arial" w:eastAsia="Arial" w:hAnsi="Arial"/>
          <w:sz w:val="22"/>
          <w:szCs w:val="22"/>
          <w:color w:val="auto"/>
        </w:rPr>
        <w:t>for the same purposes of managing and administering of previous award/incentive plans, or for other purposes.</w:t>
      </w:r>
    </w:p>
    <w:p>
      <w:pPr>
        <w:spacing w:after="0" w:line="166" w:lineRule="exact"/>
        <w:rPr>
          <w:sz w:val="20"/>
          <w:szCs w:val="20"/>
          <w:color w:val="auto"/>
        </w:rPr>
      </w:pPr>
    </w:p>
    <w:p>
      <w:pPr>
        <w:jc w:val="both"/>
        <w:ind w:firstLine="656"/>
        <w:spacing w:after="0" w:line="263" w:lineRule="auto"/>
        <w:tabs>
          <w:tab w:leader="none" w:pos="1260" w:val="left"/>
        </w:tabs>
        <w:numPr>
          <w:ilvl w:val="1"/>
          <w:numId w:val="296"/>
        </w:numPr>
        <w:rPr>
          <w:rFonts w:ascii="Arial" w:cs="Arial" w:eastAsia="Arial" w:hAnsi="Arial"/>
          <w:sz w:val="22"/>
          <w:szCs w:val="22"/>
          <w:color w:val="auto"/>
        </w:rPr>
      </w:pPr>
      <w:r>
        <w:rPr>
          <w:rFonts w:ascii="Arial" w:cs="Arial" w:eastAsia="Arial" w:hAnsi="Arial"/>
          <w:sz w:val="22"/>
          <w:szCs w:val="22"/>
          <w:color w:val="auto"/>
        </w:rPr>
        <w:t>You understand that your local employer will transfer Data to the Company or its Affiliates among themselves as necessary for the purposes of implementation, administration, and management of your participation in the Plan, and that the Company or its Affiliates may transfer data among themselves, and/or each, in turn, further transfer Data to any third parties assisting the Company in the implementation, administration, and management of the Plan (“Data Recipients”).</w:t>
      </w:r>
    </w:p>
    <w:p>
      <w:pPr>
        <w:spacing w:after="0" w:line="98" w:lineRule="exact"/>
        <w:rPr>
          <w:rFonts w:ascii="Arial" w:cs="Arial" w:eastAsia="Arial" w:hAnsi="Arial"/>
          <w:sz w:val="22"/>
          <w:szCs w:val="22"/>
          <w:color w:val="auto"/>
        </w:rPr>
      </w:pPr>
    </w:p>
    <w:p>
      <w:pPr>
        <w:jc w:val="both"/>
        <w:ind w:firstLine="656"/>
        <w:spacing w:after="0" w:line="261" w:lineRule="auto"/>
        <w:tabs>
          <w:tab w:leader="none" w:pos="1071" w:val="left"/>
        </w:tabs>
        <w:numPr>
          <w:ilvl w:val="1"/>
          <w:numId w:val="296"/>
        </w:numPr>
        <w:rPr>
          <w:rFonts w:ascii="Arial" w:cs="Arial" w:eastAsia="Arial" w:hAnsi="Arial"/>
          <w:sz w:val="22"/>
          <w:szCs w:val="22"/>
          <w:color w:val="auto"/>
        </w:rPr>
      </w:pPr>
      <w:r>
        <w:rPr>
          <w:rFonts w:ascii="Arial" w:cs="Arial" w:eastAsia="Arial" w:hAnsi="Arial"/>
          <w:sz w:val="22"/>
          <w:szCs w:val="22"/>
          <w:color w:val="auto"/>
        </w:rPr>
        <w:t>You understand that the Company or its Affiliates, as well as the Data Recipients, are or may be located in your country of residence or elsewhere, such as the United States. You authorize the Company or its Affiliates, as well as the Data Recipients, to receive, possess, use, retain, and transfer Data in electronic or other form, for the purposes of implementing, administering, and managing your participation in the Plan, including any transfer of such Data, as may be required for the administration of the Plan and/or the subsequent holding of Shares on your behalf, to a broker or third party with whom the Shares may be deposited.</w:t>
      </w:r>
    </w:p>
    <w:p>
      <w:pPr>
        <w:spacing w:after="0" w:line="117" w:lineRule="exact"/>
        <w:rPr>
          <w:rFonts w:ascii="Arial" w:cs="Arial" w:eastAsia="Arial" w:hAnsi="Arial"/>
          <w:sz w:val="22"/>
          <w:szCs w:val="22"/>
          <w:color w:val="auto"/>
        </w:rPr>
      </w:pPr>
    </w:p>
    <w:p>
      <w:pPr>
        <w:jc w:val="both"/>
        <w:ind w:firstLine="656"/>
        <w:spacing w:after="0" w:line="265" w:lineRule="auto"/>
        <w:tabs>
          <w:tab w:leader="none" w:pos="1035" w:val="left"/>
        </w:tabs>
        <w:numPr>
          <w:ilvl w:val="1"/>
          <w:numId w:val="296"/>
        </w:numPr>
        <w:rPr>
          <w:rFonts w:ascii="Arial" w:cs="Arial" w:eastAsia="Arial" w:hAnsi="Arial"/>
          <w:sz w:val="22"/>
          <w:szCs w:val="22"/>
          <w:color w:val="auto"/>
        </w:rPr>
      </w:pPr>
      <w:r>
        <w:rPr>
          <w:rFonts w:ascii="Arial" w:cs="Arial" w:eastAsia="Arial" w:hAnsi="Arial"/>
          <w:sz w:val="22"/>
          <w:szCs w:val="22"/>
          <w:color w:val="auto"/>
        </w:rPr>
        <w:t>You understand that you may show your opposition to the processing and transfer of your Data, and, may at any time, review the Data, request that any necessary amendments be made to it, or withdraw your consent herein in writing by contacting the Company. You understand that withdrawing consent may affect your ability to participate in the Plan.</w:t>
      </w:r>
    </w:p>
    <w:p>
      <w:pPr>
        <w:spacing w:after="0" w:line="111" w:lineRule="exact"/>
        <w:rPr>
          <w:rFonts w:ascii="Arial" w:cs="Arial" w:eastAsia="Arial" w:hAnsi="Arial"/>
          <w:sz w:val="22"/>
          <w:szCs w:val="22"/>
          <w:color w:val="auto"/>
        </w:rPr>
      </w:pPr>
    </w:p>
    <w:p>
      <w:pPr>
        <w:jc w:val="both"/>
        <w:ind w:firstLine="656"/>
        <w:spacing w:after="0" w:line="278" w:lineRule="auto"/>
        <w:tabs>
          <w:tab w:leader="none" w:pos="1094" w:val="left"/>
        </w:tabs>
        <w:numPr>
          <w:ilvl w:val="1"/>
          <w:numId w:val="296"/>
        </w:numPr>
        <w:rPr>
          <w:rFonts w:ascii="Arial" w:cs="Arial" w:eastAsia="Arial" w:hAnsi="Arial"/>
          <w:sz w:val="21"/>
          <w:szCs w:val="21"/>
          <w:color w:val="auto"/>
        </w:rPr>
      </w:pPr>
      <w:r>
        <w:rPr>
          <w:rFonts w:ascii="Arial" w:cs="Arial" w:eastAsia="Arial" w:hAnsi="Arial"/>
          <w:sz w:val="21"/>
          <w:szCs w:val="21"/>
          <w:color w:val="auto"/>
        </w:rPr>
        <w:t>You further understand the Company or the Affiliate(s) for which you act as a director or officer may need your Data to fulfill the applicable statutory requirements or prepare annual financial statements. You hereby consent that the Company or Affiliate(s) may transfer the Data among themselves, and/or each, in turn, further transfer Data to any third parties assisting the Company or the Affiliate(s) in fulfilling the applicable statutory requirements or preparing annual financial statements whether during your employment or after your Termination of Employment.</w:t>
      </w:r>
    </w:p>
    <w:p>
      <w:pPr>
        <w:spacing w:after="0" w:line="84" w:lineRule="exact"/>
        <w:rPr>
          <w:rFonts w:ascii="Arial" w:cs="Arial" w:eastAsia="Arial" w:hAnsi="Arial"/>
          <w:sz w:val="21"/>
          <w:szCs w:val="21"/>
          <w:color w:val="auto"/>
        </w:rPr>
      </w:pPr>
    </w:p>
    <w:p>
      <w:pPr>
        <w:ind w:firstLine="8"/>
        <w:spacing w:after="0" w:line="287" w:lineRule="auto"/>
        <w:tabs>
          <w:tab w:leader="none" w:pos="608" w:val="left"/>
        </w:tabs>
        <w:numPr>
          <w:ilvl w:val="0"/>
          <w:numId w:val="297"/>
        </w:numPr>
        <w:rPr>
          <w:rFonts w:ascii="Arial" w:cs="Arial" w:eastAsia="Arial" w:hAnsi="Arial"/>
          <w:sz w:val="22"/>
          <w:szCs w:val="22"/>
          <w:color w:val="auto"/>
        </w:rPr>
      </w:pPr>
      <w:r>
        <w:rPr>
          <w:rFonts w:ascii="Arial" w:cs="Arial" w:eastAsia="Arial" w:hAnsi="Arial"/>
          <w:sz w:val="22"/>
          <w:szCs w:val="22"/>
          <w:b w:val="1"/>
          <w:bCs w:val="1"/>
          <w:color w:val="auto"/>
        </w:rPr>
        <w:t xml:space="preserve">Discretionary Nature and Acceptance of Performance Award. </w:t>
      </w:r>
      <w:r>
        <w:rPr>
          <w:rFonts w:ascii="Arial" w:cs="Arial" w:eastAsia="Arial" w:hAnsi="Arial"/>
          <w:sz w:val="22"/>
          <w:szCs w:val="22"/>
          <w:color w:val="auto"/>
        </w:rPr>
        <w:t>By accepting this Performance Award, you</w:t>
      </w:r>
      <w:r>
        <w:rPr>
          <w:rFonts w:ascii="Arial" w:cs="Arial" w:eastAsia="Arial" w:hAnsi="Arial"/>
          <w:sz w:val="22"/>
          <w:szCs w:val="22"/>
          <w:b w:val="1"/>
          <w:bCs w:val="1"/>
          <w:color w:val="auto"/>
        </w:rPr>
        <w:t xml:space="preserve"> </w:t>
      </w:r>
      <w:r>
        <w:rPr>
          <w:rFonts w:ascii="Arial" w:cs="Arial" w:eastAsia="Arial" w:hAnsi="Arial"/>
          <w:sz w:val="22"/>
          <w:szCs w:val="22"/>
          <w:color w:val="auto"/>
        </w:rPr>
        <w:t>agree to be bound by the terms of this Agreement and acknowledge that:</w:t>
      </w:r>
    </w:p>
    <w:p>
      <w:pPr>
        <w:spacing w:after="0" w:line="85" w:lineRule="exact"/>
        <w:rPr>
          <w:rFonts w:ascii="Arial" w:cs="Arial" w:eastAsia="Arial" w:hAnsi="Arial"/>
          <w:sz w:val="22"/>
          <w:szCs w:val="22"/>
          <w:color w:val="auto"/>
        </w:rPr>
      </w:pPr>
    </w:p>
    <w:p>
      <w:pPr>
        <w:jc w:val="both"/>
        <w:ind w:firstLine="656"/>
        <w:spacing w:after="0" w:line="270" w:lineRule="auto"/>
        <w:tabs>
          <w:tab w:leader="none" w:pos="1145" w:val="left"/>
        </w:tabs>
        <w:numPr>
          <w:ilvl w:val="1"/>
          <w:numId w:val="297"/>
        </w:numPr>
        <w:rPr>
          <w:rFonts w:ascii="Arial" w:cs="Arial" w:eastAsia="Arial" w:hAnsi="Arial"/>
          <w:sz w:val="22"/>
          <w:szCs w:val="22"/>
          <w:color w:val="auto"/>
        </w:rPr>
      </w:pPr>
      <w:r>
        <w:rPr>
          <w:rFonts w:ascii="Arial" w:cs="Arial" w:eastAsia="Arial" w:hAnsi="Arial"/>
          <w:sz w:val="22"/>
          <w:szCs w:val="22"/>
          <w:color w:val="auto"/>
        </w:rPr>
        <w:t>The Company (and not your local employer) is granting these Performance Stock Units [and Additional Performance Stock Units]. This Agreement is not derived from any preexisting labor relationship between you and the Company, but rather from a mercantile relationship.</w:t>
      </w:r>
    </w:p>
    <w:p>
      <w:pPr>
        <w:spacing w:after="0" w:line="104" w:lineRule="exact"/>
        <w:rPr>
          <w:rFonts w:ascii="Arial" w:cs="Arial" w:eastAsia="Arial" w:hAnsi="Arial"/>
          <w:sz w:val="22"/>
          <w:szCs w:val="22"/>
          <w:color w:val="auto"/>
        </w:rPr>
      </w:pPr>
    </w:p>
    <w:p>
      <w:pPr>
        <w:ind w:firstLine="656"/>
        <w:spacing w:after="0" w:line="285" w:lineRule="auto"/>
        <w:tabs>
          <w:tab w:leader="none" w:pos="1099" w:val="left"/>
        </w:tabs>
        <w:numPr>
          <w:ilvl w:val="1"/>
          <w:numId w:val="297"/>
        </w:numPr>
        <w:rPr>
          <w:rFonts w:ascii="Arial" w:cs="Arial" w:eastAsia="Arial" w:hAnsi="Arial"/>
          <w:sz w:val="22"/>
          <w:szCs w:val="22"/>
          <w:color w:val="auto"/>
        </w:rPr>
      </w:pPr>
      <w:r>
        <w:rPr>
          <w:rFonts w:ascii="Arial" w:cs="Arial" w:eastAsia="Arial" w:hAnsi="Arial"/>
          <w:sz w:val="22"/>
          <w:szCs w:val="22"/>
          <w:color w:val="auto"/>
        </w:rPr>
        <w:t>The Company may administer the Plan from outside your country of residence and United States law will govern all Performance Stock Units [and Additional Performance Stock Units] granted under the Plan.</w:t>
      </w:r>
    </w:p>
    <w:p>
      <w:pPr>
        <w:sectPr>
          <w:pgSz w:w="11900" w:h="16838" w:orient="portrait"/>
          <w:cols w:equalWidth="0" w:num="1">
            <w:col w:w="11240"/>
          </w:cols>
          <w:pgMar w:left="320" w:top="1423" w:right="339" w:bottom="1440" w:gutter="0" w:footer="0" w:header="0"/>
        </w:sectPr>
      </w:pPr>
    </w:p>
    <w:bookmarkStart w:id="185" w:name="page186"/>
    <w:bookmarkEnd w:id="185"/>
    <w:p>
      <w:pPr>
        <w:ind w:left="-8" w:firstLine="656"/>
        <w:spacing w:after="0" w:line="285" w:lineRule="auto"/>
        <w:tabs>
          <w:tab w:leader="none" w:pos="1228" w:val="left"/>
        </w:tabs>
        <w:numPr>
          <w:ilvl w:val="1"/>
          <w:numId w:val="298"/>
        </w:numPr>
        <w:rPr>
          <w:rFonts w:ascii="Arial" w:cs="Arial" w:eastAsia="Arial" w:hAnsi="Arial"/>
          <w:sz w:val="22"/>
          <w:szCs w:val="22"/>
          <w:color w:val="auto"/>
        </w:rPr>
      </w:pPr>
      <w:r>
        <w:rPr>
          <w:rFonts w:ascii="Arial" w:cs="Arial" w:eastAsia="Arial" w:hAnsi="Arial"/>
          <w:sz w:val="22"/>
          <w:szCs w:val="22"/>
          <w:color w:val="auto"/>
        </w:rPr>
        <w:t>Benefits and rights provided under the Plan are wholly discretionary and, although provided by the Company, do not constitute regular or periodic payments.</w:t>
      </w:r>
    </w:p>
    <w:p>
      <w:pPr>
        <w:spacing w:after="0" w:line="87" w:lineRule="exact"/>
        <w:rPr>
          <w:rFonts w:ascii="Arial" w:cs="Arial" w:eastAsia="Arial" w:hAnsi="Arial"/>
          <w:sz w:val="22"/>
          <w:szCs w:val="22"/>
          <w:color w:val="auto"/>
        </w:rPr>
      </w:pPr>
    </w:p>
    <w:p>
      <w:pPr>
        <w:jc w:val="both"/>
        <w:ind w:left="-8" w:firstLine="656"/>
        <w:spacing w:after="0" w:line="260" w:lineRule="auto"/>
        <w:tabs>
          <w:tab w:leader="none" w:pos="1280" w:val="left"/>
        </w:tabs>
        <w:numPr>
          <w:ilvl w:val="1"/>
          <w:numId w:val="298"/>
        </w:numPr>
        <w:rPr>
          <w:rFonts w:ascii="Arial" w:cs="Arial" w:eastAsia="Arial" w:hAnsi="Arial"/>
          <w:sz w:val="22"/>
          <w:szCs w:val="22"/>
          <w:color w:val="auto"/>
        </w:rPr>
      </w:pPr>
      <w:r>
        <w:rPr>
          <w:rFonts w:ascii="Arial" w:cs="Arial" w:eastAsia="Arial" w:hAnsi="Arial"/>
          <w:sz w:val="22"/>
          <w:szCs w:val="22"/>
          <w:color w:val="auto"/>
        </w:rPr>
        <w:t>The benefits and rights provided under the Plan are not to be considered part of your salary or compensation under your employment with your local employer for purposes of calculating any severance, resignation, redundancy or other end of service payments, vacation, bonuses, long-term service awards, indemnification, pension or retirement benefits, or any other payments, benefits or rights of any kind. You waive any and all rights to compensation or damages as a result of the termination of employment with your local employer for any reason whatsoever insofar as those rights result, or may result, from the loss or diminution in value of such rights under the Plan or your ceasing to have any rights under, or ceasing to be entitled to any rights under, the Plan as a result of such termination.</w:t>
      </w:r>
    </w:p>
    <w:p>
      <w:pPr>
        <w:spacing w:after="0" w:line="102" w:lineRule="exact"/>
        <w:rPr>
          <w:rFonts w:ascii="Arial" w:cs="Arial" w:eastAsia="Arial" w:hAnsi="Arial"/>
          <w:sz w:val="22"/>
          <w:szCs w:val="22"/>
          <w:color w:val="auto"/>
        </w:rPr>
      </w:pPr>
    </w:p>
    <w:p>
      <w:pPr>
        <w:jc w:val="both"/>
        <w:ind w:left="-8" w:firstLine="656"/>
        <w:spacing w:after="0" w:line="260" w:lineRule="auto"/>
        <w:tabs>
          <w:tab w:leader="none" w:pos="1176" w:val="left"/>
        </w:tabs>
        <w:numPr>
          <w:ilvl w:val="1"/>
          <w:numId w:val="298"/>
        </w:numPr>
        <w:rPr>
          <w:rFonts w:ascii="Arial" w:cs="Arial" w:eastAsia="Arial" w:hAnsi="Arial"/>
          <w:sz w:val="22"/>
          <w:szCs w:val="22"/>
          <w:color w:val="auto"/>
        </w:rPr>
      </w:pPr>
      <w:r>
        <w:rPr>
          <w:rFonts w:ascii="Arial" w:cs="Arial" w:eastAsia="Arial" w:hAnsi="Arial"/>
          <w:sz w:val="22"/>
          <w:szCs w:val="22"/>
          <w:color w:val="auto"/>
        </w:rPr>
        <w:t>The grant of this Performance Award, and any future grant of Performance Stock Units [or Additional Performance Stock Units] under the Plan, is entirely voluntary, and at the complete discretion of the Company. Neither the grant of the Performance Stock Units[, the Additional Performance Stock Units] nor any future grant by the Company will be deemed to create any obligation to make any future grants, whether or not such a reservation is explicitly stated at the time of such a grant. The Company has the right, at any time and/or on an annual basis, to amend, suspend or terminate the Plan; provided, however, that no such amendment, suspension, or termination will adversely affect your rights hereunder.</w:t>
      </w:r>
    </w:p>
    <w:p>
      <w:pPr>
        <w:spacing w:after="0" w:line="120" w:lineRule="exact"/>
        <w:rPr>
          <w:rFonts w:ascii="Arial" w:cs="Arial" w:eastAsia="Arial" w:hAnsi="Arial"/>
          <w:sz w:val="22"/>
          <w:szCs w:val="22"/>
          <w:color w:val="auto"/>
        </w:rPr>
      </w:pPr>
    </w:p>
    <w:p>
      <w:pPr>
        <w:jc w:val="both"/>
        <w:ind w:left="-8" w:firstLine="656"/>
        <w:spacing w:after="0" w:line="270" w:lineRule="auto"/>
        <w:tabs>
          <w:tab w:leader="none" w:pos="1021" w:val="left"/>
        </w:tabs>
        <w:numPr>
          <w:ilvl w:val="1"/>
          <w:numId w:val="298"/>
        </w:numPr>
        <w:rPr>
          <w:rFonts w:ascii="Arial" w:cs="Arial" w:eastAsia="Arial" w:hAnsi="Arial"/>
          <w:sz w:val="22"/>
          <w:szCs w:val="22"/>
          <w:color w:val="auto"/>
        </w:rPr>
      </w:pPr>
      <w:r>
        <w:rPr>
          <w:rFonts w:ascii="Arial" w:cs="Arial" w:eastAsia="Arial" w:hAnsi="Arial"/>
          <w:sz w:val="22"/>
          <w:szCs w:val="22"/>
          <w:color w:val="auto"/>
        </w:rPr>
        <w:t>The Plan will not be deemed to constitute, and will not be construed by you to constitute, part of the terms and conditions of employment. Neither the Company nor your local employer will incur any liability of any kind to you as a result of any change or amendment, or any cancellation, of the Plan at any time.</w:t>
      </w:r>
    </w:p>
    <w:p>
      <w:pPr>
        <w:spacing w:after="0" w:line="104" w:lineRule="exact"/>
        <w:rPr>
          <w:rFonts w:ascii="Arial" w:cs="Arial" w:eastAsia="Arial" w:hAnsi="Arial"/>
          <w:sz w:val="22"/>
          <w:szCs w:val="22"/>
          <w:color w:val="auto"/>
        </w:rPr>
      </w:pPr>
    </w:p>
    <w:p>
      <w:pPr>
        <w:ind w:left="-8" w:right="20" w:firstLine="656"/>
        <w:spacing w:after="0" w:line="285" w:lineRule="auto"/>
        <w:tabs>
          <w:tab w:leader="none" w:pos="1091" w:val="left"/>
        </w:tabs>
        <w:numPr>
          <w:ilvl w:val="1"/>
          <w:numId w:val="298"/>
        </w:numPr>
        <w:rPr>
          <w:rFonts w:ascii="Arial" w:cs="Arial" w:eastAsia="Arial" w:hAnsi="Arial"/>
          <w:sz w:val="22"/>
          <w:szCs w:val="22"/>
          <w:color w:val="auto"/>
        </w:rPr>
      </w:pPr>
      <w:r>
        <w:rPr>
          <w:rFonts w:ascii="Arial" w:cs="Arial" w:eastAsia="Arial" w:hAnsi="Arial"/>
          <w:sz w:val="22"/>
          <w:szCs w:val="22"/>
          <w:color w:val="auto"/>
        </w:rPr>
        <w:t>Participation in the Plan will not be deemed to constitute, and will not be deemed by you to constitute, an employment or labor relationship of any kind with the Company.</w:t>
      </w:r>
    </w:p>
    <w:p>
      <w:pPr>
        <w:spacing w:after="0" w:line="72" w:lineRule="exact"/>
        <w:rPr>
          <w:rFonts w:ascii="Arial" w:cs="Arial" w:eastAsia="Arial" w:hAnsi="Arial"/>
          <w:sz w:val="22"/>
          <w:szCs w:val="22"/>
          <w:color w:val="auto"/>
        </w:rPr>
      </w:pPr>
    </w:p>
    <w:p>
      <w:pPr>
        <w:jc w:val="both"/>
        <w:ind w:left="-8" w:firstLine="8"/>
        <w:spacing w:after="0" w:line="261" w:lineRule="auto"/>
        <w:tabs>
          <w:tab w:leader="none" w:pos="694" w:val="left"/>
        </w:tabs>
        <w:numPr>
          <w:ilvl w:val="0"/>
          <w:numId w:val="299"/>
        </w:numPr>
        <w:rPr>
          <w:rFonts w:ascii="Arial" w:cs="Arial" w:eastAsia="Arial" w:hAnsi="Arial"/>
          <w:sz w:val="22"/>
          <w:szCs w:val="22"/>
          <w:color w:val="auto"/>
        </w:rPr>
      </w:pPr>
      <w:r>
        <w:rPr>
          <w:rFonts w:ascii="Arial" w:cs="Arial" w:eastAsia="Arial" w:hAnsi="Arial"/>
          <w:sz w:val="22"/>
          <w:szCs w:val="22"/>
          <w:b w:val="1"/>
          <w:bCs w:val="1"/>
          <w:color w:val="auto"/>
        </w:rPr>
        <w:t xml:space="preserve">Limitations. </w:t>
      </w:r>
      <w:r>
        <w:rPr>
          <w:rFonts w:ascii="Arial" w:cs="Arial" w:eastAsia="Arial" w:hAnsi="Arial"/>
          <w:sz w:val="22"/>
          <w:szCs w:val="22"/>
          <w:color w:val="auto"/>
        </w:rPr>
        <w:t>Nothing in this Agreement or the Plan gives you any right to continue in the employ of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or any of its Affiliates or to interfere in any way with the right of the Company or any Affiliate to terminate your employment at any time. Payment of your Performance Stock Units [and Additional Performance Stock Units] is not secured by a trust, insurance contract or other funding medium, and you do not have any interest in any fund or specific asset of the Company by reason of this Performance Award or the account established on your behalf. You have no rights as a shareowner of the Company pursuant to the Performance Stock Units [and Additional Performance Stock Units] until Shares are actually delivered to you.</w:t>
      </w:r>
    </w:p>
    <w:p>
      <w:pPr>
        <w:spacing w:after="0" w:line="112" w:lineRule="exact"/>
        <w:rPr>
          <w:rFonts w:ascii="Arial" w:cs="Arial" w:eastAsia="Arial" w:hAnsi="Arial"/>
          <w:sz w:val="22"/>
          <w:szCs w:val="22"/>
          <w:color w:val="auto"/>
        </w:rPr>
      </w:pPr>
    </w:p>
    <w:p>
      <w:pPr>
        <w:jc w:val="both"/>
        <w:ind w:left="-8" w:firstLine="8"/>
        <w:spacing w:after="0" w:line="271" w:lineRule="auto"/>
        <w:tabs>
          <w:tab w:leader="none" w:pos="721" w:val="left"/>
        </w:tabs>
        <w:numPr>
          <w:ilvl w:val="0"/>
          <w:numId w:val="299"/>
        </w:numPr>
        <w:rPr>
          <w:rFonts w:ascii="Arial" w:cs="Arial" w:eastAsia="Arial" w:hAnsi="Arial"/>
          <w:sz w:val="22"/>
          <w:szCs w:val="22"/>
          <w:color w:val="auto"/>
        </w:rPr>
      </w:pPr>
      <w:r>
        <w:rPr>
          <w:rFonts w:ascii="Arial" w:cs="Arial" w:eastAsia="Arial" w:hAnsi="Arial"/>
          <w:sz w:val="22"/>
          <w:szCs w:val="22"/>
          <w:b w:val="1"/>
          <w:bCs w:val="1"/>
          <w:color w:val="auto"/>
        </w:rPr>
        <w:t xml:space="preserve">Incorporation of Other Agreements. </w:t>
      </w:r>
      <w:r>
        <w:rPr>
          <w:rFonts w:ascii="Arial" w:cs="Arial" w:eastAsia="Arial" w:hAnsi="Arial"/>
          <w:sz w:val="22"/>
          <w:szCs w:val="22"/>
          <w:color w:val="auto"/>
        </w:rPr>
        <w:t>This Agreement and the Plan constitute the entire understanding</w:t>
      </w:r>
      <w:r>
        <w:rPr>
          <w:rFonts w:ascii="Arial" w:cs="Arial" w:eastAsia="Arial" w:hAnsi="Arial"/>
          <w:sz w:val="22"/>
          <w:szCs w:val="22"/>
          <w:b w:val="1"/>
          <w:bCs w:val="1"/>
          <w:color w:val="auto"/>
        </w:rPr>
        <w:t xml:space="preserve"> </w:t>
      </w:r>
      <w:r>
        <w:rPr>
          <w:rFonts w:ascii="Arial" w:cs="Arial" w:eastAsia="Arial" w:hAnsi="Arial"/>
          <w:sz w:val="22"/>
          <w:szCs w:val="22"/>
          <w:color w:val="auto"/>
        </w:rPr>
        <w:t>between you and the Company regarding the Performance Stock Units. This Agreement supersedes any prior agreements, commitments or</w:t>
      </w:r>
    </w:p>
    <w:p>
      <w:pPr>
        <w:sectPr>
          <w:pgSz w:w="11900" w:h="16838" w:orient="portrait"/>
          <w:cols w:equalWidth="0" w:num="1">
            <w:col w:w="11232"/>
          </w:cols>
          <w:pgMar w:left="328" w:top="1423" w:right="339" w:bottom="1440" w:gutter="0" w:footer="0" w:header="0"/>
        </w:sectPr>
      </w:pPr>
    </w:p>
    <w:bookmarkStart w:id="186" w:name="page187"/>
    <w:bookmarkEnd w:id="186"/>
    <w:p>
      <w:pPr>
        <w:spacing w:after="0"/>
        <w:rPr>
          <w:sz w:val="20"/>
          <w:szCs w:val="20"/>
          <w:color w:val="auto"/>
        </w:rPr>
      </w:pPr>
      <w:r>
        <w:rPr>
          <w:rFonts w:ascii="Arial" w:cs="Arial" w:eastAsia="Arial" w:hAnsi="Arial"/>
          <w:sz w:val="22"/>
          <w:szCs w:val="22"/>
          <w:color w:val="auto"/>
        </w:rPr>
        <w:t>negotiations concerning the Performance Stock Units [and Additional Performance Stock Units].</w:t>
      </w:r>
    </w:p>
    <w:p>
      <w:pPr>
        <w:spacing w:after="0" w:line="164" w:lineRule="exact"/>
        <w:rPr>
          <w:sz w:val="20"/>
          <w:szCs w:val="20"/>
          <w:color w:val="auto"/>
        </w:rPr>
      </w:pPr>
    </w:p>
    <w:p>
      <w:pPr>
        <w:jc w:val="both"/>
        <w:ind w:firstLine="8"/>
        <w:spacing w:after="0" w:line="266" w:lineRule="auto"/>
        <w:tabs>
          <w:tab w:leader="none" w:pos="567" w:val="left"/>
        </w:tabs>
        <w:numPr>
          <w:ilvl w:val="0"/>
          <w:numId w:val="300"/>
        </w:numPr>
        <w:rPr>
          <w:rFonts w:ascii="Arial" w:cs="Arial" w:eastAsia="Arial" w:hAnsi="Arial"/>
          <w:sz w:val="22"/>
          <w:szCs w:val="22"/>
          <w:color w:val="auto"/>
        </w:rPr>
      </w:pPr>
      <w:r>
        <w:rPr>
          <w:rFonts w:ascii="Arial" w:cs="Arial" w:eastAsia="Arial" w:hAnsi="Arial"/>
          <w:sz w:val="22"/>
          <w:szCs w:val="22"/>
          <w:b w:val="1"/>
          <w:bCs w:val="1"/>
          <w:color w:val="auto"/>
        </w:rPr>
        <w:t xml:space="preserve">Severability. </w:t>
      </w:r>
      <w:r>
        <w:rPr>
          <w:rFonts w:ascii="Arial" w:cs="Arial" w:eastAsia="Arial" w:hAnsi="Arial"/>
          <w:sz w:val="22"/>
          <w:szCs w:val="22"/>
          <w:color w:val="auto"/>
        </w:rPr>
        <w:t>The invalidity or unenforceability of any provision of this Agreement shall not affect the validity or</w:t>
      </w:r>
      <w:r>
        <w:rPr>
          <w:rFonts w:ascii="Arial" w:cs="Arial" w:eastAsia="Arial" w:hAnsi="Arial"/>
          <w:sz w:val="22"/>
          <w:szCs w:val="22"/>
          <w:b w:val="1"/>
          <w:bCs w:val="1"/>
          <w:color w:val="auto"/>
        </w:rPr>
        <w:t xml:space="preserve"> </w:t>
      </w:r>
      <w:r>
        <w:rPr>
          <w:rFonts w:ascii="Arial" w:cs="Arial" w:eastAsia="Arial" w:hAnsi="Arial"/>
          <w:sz w:val="22"/>
          <w:szCs w:val="22"/>
          <w:color w:val="auto"/>
        </w:rPr>
        <w:t>enforceability of the other provisions of the Agreement, which shall remain in full force and effect. Moreover, if any provision is found to be excessively broad in duration, scope or covered activity, the provision shall be construed so as to be enforceable to the maximum extent compatible with applicable law.</w:t>
      </w:r>
    </w:p>
    <w:p>
      <w:pPr>
        <w:spacing w:after="0" w:line="93" w:lineRule="exact"/>
        <w:rPr>
          <w:rFonts w:ascii="Arial" w:cs="Arial" w:eastAsia="Arial" w:hAnsi="Arial"/>
          <w:sz w:val="22"/>
          <w:szCs w:val="22"/>
          <w:color w:val="auto"/>
        </w:rPr>
      </w:pPr>
    </w:p>
    <w:p>
      <w:pPr>
        <w:jc w:val="both"/>
        <w:ind w:firstLine="8"/>
        <w:spacing w:after="0" w:line="271" w:lineRule="auto"/>
        <w:tabs>
          <w:tab w:leader="none" w:pos="594" w:val="left"/>
        </w:tabs>
        <w:numPr>
          <w:ilvl w:val="0"/>
          <w:numId w:val="300"/>
        </w:numPr>
        <w:rPr>
          <w:rFonts w:ascii="Arial" w:cs="Arial" w:eastAsia="Arial" w:hAnsi="Arial"/>
          <w:sz w:val="22"/>
          <w:szCs w:val="22"/>
          <w:color w:val="auto"/>
        </w:rPr>
      </w:pPr>
      <w:r>
        <w:rPr>
          <w:rFonts w:ascii="Arial" w:cs="Arial" w:eastAsia="Arial" w:hAnsi="Arial"/>
          <w:sz w:val="22"/>
          <w:szCs w:val="22"/>
          <w:b w:val="1"/>
          <w:bCs w:val="1"/>
          <w:color w:val="auto"/>
        </w:rPr>
        <w:t xml:space="preserve">Governing Law. </w:t>
      </w:r>
      <w:r>
        <w:rPr>
          <w:rFonts w:ascii="Arial" w:cs="Arial" w:eastAsia="Arial" w:hAnsi="Arial"/>
          <w:sz w:val="22"/>
          <w:szCs w:val="22"/>
          <w:color w:val="auto"/>
        </w:rPr>
        <w:t>The Plan, this Agreement, and all determinations made and actions taken under the Plan or</w:t>
      </w:r>
      <w:r>
        <w:rPr>
          <w:rFonts w:ascii="Arial" w:cs="Arial" w:eastAsia="Arial" w:hAnsi="Arial"/>
          <w:sz w:val="22"/>
          <w:szCs w:val="22"/>
          <w:b w:val="1"/>
          <w:bCs w:val="1"/>
          <w:color w:val="auto"/>
        </w:rPr>
        <w:t xml:space="preserve"> </w:t>
      </w:r>
      <w:r>
        <w:rPr>
          <w:rFonts w:ascii="Arial" w:cs="Arial" w:eastAsia="Arial" w:hAnsi="Arial"/>
          <w:sz w:val="22"/>
          <w:szCs w:val="22"/>
          <w:color w:val="auto"/>
        </w:rPr>
        <w:t>this Agreement shall be governed by the internal substantive laws, and not the choice of law rules, of the State of Delaware and construed accordingly, to the extent not superseded by applicable federal law.</w:t>
      </w:r>
    </w:p>
    <w:p>
      <w:pPr>
        <w:spacing w:after="0" w:line="101" w:lineRule="exact"/>
        <w:rPr>
          <w:rFonts w:ascii="Arial" w:cs="Arial" w:eastAsia="Arial" w:hAnsi="Arial"/>
          <w:sz w:val="22"/>
          <w:szCs w:val="22"/>
          <w:color w:val="auto"/>
        </w:rPr>
      </w:pPr>
    </w:p>
    <w:p>
      <w:pPr>
        <w:jc w:val="both"/>
        <w:ind w:firstLine="8"/>
        <w:spacing w:after="0" w:line="271" w:lineRule="auto"/>
        <w:tabs>
          <w:tab w:leader="none" w:pos="608" w:val="left"/>
        </w:tabs>
        <w:numPr>
          <w:ilvl w:val="0"/>
          <w:numId w:val="300"/>
        </w:numPr>
        <w:rPr>
          <w:rFonts w:ascii="Arial" w:cs="Arial" w:eastAsia="Arial" w:hAnsi="Arial"/>
          <w:sz w:val="22"/>
          <w:szCs w:val="22"/>
          <w:color w:val="auto"/>
        </w:rPr>
      </w:pPr>
      <w:r>
        <w:rPr>
          <w:rFonts w:ascii="Arial" w:cs="Arial" w:eastAsia="Arial" w:hAnsi="Arial"/>
          <w:sz w:val="22"/>
          <w:szCs w:val="22"/>
          <w:b w:val="1"/>
          <w:bCs w:val="1"/>
          <w:color w:val="auto"/>
        </w:rPr>
        <w:t xml:space="preserve">Agreement Changes. </w:t>
      </w:r>
      <w:r>
        <w:rPr>
          <w:rFonts w:ascii="Arial" w:cs="Arial" w:eastAsia="Arial" w:hAnsi="Arial"/>
          <w:sz w:val="22"/>
          <w:szCs w:val="22"/>
          <w:color w:val="auto"/>
        </w:rPr>
        <w:t>The Company reserves the right to change the terms of this Agreement and the Plan</w:t>
      </w:r>
      <w:r>
        <w:rPr>
          <w:rFonts w:ascii="Arial" w:cs="Arial" w:eastAsia="Arial" w:hAnsi="Arial"/>
          <w:sz w:val="22"/>
          <w:szCs w:val="22"/>
          <w:b w:val="1"/>
          <w:bCs w:val="1"/>
          <w:color w:val="auto"/>
        </w:rPr>
        <w:t xml:space="preserve"> </w:t>
      </w:r>
      <w:r>
        <w:rPr>
          <w:rFonts w:ascii="Arial" w:cs="Arial" w:eastAsia="Arial" w:hAnsi="Arial"/>
          <w:sz w:val="22"/>
          <w:szCs w:val="22"/>
          <w:color w:val="auto"/>
        </w:rPr>
        <w:t>without your consent to the extent necessary or desirable to comply with the requirements of Code section 409A, the Treasury regulations and other guidance thereunder.</w:t>
      </w:r>
    </w:p>
    <w:p>
      <w:pPr>
        <w:spacing w:after="0" w:line="101" w:lineRule="exact"/>
        <w:rPr>
          <w:rFonts w:ascii="Arial" w:cs="Arial" w:eastAsia="Arial" w:hAnsi="Arial"/>
          <w:sz w:val="22"/>
          <w:szCs w:val="22"/>
          <w:color w:val="auto"/>
        </w:rPr>
      </w:pPr>
    </w:p>
    <w:p>
      <w:pPr>
        <w:jc w:val="both"/>
        <w:ind w:firstLine="8"/>
        <w:spacing w:after="0" w:line="262" w:lineRule="auto"/>
        <w:tabs>
          <w:tab w:leader="none" w:pos="675" w:val="left"/>
        </w:tabs>
        <w:numPr>
          <w:ilvl w:val="0"/>
          <w:numId w:val="300"/>
        </w:numPr>
        <w:rPr>
          <w:rFonts w:ascii="Arial" w:cs="Arial" w:eastAsia="Arial" w:hAnsi="Arial"/>
          <w:sz w:val="22"/>
          <w:szCs w:val="22"/>
          <w:color w:val="auto"/>
        </w:rPr>
      </w:pPr>
      <w:r>
        <w:rPr>
          <w:rFonts w:ascii="Arial" w:cs="Arial" w:eastAsia="Arial" w:hAnsi="Arial"/>
          <w:sz w:val="22"/>
          <w:szCs w:val="22"/>
          <w:b w:val="1"/>
          <w:bCs w:val="1"/>
          <w:color w:val="auto"/>
        </w:rPr>
        <w:t xml:space="preserve">Acknowledgements and Acceptance. </w:t>
      </w:r>
      <w:r>
        <w:rPr>
          <w:rFonts w:ascii="Arial" w:cs="Arial" w:eastAsia="Arial" w:hAnsi="Arial"/>
          <w:sz w:val="22"/>
          <w:szCs w:val="22"/>
          <w:color w:val="auto"/>
        </w:rPr>
        <w:t>By signing this Agreement (including via electronic signature), you</w:t>
      </w:r>
      <w:r>
        <w:rPr>
          <w:rFonts w:ascii="Arial" w:cs="Arial" w:eastAsia="Arial" w:hAnsi="Arial"/>
          <w:sz w:val="22"/>
          <w:szCs w:val="22"/>
          <w:b w:val="1"/>
          <w:bCs w:val="1"/>
          <w:color w:val="auto"/>
        </w:rPr>
        <w:t xml:space="preserve"> </w:t>
      </w:r>
      <w:r>
        <w:rPr>
          <w:rFonts w:ascii="Arial" w:cs="Arial" w:eastAsia="Arial" w:hAnsi="Arial"/>
          <w:sz w:val="22"/>
          <w:szCs w:val="22"/>
          <w:color w:val="auto"/>
        </w:rPr>
        <w:t>agree that: (i) you have carefully read, fully understand and agree to all of the terms and conditions described in this Agreement, the Plan, the Plan’s prospectus and all accompanying documentation; and (ii) you understand and agree that this Agreement and the Plan constitute the entire understanding between you and the Company regarding the Performance Award, and that any prior agreements, commitments, or negotiations concerning the Performance Award are replaced and superseded.</w:t>
      </w:r>
    </w:p>
    <w:p>
      <w:pPr>
        <w:spacing w:after="0" w:line="100" w:lineRule="exact"/>
        <w:rPr>
          <w:sz w:val="20"/>
          <w:szCs w:val="20"/>
          <w:color w:val="auto"/>
        </w:rPr>
      </w:pPr>
    </w:p>
    <w:p>
      <w:pPr>
        <w:spacing w:after="0"/>
        <w:rPr>
          <w:sz w:val="20"/>
          <w:szCs w:val="20"/>
          <w:color w:val="auto"/>
        </w:rPr>
      </w:pPr>
      <w:r>
        <w:rPr>
          <w:rFonts w:ascii="Arial" w:cs="Arial" w:eastAsia="Arial" w:hAnsi="Arial"/>
          <w:sz w:val="22"/>
          <w:szCs w:val="22"/>
          <w:color w:val="auto"/>
        </w:rPr>
        <w:t>To retain this Award, you must accept it [through Docusign OR on the Morgan Stanley website].</w:t>
      </w:r>
    </w:p>
    <w:p>
      <w:pPr>
        <w:sectPr>
          <w:pgSz w:w="11900" w:h="16838" w:orient="portrait"/>
          <w:cols w:equalWidth="0" w:num="1">
            <w:col w:w="11240"/>
          </w:cols>
          <w:pgMar w:left="320" w:top="1423" w:right="339" w:bottom="1440" w:gutter="0" w:footer="0" w:header="0"/>
        </w:sectPr>
      </w:pPr>
    </w:p>
    <w:bookmarkStart w:id="187" w:name="page188"/>
    <w:bookmarkEnd w:id="187"/>
    <w:p>
      <w:pPr>
        <w:jc w:val="right"/>
        <w:spacing w:after="0"/>
        <w:rPr>
          <w:sz w:val="20"/>
          <w:szCs w:val="20"/>
          <w:color w:val="auto"/>
        </w:rPr>
      </w:pPr>
      <w:r>
        <w:rPr>
          <w:rFonts w:ascii="Calibri" w:cs="Calibri" w:eastAsia="Calibri" w:hAnsi="Calibri"/>
          <w:sz w:val="22"/>
          <w:szCs w:val="22"/>
          <w:b w:val="1"/>
          <w:bCs w:val="1"/>
          <w:color w:val="auto"/>
        </w:rPr>
        <w:t>EXHIBIT 19</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20" w:type="dxa"/>
        <w:tblCellMar>
          <w:top w:w="0" w:type="dxa"/>
          <w:left w:w="0" w:type="dxa"/>
          <w:bottom w:w="0" w:type="dxa"/>
          <w:right w:w="0" w:type="dxa"/>
        </w:tblCellMar>
      </w:tblPr>
      <w:tr>
        <w:trPr>
          <w:trHeight w:val="269"/>
        </w:trPr>
        <w:tc>
          <w:tcPr>
            <w:tcW w:w="280" w:type="dxa"/>
            <w:vAlign w:val="bottom"/>
          </w:tcPr>
          <w:p>
            <w:pPr>
              <w:spacing w:after="0"/>
              <w:rPr>
                <w:sz w:val="23"/>
                <w:szCs w:val="23"/>
                <w:color w:val="auto"/>
              </w:rPr>
            </w:pPr>
          </w:p>
        </w:tc>
        <w:tc>
          <w:tcPr>
            <w:tcW w:w="9620" w:type="dxa"/>
            <w:vAlign w:val="bottom"/>
          </w:tcPr>
          <w:p>
            <w:pPr>
              <w:jc w:val="center"/>
              <w:ind w:left="938"/>
              <w:spacing w:after="0"/>
              <w:rPr>
                <w:sz w:val="20"/>
                <w:szCs w:val="20"/>
                <w:color w:val="auto"/>
              </w:rPr>
            </w:pPr>
            <w:r>
              <w:rPr>
                <w:rFonts w:ascii="Calibri" w:cs="Calibri" w:eastAsia="Calibri" w:hAnsi="Calibri"/>
                <w:sz w:val="22"/>
                <w:szCs w:val="22"/>
                <w:b w:val="1"/>
                <w:bCs w:val="1"/>
                <w:color w:val="auto"/>
                <w:w w:val="97"/>
              </w:rPr>
              <w:t>HONEYWELL INTERNATIONAL INC.</w:t>
            </w:r>
          </w:p>
        </w:tc>
        <w:tc>
          <w:tcPr>
            <w:tcW w:w="1280" w:type="dxa"/>
            <w:vAlign w:val="bottom"/>
          </w:tcPr>
          <w:p>
            <w:pPr>
              <w:spacing w:after="0"/>
              <w:rPr>
                <w:sz w:val="23"/>
                <w:szCs w:val="23"/>
                <w:color w:val="auto"/>
              </w:rPr>
            </w:pPr>
          </w:p>
        </w:tc>
      </w:tr>
      <w:tr>
        <w:trPr>
          <w:trHeight w:val="499"/>
        </w:trPr>
        <w:tc>
          <w:tcPr>
            <w:tcW w:w="280" w:type="dxa"/>
            <w:vAlign w:val="bottom"/>
          </w:tcPr>
          <w:p>
            <w:pPr>
              <w:spacing w:after="0"/>
              <w:rPr>
                <w:sz w:val="24"/>
                <w:szCs w:val="24"/>
                <w:color w:val="auto"/>
              </w:rPr>
            </w:pPr>
          </w:p>
        </w:tc>
        <w:tc>
          <w:tcPr>
            <w:tcW w:w="9620" w:type="dxa"/>
            <w:vAlign w:val="bottom"/>
          </w:tcPr>
          <w:p>
            <w:pPr>
              <w:jc w:val="center"/>
              <w:ind w:left="918"/>
              <w:spacing w:after="0"/>
              <w:rPr>
                <w:sz w:val="20"/>
                <w:szCs w:val="20"/>
                <w:color w:val="auto"/>
              </w:rPr>
            </w:pPr>
            <w:r>
              <w:rPr>
                <w:rFonts w:ascii="Calibri" w:cs="Calibri" w:eastAsia="Calibri" w:hAnsi="Calibri"/>
                <w:sz w:val="22"/>
                <w:szCs w:val="22"/>
                <w:b w:val="1"/>
                <w:bCs w:val="1"/>
                <w:color w:val="auto"/>
                <w:w w:val="97"/>
              </w:rPr>
              <w:t>INSIDER TRADING POLICY</w:t>
            </w:r>
          </w:p>
        </w:tc>
        <w:tc>
          <w:tcPr>
            <w:tcW w:w="1280" w:type="dxa"/>
            <w:vAlign w:val="bottom"/>
          </w:tcPr>
          <w:p>
            <w:pPr>
              <w:spacing w:after="0"/>
              <w:rPr>
                <w:sz w:val="24"/>
                <w:szCs w:val="24"/>
                <w:color w:val="auto"/>
              </w:rPr>
            </w:pPr>
          </w:p>
        </w:tc>
      </w:tr>
      <w:tr>
        <w:trPr>
          <w:trHeight w:val="498"/>
        </w:trPr>
        <w:tc>
          <w:tcPr>
            <w:tcW w:w="280" w:type="dxa"/>
            <w:vAlign w:val="bottom"/>
          </w:tcPr>
          <w:p>
            <w:pPr>
              <w:spacing w:after="0"/>
              <w:rPr>
                <w:sz w:val="24"/>
                <w:szCs w:val="24"/>
                <w:color w:val="auto"/>
              </w:rPr>
            </w:pPr>
          </w:p>
        </w:tc>
        <w:tc>
          <w:tcPr>
            <w:tcW w:w="9620" w:type="dxa"/>
            <w:vAlign w:val="bottom"/>
          </w:tcPr>
          <w:p>
            <w:pPr>
              <w:jc w:val="center"/>
              <w:ind w:left="938"/>
              <w:spacing w:after="0"/>
              <w:rPr>
                <w:sz w:val="20"/>
                <w:szCs w:val="20"/>
                <w:color w:val="auto"/>
              </w:rPr>
            </w:pPr>
            <w:r>
              <w:rPr>
                <w:rFonts w:ascii="Calibri" w:cs="Calibri" w:eastAsia="Calibri" w:hAnsi="Calibri"/>
                <w:sz w:val="22"/>
                <w:szCs w:val="22"/>
                <w:color w:val="auto"/>
                <w:w w:val="97"/>
              </w:rPr>
              <w:t>Revised July 21, 2023</w:t>
            </w:r>
          </w:p>
        </w:tc>
        <w:tc>
          <w:tcPr>
            <w:tcW w:w="1280" w:type="dxa"/>
            <w:vAlign w:val="bottom"/>
          </w:tcPr>
          <w:p>
            <w:pPr>
              <w:spacing w:after="0"/>
              <w:rPr>
                <w:sz w:val="24"/>
                <w:szCs w:val="24"/>
                <w:color w:val="auto"/>
              </w:rPr>
            </w:pPr>
          </w:p>
        </w:tc>
      </w:tr>
      <w:tr>
        <w:trPr>
          <w:trHeight w:val="563"/>
        </w:trPr>
        <w:tc>
          <w:tcPr>
            <w:tcW w:w="280" w:type="dxa"/>
            <w:vAlign w:val="bottom"/>
          </w:tcPr>
          <w:p>
            <w:pPr>
              <w:spacing w:after="0"/>
              <w:rPr>
                <w:sz w:val="20"/>
                <w:szCs w:val="20"/>
                <w:color w:val="auto"/>
              </w:rPr>
            </w:pPr>
            <w:r>
              <w:rPr>
                <w:rFonts w:ascii="Calibri" w:cs="Calibri" w:eastAsia="Calibri" w:hAnsi="Calibri"/>
                <w:sz w:val="20"/>
                <w:szCs w:val="20"/>
                <w:color w:val="auto"/>
              </w:rPr>
              <w:t>I.</w:t>
            </w:r>
          </w:p>
        </w:tc>
        <w:tc>
          <w:tcPr>
            <w:tcW w:w="9620" w:type="dxa"/>
            <w:vAlign w:val="bottom"/>
          </w:tcPr>
          <w:p>
            <w:pPr>
              <w:ind w:left="20"/>
              <w:spacing w:after="0"/>
              <w:rPr>
                <w:sz w:val="20"/>
                <w:szCs w:val="20"/>
                <w:color w:val="auto"/>
              </w:rPr>
            </w:pPr>
            <w:r>
              <w:rPr>
                <w:rFonts w:ascii="Calibri" w:cs="Calibri" w:eastAsia="Calibri" w:hAnsi="Calibri"/>
                <w:sz w:val="20"/>
                <w:szCs w:val="20"/>
                <w:color w:val="auto"/>
              </w:rPr>
              <w:t>PURPOSE</w:t>
            </w:r>
          </w:p>
        </w:tc>
        <w:tc>
          <w:tcPr>
            <w:tcW w:w="1280" w:type="dxa"/>
            <w:vAlign w:val="bottom"/>
          </w:tcPr>
          <w:p>
            <w:pPr>
              <w:jc w:val="right"/>
              <w:spacing w:after="0"/>
              <w:rPr>
                <w:sz w:val="20"/>
                <w:szCs w:val="20"/>
                <w:color w:val="auto"/>
              </w:rPr>
            </w:pPr>
            <w:r>
              <w:rPr>
                <w:rFonts w:ascii="Calibri" w:cs="Calibri" w:eastAsia="Calibri" w:hAnsi="Calibri"/>
                <w:sz w:val="20"/>
                <w:szCs w:val="20"/>
                <w:color w:val="auto"/>
              </w:rPr>
              <w:t>1</w:t>
            </w:r>
          </w:p>
        </w:tc>
      </w:tr>
      <w:tr>
        <w:trPr>
          <w:trHeight w:val="324"/>
        </w:trPr>
        <w:tc>
          <w:tcPr>
            <w:tcW w:w="280" w:type="dxa"/>
            <w:vAlign w:val="bottom"/>
          </w:tcPr>
          <w:p>
            <w:pPr>
              <w:spacing w:after="0"/>
              <w:rPr>
                <w:sz w:val="20"/>
                <w:szCs w:val="20"/>
                <w:color w:val="auto"/>
              </w:rPr>
            </w:pPr>
            <w:r>
              <w:rPr>
                <w:rFonts w:ascii="Calibri" w:cs="Calibri" w:eastAsia="Calibri" w:hAnsi="Calibri"/>
                <w:sz w:val="20"/>
                <w:szCs w:val="20"/>
                <w:color w:val="auto"/>
              </w:rPr>
              <w:t>II.</w:t>
            </w:r>
          </w:p>
        </w:tc>
        <w:tc>
          <w:tcPr>
            <w:tcW w:w="9620" w:type="dxa"/>
            <w:vAlign w:val="bottom"/>
          </w:tcPr>
          <w:p>
            <w:pPr>
              <w:ind w:left="60"/>
              <w:spacing w:after="0"/>
              <w:rPr>
                <w:sz w:val="20"/>
                <w:szCs w:val="20"/>
                <w:color w:val="auto"/>
              </w:rPr>
            </w:pPr>
            <w:r>
              <w:rPr>
                <w:rFonts w:ascii="Calibri" w:cs="Calibri" w:eastAsia="Calibri" w:hAnsi="Calibri"/>
                <w:sz w:val="20"/>
                <w:szCs w:val="20"/>
                <w:color w:val="auto"/>
              </w:rPr>
              <w:t>SCOPE AND APPLICABILITY</w:t>
            </w:r>
          </w:p>
        </w:tc>
        <w:tc>
          <w:tcPr>
            <w:tcW w:w="1280" w:type="dxa"/>
            <w:vAlign w:val="bottom"/>
          </w:tcPr>
          <w:p>
            <w:pPr>
              <w:jc w:val="right"/>
              <w:spacing w:after="0"/>
              <w:rPr>
                <w:sz w:val="20"/>
                <w:szCs w:val="20"/>
                <w:color w:val="auto"/>
              </w:rPr>
            </w:pPr>
            <w:r>
              <w:rPr>
                <w:rFonts w:ascii="Calibri" w:cs="Calibri" w:eastAsia="Calibri" w:hAnsi="Calibri"/>
                <w:sz w:val="20"/>
                <w:szCs w:val="20"/>
                <w:color w:val="auto"/>
              </w:rPr>
              <w:t>2</w:t>
            </w:r>
          </w:p>
        </w:tc>
      </w:tr>
      <w:tr>
        <w:trPr>
          <w:trHeight w:val="324"/>
        </w:trPr>
        <w:tc>
          <w:tcPr>
            <w:tcW w:w="280" w:type="dxa"/>
            <w:vAlign w:val="bottom"/>
          </w:tcPr>
          <w:p>
            <w:pPr>
              <w:spacing w:after="0"/>
              <w:rPr>
                <w:sz w:val="20"/>
                <w:szCs w:val="20"/>
                <w:color w:val="auto"/>
              </w:rPr>
            </w:pPr>
            <w:r>
              <w:rPr>
                <w:rFonts w:ascii="Calibri" w:cs="Calibri" w:eastAsia="Calibri" w:hAnsi="Calibri"/>
                <w:sz w:val="20"/>
                <w:szCs w:val="20"/>
                <w:color w:val="auto"/>
              </w:rPr>
              <w:t>III.</w:t>
            </w:r>
          </w:p>
        </w:tc>
        <w:tc>
          <w:tcPr>
            <w:tcW w:w="9620" w:type="dxa"/>
            <w:vAlign w:val="bottom"/>
          </w:tcPr>
          <w:p>
            <w:pPr>
              <w:ind w:left="120"/>
              <w:spacing w:after="0"/>
              <w:rPr>
                <w:sz w:val="20"/>
                <w:szCs w:val="20"/>
                <w:color w:val="auto"/>
              </w:rPr>
            </w:pPr>
            <w:r>
              <w:rPr>
                <w:rFonts w:ascii="Calibri" w:cs="Calibri" w:eastAsia="Calibri" w:hAnsi="Calibri"/>
                <w:sz w:val="20"/>
                <w:szCs w:val="20"/>
                <w:color w:val="auto"/>
              </w:rPr>
              <w:t>POLICY</w:t>
            </w:r>
          </w:p>
        </w:tc>
        <w:tc>
          <w:tcPr>
            <w:tcW w:w="1280" w:type="dxa"/>
            <w:vAlign w:val="bottom"/>
          </w:tcPr>
          <w:p>
            <w:pPr>
              <w:jc w:val="right"/>
              <w:spacing w:after="0"/>
              <w:rPr>
                <w:sz w:val="20"/>
                <w:szCs w:val="20"/>
                <w:color w:val="auto"/>
              </w:rPr>
            </w:pPr>
            <w:r>
              <w:rPr>
                <w:rFonts w:ascii="Calibri" w:cs="Calibri" w:eastAsia="Calibri" w:hAnsi="Calibri"/>
                <w:sz w:val="20"/>
                <w:szCs w:val="20"/>
                <w:color w:val="auto"/>
              </w:rPr>
              <w:t>3</w:t>
            </w:r>
          </w:p>
        </w:tc>
      </w:tr>
      <w:tr>
        <w:trPr>
          <w:trHeight w:val="324"/>
        </w:trPr>
        <w:tc>
          <w:tcPr>
            <w:tcW w:w="9900" w:type="dxa"/>
            <w:vAlign w:val="bottom"/>
            <w:gridSpan w:val="2"/>
          </w:tcPr>
          <w:p>
            <w:pPr>
              <w:spacing w:after="0"/>
              <w:rPr>
                <w:sz w:val="20"/>
                <w:szCs w:val="20"/>
                <w:color w:val="auto"/>
              </w:rPr>
            </w:pPr>
            <w:r>
              <w:rPr>
                <w:rFonts w:ascii="Calibri" w:cs="Calibri" w:eastAsia="Calibri" w:hAnsi="Calibri"/>
                <w:sz w:val="20"/>
                <w:szCs w:val="20"/>
                <w:color w:val="auto"/>
              </w:rPr>
              <w:t>Defniton of Insider</w:t>
            </w:r>
          </w:p>
        </w:tc>
        <w:tc>
          <w:tcPr>
            <w:tcW w:w="1280" w:type="dxa"/>
            <w:vAlign w:val="bottom"/>
          </w:tcPr>
          <w:p>
            <w:pPr>
              <w:jc w:val="right"/>
              <w:spacing w:after="0"/>
              <w:rPr>
                <w:sz w:val="20"/>
                <w:szCs w:val="20"/>
                <w:color w:val="auto"/>
              </w:rPr>
            </w:pPr>
            <w:r>
              <w:rPr>
                <w:rFonts w:ascii="Calibri" w:cs="Calibri" w:eastAsia="Calibri" w:hAnsi="Calibri"/>
                <w:sz w:val="20"/>
                <w:szCs w:val="20"/>
                <w:color w:val="auto"/>
              </w:rPr>
              <w:t>3</w:t>
            </w:r>
          </w:p>
        </w:tc>
      </w:tr>
      <w:tr>
        <w:trPr>
          <w:trHeight w:val="324"/>
        </w:trPr>
        <w:tc>
          <w:tcPr>
            <w:tcW w:w="9900" w:type="dxa"/>
            <w:vAlign w:val="bottom"/>
            <w:gridSpan w:val="2"/>
          </w:tcPr>
          <w:p>
            <w:pPr>
              <w:spacing w:after="0"/>
              <w:rPr>
                <w:sz w:val="20"/>
                <w:szCs w:val="20"/>
                <w:color w:val="auto"/>
              </w:rPr>
            </w:pPr>
            <w:r>
              <w:rPr>
                <w:rFonts w:ascii="Calibri" w:cs="Calibri" w:eastAsia="Calibri" w:hAnsi="Calibri"/>
                <w:sz w:val="20"/>
                <w:szCs w:val="20"/>
                <w:color w:val="auto"/>
              </w:rPr>
              <w:t>Defniton of Material Inside Informaton</w:t>
            </w:r>
          </w:p>
        </w:tc>
        <w:tc>
          <w:tcPr>
            <w:tcW w:w="1280" w:type="dxa"/>
            <w:vAlign w:val="bottom"/>
          </w:tcPr>
          <w:p>
            <w:pPr>
              <w:jc w:val="right"/>
              <w:spacing w:after="0"/>
              <w:rPr>
                <w:sz w:val="20"/>
                <w:szCs w:val="20"/>
                <w:color w:val="auto"/>
              </w:rPr>
            </w:pPr>
            <w:r>
              <w:rPr>
                <w:rFonts w:ascii="Calibri" w:cs="Calibri" w:eastAsia="Calibri" w:hAnsi="Calibri"/>
                <w:sz w:val="20"/>
                <w:szCs w:val="20"/>
                <w:color w:val="auto"/>
              </w:rPr>
              <w:t>4</w:t>
            </w:r>
          </w:p>
        </w:tc>
      </w:tr>
      <w:tr>
        <w:trPr>
          <w:trHeight w:val="324"/>
        </w:trPr>
        <w:tc>
          <w:tcPr>
            <w:tcW w:w="280" w:type="dxa"/>
            <w:vAlign w:val="bottom"/>
          </w:tcPr>
          <w:p>
            <w:pPr>
              <w:spacing w:after="0"/>
              <w:rPr>
                <w:sz w:val="20"/>
                <w:szCs w:val="20"/>
                <w:color w:val="auto"/>
              </w:rPr>
            </w:pPr>
            <w:r>
              <w:rPr>
                <w:rFonts w:ascii="Calibri" w:cs="Calibri" w:eastAsia="Calibri" w:hAnsi="Calibri"/>
                <w:sz w:val="20"/>
                <w:szCs w:val="20"/>
                <w:color w:val="auto"/>
              </w:rPr>
              <w:t>IV.</w:t>
            </w:r>
          </w:p>
        </w:tc>
        <w:tc>
          <w:tcPr>
            <w:tcW w:w="9620" w:type="dxa"/>
            <w:vAlign w:val="bottom"/>
          </w:tcPr>
          <w:p>
            <w:pPr>
              <w:ind w:left="100"/>
              <w:spacing w:after="0"/>
              <w:rPr>
                <w:sz w:val="20"/>
                <w:szCs w:val="20"/>
                <w:color w:val="auto"/>
              </w:rPr>
            </w:pPr>
            <w:r>
              <w:rPr>
                <w:rFonts w:ascii="Calibri" w:cs="Calibri" w:eastAsia="Calibri" w:hAnsi="Calibri"/>
                <w:sz w:val="20"/>
                <w:szCs w:val="20"/>
                <w:color w:val="auto"/>
              </w:rPr>
              <w:t>ENGAGING IN SECURITIES TRANSACTIONS BY DIRECTORS, OFFICERS AND OTHER DESIGNATED INSIDERS</w:t>
            </w:r>
          </w:p>
        </w:tc>
        <w:tc>
          <w:tcPr>
            <w:tcW w:w="1280" w:type="dxa"/>
            <w:vAlign w:val="bottom"/>
          </w:tcPr>
          <w:p>
            <w:pPr>
              <w:jc w:val="right"/>
              <w:spacing w:after="0"/>
              <w:rPr>
                <w:sz w:val="20"/>
                <w:szCs w:val="20"/>
                <w:color w:val="auto"/>
              </w:rPr>
            </w:pPr>
            <w:r>
              <w:rPr>
                <w:rFonts w:ascii="Calibri" w:cs="Calibri" w:eastAsia="Calibri" w:hAnsi="Calibri"/>
                <w:sz w:val="20"/>
                <w:szCs w:val="20"/>
                <w:color w:val="auto"/>
              </w:rPr>
              <w:t>6</w:t>
            </w:r>
          </w:p>
        </w:tc>
      </w:tr>
      <w:tr>
        <w:trPr>
          <w:trHeight w:val="324"/>
        </w:trPr>
        <w:tc>
          <w:tcPr>
            <w:tcW w:w="9900" w:type="dxa"/>
            <w:vAlign w:val="bottom"/>
            <w:gridSpan w:val="2"/>
          </w:tcPr>
          <w:p>
            <w:pPr>
              <w:spacing w:after="0"/>
              <w:rPr>
                <w:sz w:val="20"/>
                <w:szCs w:val="20"/>
                <w:color w:val="auto"/>
              </w:rPr>
            </w:pPr>
            <w:r>
              <w:rPr>
                <w:rFonts w:ascii="Calibri" w:cs="Calibri" w:eastAsia="Calibri" w:hAnsi="Calibri"/>
                <w:sz w:val="20"/>
                <w:szCs w:val="20"/>
                <w:color w:val="auto"/>
              </w:rPr>
              <w:t>Window Period</w:t>
            </w:r>
          </w:p>
        </w:tc>
        <w:tc>
          <w:tcPr>
            <w:tcW w:w="1280" w:type="dxa"/>
            <w:vAlign w:val="bottom"/>
          </w:tcPr>
          <w:p>
            <w:pPr>
              <w:jc w:val="right"/>
              <w:spacing w:after="0"/>
              <w:rPr>
                <w:sz w:val="20"/>
                <w:szCs w:val="20"/>
                <w:color w:val="auto"/>
              </w:rPr>
            </w:pPr>
            <w:r>
              <w:rPr>
                <w:rFonts w:ascii="Calibri" w:cs="Calibri" w:eastAsia="Calibri" w:hAnsi="Calibri"/>
                <w:sz w:val="20"/>
                <w:szCs w:val="20"/>
                <w:color w:val="auto"/>
              </w:rPr>
              <w:t>6</w:t>
            </w:r>
          </w:p>
        </w:tc>
      </w:tr>
      <w:tr>
        <w:trPr>
          <w:trHeight w:val="324"/>
        </w:trPr>
        <w:tc>
          <w:tcPr>
            <w:tcW w:w="9900" w:type="dxa"/>
            <w:vAlign w:val="bottom"/>
            <w:gridSpan w:val="2"/>
          </w:tcPr>
          <w:p>
            <w:pPr>
              <w:spacing w:after="0"/>
              <w:rPr>
                <w:sz w:val="20"/>
                <w:szCs w:val="20"/>
                <w:color w:val="auto"/>
              </w:rPr>
            </w:pPr>
            <w:r>
              <w:rPr>
                <w:rFonts w:ascii="Calibri" w:cs="Calibri" w:eastAsia="Calibri" w:hAnsi="Calibri"/>
                <w:sz w:val="20"/>
                <w:szCs w:val="20"/>
                <w:color w:val="auto"/>
              </w:rPr>
              <w:t>Special Blackout Periods</w:t>
            </w:r>
          </w:p>
        </w:tc>
        <w:tc>
          <w:tcPr>
            <w:tcW w:w="1280" w:type="dxa"/>
            <w:vAlign w:val="bottom"/>
          </w:tcPr>
          <w:p>
            <w:pPr>
              <w:jc w:val="right"/>
              <w:spacing w:after="0"/>
              <w:rPr>
                <w:sz w:val="20"/>
                <w:szCs w:val="20"/>
                <w:color w:val="auto"/>
              </w:rPr>
            </w:pPr>
            <w:r>
              <w:rPr>
                <w:rFonts w:ascii="Calibri" w:cs="Calibri" w:eastAsia="Calibri" w:hAnsi="Calibri"/>
                <w:sz w:val="20"/>
                <w:szCs w:val="20"/>
                <w:color w:val="auto"/>
              </w:rPr>
              <w:t>7</w:t>
            </w:r>
          </w:p>
        </w:tc>
      </w:tr>
      <w:tr>
        <w:trPr>
          <w:trHeight w:val="324"/>
        </w:trPr>
        <w:tc>
          <w:tcPr>
            <w:tcW w:w="9900" w:type="dxa"/>
            <w:vAlign w:val="bottom"/>
            <w:gridSpan w:val="2"/>
          </w:tcPr>
          <w:p>
            <w:pPr>
              <w:spacing w:after="0"/>
              <w:rPr>
                <w:sz w:val="20"/>
                <w:szCs w:val="20"/>
                <w:color w:val="auto"/>
              </w:rPr>
            </w:pPr>
            <w:r>
              <w:rPr>
                <w:rFonts w:ascii="Calibri" w:cs="Calibri" w:eastAsia="Calibri" w:hAnsi="Calibri"/>
                <w:sz w:val="20"/>
                <w:szCs w:val="20"/>
                <w:color w:val="auto"/>
              </w:rPr>
              <w:t>Rule 10b5-1 Plans</w:t>
            </w:r>
          </w:p>
        </w:tc>
        <w:tc>
          <w:tcPr>
            <w:tcW w:w="1280" w:type="dxa"/>
            <w:vAlign w:val="bottom"/>
          </w:tcPr>
          <w:p>
            <w:pPr>
              <w:jc w:val="right"/>
              <w:spacing w:after="0"/>
              <w:rPr>
                <w:sz w:val="20"/>
                <w:szCs w:val="20"/>
                <w:color w:val="auto"/>
              </w:rPr>
            </w:pPr>
            <w:r>
              <w:rPr>
                <w:rFonts w:ascii="Calibri" w:cs="Calibri" w:eastAsia="Calibri" w:hAnsi="Calibri"/>
                <w:sz w:val="20"/>
                <w:szCs w:val="20"/>
                <w:color w:val="auto"/>
              </w:rPr>
              <w:t>7</w:t>
            </w:r>
          </w:p>
        </w:tc>
      </w:tr>
      <w:tr>
        <w:trPr>
          <w:trHeight w:val="324"/>
        </w:trPr>
        <w:tc>
          <w:tcPr>
            <w:tcW w:w="9900" w:type="dxa"/>
            <w:vAlign w:val="bottom"/>
            <w:gridSpan w:val="2"/>
          </w:tcPr>
          <w:p>
            <w:pPr>
              <w:spacing w:after="0"/>
              <w:rPr>
                <w:sz w:val="20"/>
                <w:szCs w:val="20"/>
                <w:color w:val="auto"/>
              </w:rPr>
            </w:pPr>
            <w:r>
              <w:rPr>
                <w:rFonts w:ascii="Calibri" w:cs="Calibri" w:eastAsia="Calibri" w:hAnsi="Calibri"/>
                <w:sz w:val="20"/>
                <w:szCs w:val="20"/>
                <w:color w:val="auto"/>
              </w:rPr>
              <w:t>Prior Clearance of Transactons in Company Securites</w:t>
            </w:r>
          </w:p>
        </w:tc>
        <w:tc>
          <w:tcPr>
            <w:tcW w:w="1280" w:type="dxa"/>
            <w:vAlign w:val="bottom"/>
          </w:tcPr>
          <w:p>
            <w:pPr>
              <w:jc w:val="right"/>
              <w:spacing w:after="0"/>
              <w:rPr>
                <w:sz w:val="20"/>
                <w:szCs w:val="20"/>
                <w:color w:val="auto"/>
              </w:rPr>
            </w:pPr>
            <w:r>
              <w:rPr>
                <w:rFonts w:ascii="Calibri" w:cs="Calibri" w:eastAsia="Calibri" w:hAnsi="Calibri"/>
                <w:sz w:val="20"/>
                <w:szCs w:val="20"/>
                <w:color w:val="auto"/>
              </w:rPr>
              <w:t>9</w:t>
            </w:r>
          </w:p>
        </w:tc>
      </w:tr>
      <w:tr>
        <w:trPr>
          <w:trHeight w:val="324"/>
        </w:trPr>
        <w:tc>
          <w:tcPr>
            <w:tcW w:w="9900" w:type="dxa"/>
            <w:vAlign w:val="bottom"/>
            <w:gridSpan w:val="2"/>
          </w:tcPr>
          <w:p>
            <w:pPr>
              <w:spacing w:after="0"/>
              <w:rPr>
                <w:sz w:val="20"/>
                <w:szCs w:val="20"/>
                <w:color w:val="auto"/>
              </w:rPr>
            </w:pPr>
            <w:r>
              <w:rPr>
                <w:rFonts w:ascii="Calibri" w:cs="Calibri" w:eastAsia="Calibri" w:hAnsi="Calibri"/>
                <w:sz w:val="20"/>
                <w:szCs w:val="20"/>
                <w:color w:val="auto"/>
              </w:rPr>
              <w:t>V.  ENGAGING IN SECURITIES TRANSACTIONS BY GENERAL EMPLOYEE POPULATION AND OTHERS</w:t>
            </w:r>
          </w:p>
        </w:tc>
        <w:tc>
          <w:tcPr>
            <w:tcW w:w="1280" w:type="dxa"/>
            <w:vAlign w:val="bottom"/>
          </w:tcPr>
          <w:p>
            <w:pPr>
              <w:jc w:val="right"/>
              <w:spacing w:after="0"/>
              <w:rPr>
                <w:sz w:val="20"/>
                <w:szCs w:val="20"/>
                <w:color w:val="auto"/>
              </w:rPr>
            </w:pPr>
            <w:r>
              <w:rPr>
                <w:rFonts w:ascii="Calibri" w:cs="Calibri" w:eastAsia="Calibri" w:hAnsi="Calibri"/>
                <w:sz w:val="20"/>
                <w:szCs w:val="20"/>
                <w:color w:val="auto"/>
              </w:rPr>
              <w:t>10</w:t>
            </w:r>
          </w:p>
        </w:tc>
      </w:tr>
      <w:tr>
        <w:trPr>
          <w:trHeight w:val="324"/>
        </w:trPr>
        <w:tc>
          <w:tcPr>
            <w:tcW w:w="9900" w:type="dxa"/>
            <w:vAlign w:val="bottom"/>
            <w:gridSpan w:val="2"/>
          </w:tcPr>
          <w:p>
            <w:pPr>
              <w:spacing w:after="0"/>
              <w:rPr>
                <w:sz w:val="20"/>
                <w:szCs w:val="20"/>
                <w:color w:val="auto"/>
              </w:rPr>
            </w:pPr>
            <w:r>
              <w:rPr>
                <w:rFonts w:ascii="Calibri" w:cs="Calibri" w:eastAsia="Calibri" w:hAnsi="Calibri"/>
                <w:sz w:val="20"/>
                <w:szCs w:val="20"/>
                <w:color w:val="auto"/>
              </w:rPr>
              <w:t>Becoming an Insider as to Specifc Material Informaton</w:t>
            </w:r>
          </w:p>
        </w:tc>
        <w:tc>
          <w:tcPr>
            <w:tcW w:w="1280" w:type="dxa"/>
            <w:vAlign w:val="bottom"/>
          </w:tcPr>
          <w:p>
            <w:pPr>
              <w:jc w:val="right"/>
              <w:spacing w:after="0"/>
              <w:rPr>
                <w:sz w:val="20"/>
                <w:szCs w:val="20"/>
                <w:color w:val="auto"/>
              </w:rPr>
            </w:pPr>
            <w:r>
              <w:rPr>
                <w:rFonts w:ascii="Calibri" w:cs="Calibri" w:eastAsia="Calibri" w:hAnsi="Calibri"/>
                <w:sz w:val="20"/>
                <w:szCs w:val="20"/>
                <w:color w:val="auto"/>
              </w:rPr>
              <w:t>10</w:t>
            </w:r>
          </w:p>
        </w:tc>
      </w:tr>
      <w:tr>
        <w:trPr>
          <w:trHeight w:val="324"/>
        </w:trPr>
        <w:tc>
          <w:tcPr>
            <w:tcW w:w="9900" w:type="dxa"/>
            <w:vAlign w:val="bottom"/>
            <w:gridSpan w:val="2"/>
          </w:tcPr>
          <w:p>
            <w:pPr>
              <w:spacing w:after="0"/>
              <w:rPr>
                <w:sz w:val="20"/>
                <w:szCs w:val="20"/>
                <w:color w:val="auto"/>
              </w:rPr>
            </w:pPr>
            <w:r>
              <w:rPr>
                <w:rFonts w:ascii="Calibri" w:cs="Calibri" w:eastAsia="Calibri" w:hAnsi="Calibri"/>
                <w:sz w:val="20"/>
                <w:szCs w:val="20"/>
                <w:color w:val="auto"/>
              </w:rPr>
              <w:t>Hedging and Speculatve Transactons</w:t>
            </w:r>
          </w:p>
        </w:tc>
        <w:tc>
          <w:tcPr>
            <w:tcW w:w="1280" w:type="dxa"/>
            <w:vAlign w:val="bottom"/>
          </w:tcPr>
          <w:p>
            <w:pPr>
              <w:jc w:val="right"/>
              <w:spacing w:after="0"/>
              <w:rPr>
                <w:sz w:val="20"/>
                <w:szCs w:val="20"/>
                <w:color w:val="auto"/>
              </w:rPr>
            </w:pPr>
            <w:r>
              <w:rPr>
                <w:rFonts w:ascii="Calibri" w:cs="Calibri" w:eastAsia="Calibri" w:hAnsi="Calibri"/>
                <w:sz w:val="20"/>
                <w:szCs w:val="20"/>
                <w:color w:val="auto"/>
              </w:rPr>
              <w:t>11</w:t>
            </w:r>
          </w:p>
        </w:tc>
      </w:tr>
      <w:tr>
        <w:trPr>
          <w:trHeight w:val="324"/>
        </w:trPr>
        <w:tc>
          <w:tcPr>
            <w:tcW w:w="9900" w:type="dxa"/>
            <w:vAlign w:val="bottom"/>
            <w:gridSpan w:val="2"/>
          </w:tcPr>
          <w:p>
            <w:pPr>
              <w:spacing w:after="0"/>
              <w:rPr>
                <w:sz w:val="20"/>
                <w:szCs w:val="20"/>
                <w:color w:val="auto"/>
              </w:rPr>
            </w:pPr>
            <w:r>
              <w:rPr>
                <w:rFonts w:ascii="Calibri" w:cs="Calibri" w:eastAsia="Calibri" w:hAnsi="Calibri"/>
                <w:sz w:val="20"/>
                <w:szCs w:val="20"/>
                <w:color w:val="auto"/>
              </w:rPr>
              <w:t>Pledging and Margin Accounts</w:t>
            </w:r>
          </w:p>
        </w:tc>
        <w:tc>
          <w:tcPr>
            <w:tcW w:w="1280" w:type="dxa"/>
            <w:vAlign w:val="bottom"/>
          </w:tcPr>
          <w:p>
            <w:pPr>
              <w:jc w:val="right"/>
              <w:spacing w:after="0"/>
              <w:rPr>
                <w:sz w:val="20"/>
                <w:szCs w:val="20"/>
                <w:color w:val="auto"/>
              </w:rPr>
            </w:pPr>
            <w:r>
              <w:rPr>
                <w:rFonts w:ascii="Calibri" w:cs="Calibri" w:eastAsia="Calibri" w:hAnsi="Calibri"/>
                <w:sz w:val="20"/>
                <w:szCs w:val="20"/>
                <w:color w:val="auto"/>
              </w:rPr>
              <w:t>12</w:t>
            </w:r>
          </w:p>
        </w:tc>
      </w:tr>
      <w:tr>
        <w:trPr>
          <w:trHeight w:val="324"/>
        </w:trPr>
        <w:tc>
          <w:tcPr>
            <w:tcW w:w="9900" w:type="dxa"/>
            <w:vAlign w:val="bottom"/>
            <w:gridSpan w:val="2"/>
          </w:tcPr>
          <w:p>
            <w:pPr>
              <w:spacing w:after="0"/>
              <w:rPr>
                <w:sz w:val="20"/>
                <w:szCs w:val="20"/>
                <w:color w:val="auto"/>
              </w:rPr>
            </w:pPr>
            <w:r>
              <w:rPr>
                <w:rFonts w:ascii="Calibri" w:cs="Calibri" w:eastAsia="Calibri" w:hAnsi="Calibri"/>
                <w:sz w:val="20"/>
                <w:szCs w:val="20"/>
                <w:color w:val="auto"/>
              </w:rPr>
              <w:t>Post-Terminaton Transactons</w:t>
            </w:r>
          </w:p>
        </w:tc>
        <w:tc>
          <w:tcPr>
            <w:tcW w:w="1280" w:type="dxa"/>
            <w:vAlign w:val="bottom"/>
          </w:tcPr>
          <w:p>
            <w:pPr>
              <w:jc w:val="right"/>
              <w:spacing w:after="0"/>
              <w:rPr>
                <w:sz w:val="20"/>
                <w:szCs w:val="20"/>
                <w:color w:val="auto"/>
              </w:rPr>
            </w:pPr>
            <w:r>
              <w:rPr>
                <w:rFonts w:ascii="Calibri" w:cs="Calibri" w:eastAsia="Calibri" w:hAnsi="Calibri"/>
                <w:sz w:val="20"/>
                <w:szCs w:val="20"/>
                <w:color w:val="auto"/>
              </w:rPr>
              <w:t>12</w:t>
            </w:r>
          </w:p>
        </w:tc>
      </w:tr>
      <w:tr>
        <w:trPr>
          <w:trHeight w:val="324"/>
        </w:trPr>
        <w:tc>
          <w:tcPr>
            <w:tcW w:w="9900" w:type="dxa"/>
            <w:vAlign w:val="bottom"/>
            <w:gridSpan w:val="2"/>
          </w:tcPr>
          <w:p>
            <w:pPr>
              <w:spacing w:after="0"/>
              <w:rPr>
                <w:sz w:val="20"/>
                <w:szCs w:val="20"/>
                <w:color w:val="auto"/>
              </w:rPr>
            </w:pPr>
            <w:r>
              <w:rPr>
                <w:rFonts w:ascii="Calibri" w:cs="Calibri" w:eastAsia="Calibri" w:hAnsi="Calibri"/>
                <w:sz w:val="20"/>
                <w:szCs w:val="20"/>
                <w:color w:val="auto"/>
              </w:rPr>
              <w:t>Other Special Prohibitons</w:t>
            </w:r>
          </w:p>
        </w:tc>
        <w:tc>
          <w:tcPr>
            <w:tcW w:w="1280" w:type="dxa"/>
            <w:vAlign w:val="bottom"/>
          </w:tcPr>
          <w:p>
            <w:pPr>
              <w:jc w:val="right"/>
              <w:spacing w:after="0"/>
              <w:rPr>
                <w:sz w:val="20"/>
                <w:szCs w:val="20"/>
                <w:color w:val="auto"/>
              </w:rPr>
            </w:pPr>
            <w:r>
              <w:rPr>
                <w:rFonts w:ascii="Calibri" w:cs="Calibri" w:eastAsia="Calibri" w:hAnsi="Calibri"/>
                <w:sz w:val="20"/>
                <w:szCs w:val="20"/>
                <w:color w:val="auto"/>
              </w:rPr>
              <w:t>12</w:t>
            </w:r>
          </w:p>
        </w:tc>
      </w:tr>
      <w:tr>
        <w:trPr>
          <w:trHeight w:val="324"/>
        </w:trPr>
        <w:tc>
          <w:tcPr>
            <w:tcW w:w="280" w:type="dxa"/>
            <w:vAlign w:val="bottom"/>
          </w:tcPr>
          <w:p>
            <w:pPr>
              <w:spacing w:after="0"/>
              <w:rPr>
                <w:sz w:val="20"/>
                <w:szCs w:val="20"/>
                <w:color w:val="auto"/>
              </w:rPr>
            </w:pPr>
            <w:r>
              <w:rPr>
                <w:rFonts w:ascii="Calibri" w:cs="Calibri" w:eastAsia="Calibri" w:hAnsi="Calibri"/>
                <w:sz w:val="20"/>
                <w:szCs w:val="20"/>
                <w:color w:val="auto"/>
              </w:rPr>
              <w:t>VI.</w:t>
            </w:r>
          </w:p>
        </w:tc>
        <w:tc>
          <w:tcPr>
            <w:tcW w:w="9620" w:type="dxa"/>
            <w:vAlign w:val="bottom"/>
          </w:tcPr>
          <w:p>
            <w:pPr>
              <w:ind w:left="120"/>
              <w:spacing w:after="0"/>
              <w:rPr>
                <w:sz w:val="20"/>
                <w:szCs w:val="20"/>
                <w:color w:val="auto"/>
              </w:rPr>
            </w:pPr>
            <w:r>
              <w:rPr>
                <w:rFonts w:ascii="Calibri" w:cs="Calibri" w:eastAsia="Calibri" w:hAnsi="Calibri"/>
                <w:sz w:val="20"/>
                <w:szCs w:val="20"/>
                <w:color w:val="auto"/>
              </w:rPr>
              <w:t>ADMINISTRATION OF THE POLICY</w:t>
            </w:r>
          </w:p>
        </w:tc>
        <w:tc>
          <w:tcPr>
            <w:tcW w:w="1280" w:type="dxa"/>
            <w:vAlign w:val="bottom"/>
          </w:tcPr>
          <w:p>
            <w:pPr>
              <w:jc w:val="right"/>
              <w:spacing w:after="0"/>
              <w:rPr>
                <w:sz w:val="20"/>
                <w:szCs w:val="20"/>
                <w:color w:val="auto"/>
              </w:rPr>
            </w:pPr>
            <w:r>
              <w:rPr>
                <w:rFonts w:ascii="Calibri" w:cs="Calibri" w:eastAsia="Calibri" w:hAnsi="Calibri"/>
                <w:sz w:val="20"/>
                <w:szCs w:val="20"/>
                <w:color w:val="auto"/>
              </w:rPr>
              <w:t>13</w:t>
            </w:r>
          </w:p>
        </w:tc>
      </w:tr>
      <w:tr>
        <w:trPr>
          <w:trHeight w:val="324"/>
        </w:trPr>
        <w:tc>
          <w:tcPr>
            <w:tcW w:w="9900" w:type="dxa"/>
            <w:vAlign w:val="bottom"/>
            <w:gridSpan w:val="2"/>
          </w:tcPr>
          <w:p>
            <w:pPr>
              <w:spacing w:after="0"/>
              <w:rPr>
                <w:sz w:val="20"/>
                <w:szCs w:val="20"/>
                <w:color w:val="auto"/>
              </w:rPr>
            </w:pPr>
            <w:r>
              <w:rPr>
                <w:rFonts w:ascii="Calibri" w:cs="Calibri" w:eastAsia="Calibri" w:hAnsi="Calibri"/>
                <w:sz w:val="20"/>
                <w:szCs w:val="20"/>
                <w:color w:val="auto"/>
              </w:rPr>
              <w:t>Roles and Responsibilites</w:t>
            </w:r>
          </w:p>
        </w:tc>
        <w:tc>
          <w:tcPr>
            <w:tcW w:w="1280" w:type="dxa"/>
            <w:vAlign w:val="bottom"/>
          </w:tcPr>
          <w:p>
            <w:pPr>
              <w:jc w:val="right"/>
              <w:spacing w:after="0"/>
              <w:rPr>
                <w:sz w:val="20"/>
                <w:szCs w:val="20"/>
                <w:color w:val="auto"/>
              </w:rPr>
            </w:pPr>
            <w:r>
              <w:rPr>
                <w:rFonts w:ascii="Calibri" w:cs="Calibri" w:eastAsia="Calibri" w:hAnsi="Calibri"/>
                <w:sz w:val="20"/>
                <w:szCs w:val="20"/>
                <w:color w:val="auto"/>
              </w:rPr>
              <w:t>13</w:t>
            </w:r>
          </w:p>
        </w:tc>
      </w:tr>
      <w:tr>
        <w:trPr>
          <w:trHeight w:val="324"/>
        </w:trPr>
        <w:tc>
          <w:tcPr>
            <w:tcW w:w="9900" w:type="dxa"/>
            <w:vAlign w:val="bottom"/>
            <w:gridSpan w:val="2"/>
          </w:tcPr>
          <w:p>
            <w:pPr>
              <w:spacing w:after="0"/>
              <w:rPr>
                <w:sz w:val="20"/>
                <w:szCs w:val="20"/>
                <w:color w:val="auto"/>
              </w:rPr>
            </w:pPr>
            <w:r>
              <w:rPr>
                <w:rFonts w:ascii="Calibri" w:cs="Calibri" w:eastAsia="Calibri" w:hAnsi="Calibri"/>
                <w:sz w:val="20"/>
                <w:szCs w:val="20"/>
                <w:color w:val="auto"/>
              </w:rPr>
              <w:t>Acknowledgement</w:t>
            </w:r>
          </w:p>
        </w:tc>
        <w:tc>
          <w:tcPr>
            <w:tcW w:w="1280" w:type="dxa"/>
            <w:vAlign w:val="bottom"/>
          </w:tcPr>
          <w:p>
            <w:pPr>
              <w:jc w:val="right"/>
              <w:spacing w:after="0"/>
              <w:rPr>
                <w:sz w:val="20"/>
                <w:szCs w:val="20"/>
                <w:color w:val="auto"/>
              </w:rPr>
            </w:pPr>
            <w:r>
              <w:rPr>
                <w:rFonts w:ascii="Calibri" w:cs="Calibri" w:eastAsia="Calibri" w:hAnsi="Calibri"/>
                <w:sz w:val="20"/>
                <w:szCs w:val="20"/>
                <w:color w:val="auto"/>
              </w:rPr>
              <w:t>13</w:t>
            </w:r>
          </w:p>
        </w:tc>
      </w:tr>
      <w:tr>
        <w:trPr>
          <w:trHeight w:val="324"/>
        </w:trPr>
        <w:tc>
          <w:tcPr>
            <w:tcW w:w="280" w:type="dxa"/>
            <w:vAlign w:val="bottom"/>
          </w:tcPr>
          <w:p>
            <w:pPr>
              <w:spacing w:after="0"/>
              <w:rPr>
                <w:sz w:val="20"/>
                <w:szCs w:val="20"/>
                <w:color w:val="auto"/>
              </w:rPr>
            </w:pPr>
            <w:r>
              <w:rPr>
                <w:rFonts w:ascii="Calibri" w:cs="Calibri" w:eastAsia="Calibri" w:hAnsi="Calibri"/>
                <w:sz w:val="20"/>
                <w:szCs w:val="20"/>
                <w:color w:val="auto"/>
                <w:w w:val="98"/>
              </w:rPr>
              <w:t>VII.</w:t>
            </w:r>
          </w:p>
        </w:tc>
        <w:tc>
          <w:tcPr>
            <w:tcW w:w="9620" w:type="dxa"/>
            <w:vAlign w:val="bottom"/>
          </w:tcPr>
          <w:p>
            <w:pPr>
              <w:ind w:left="180"/>
              <w:spacing w:after="0"/>
              <w:rPr>
                <w:sz w:val="20"/>
                <w:szCs w:val="20"/>
                <w:color w:val="auto"/>
              </w:rPr>
            </w:pPr>
            <w:r>
              <w:rPr>
                <w:rFonts w:ascii="Calibri" w:cs="Calibri" w:eastAsia="Calibri" w:hAnsi="Calibri"/>
                <w:sz w:val="20"/>
                <w:szCs w:val="20"/>
                <w:color w:val="auto"/>
              </w:rPr>
              <w:t>INFORMATION AND RESOURCES</w:t>
            </w:r>
          </w:p>
        </w:tc>
        <w:tc>
          <w:tcPr>
            <w:tcW w:w="1280" w:type="dxa"/>
            <w:vAlign w:val="bottom"/>
          </w:tcPr>
          <w:p>
            <w:pPr>
              <w:jc w:val="right"/>
              <w:spacing w:after="0"/>
              <w:rPr>
                <w:sz w:val="20"/>
                <w:szCs w:val="20"/>
                <w:color w:val="auto"/>
              </w:rPr>
            </w:pPr>
            <w:r>
              <w:rPr>
                <w:rFonts w:ascii="Calibri" w:cs="Calibri" w:eastAsia="Calibri" w:hAnsi="Calibri"/>
                <w:sz w:val="20"/>
                <w:szCs w:val="20"/>
                <w:color w:val="auto"/>
              </w:rPr>
              <w:t>13</w:t>
            </w:r>
          </w:p>
        </w:tc>
      </w:tr>
      <w:tr>
        <w:trPr>
          <w:trHeight w:val="324"/>
        </w:trPr>
        <w:tc>
          <w:tcPr>
            <w:tcW w:w="9900" w:type="dxa"/>
            <w:vAlign w:val="bottom"/>
            <w:gridSpan w:val="2"/>
          </w:tcPr>
          <w:p>
            <w:pPr>
              <w:spacing w:after="0"/>
              <w:rPr>
                <w:sz w:val="20"/>
                <w:szCs w:val="20"/>
                <w:color w:val="auto"/>
              </w:rPr>
            </w:pPr>
            <w:r>
              <w:rPr>
                <w:rFonts w:ascii="Calibri" w:cs="Calibri" w:eastAsia="Calibri" w:hAnsi="Calibri"/>
                <w:sz w:val="20"/>
                <w:szCs w:val="20"/>
                <w:color w:val="auto"/>
              </w:rPr>
              <w:t>Inquiries</w:t>
            </w:r>
          </w:p>
        </w:tc>
        <w:tc>
          <w:tcPr>
            <w:tcW w:w="1280" w:type="dxa"/>
            <w:vAlign w:val="bottom"/>
          </w:tcPr>
          <w:p>
            <w:pPr>
              <w:jc w:val="right"/>
              <w:spacing w:after="0"/>
              <w:rPr>
                <w:sz w:val="20"/>
                <w:szCs w:val="20"/>
                <w:color w:val="auto"/>
              </w:rPr>
            </w:pPr>
            <w:r>
              <w:rPr>
                <w:rFonts w:ascii="Calibri" w:cs="Calibri" w:eastAsia="Calibri" w:hAnsi="Calibri"/>
                <w:sz w:val="20"/>
                <w:szCs w:val="20"/>
                <w:color w:val="auto"/>
              </w:rPr>
              <w:t>13</w:t>
            </w:r>
          </w:p>
        </w:tc>
      </w:tr>
      <w:tr>
        <w:trPr>
          <w:trHeight w:val="324"/>
        </w:trPr>
        <w:tc>
          <w:tcPr>
            <w:tcW w:w="9900" w:type="dxa"/>
            <w:vAlign w:val="bottom"/>
            <w:gridSpan w:val="2"/>
          </w:tcPr>
          <w:p>
            <w:pPr>
              <w:spacing w:after="0"/>
              <w:rPr>
                <w:sz w:val="20"/>
                <w:szCs w:val="20"/>
                <w:color w:val="auto"/>
              </w:rPr>
            </w:pPr>
            <w:r>
              <w:rPr>
                <w:rFonts w:ascii="Calibri" w:cs="Calibri" w:eastAsia="Calibri" w:hAnsi="Calibri"/>
                <w:sz w:val="20"/>
                <w:szCs w:val="20"/>
                <w:color w:val="auto"/>
              </w:rPr>
              <w:t>Reportng Concerns</w:t>
            </w:r>
          </w:p>
        </w:tc>
        <w:tc>
          <w:tcPr>
            <w:tcW w:w="1280" w:type="dxa"/>
            <w:vAlign w:val="bottom"/>
          </w:tcPr>
          <w:p>
            <w:pPr>
              <w:jc w:val="right"/>
              <w:spacing w:after="0"/>
              <w:rPr>
                <w:sz w:val="20"/>
                <w:szCs w:val="20"/>
                <w:color w:val="auto"/>
              </w:rPr>
            </w:pPr>
            <w:r>
              <w:rPr>
                <w:rFonts w:ascii="Calibri" w:cs="Calibri" w:eastAsia="Calibri" w:hAnsi="Calibri"/>
                <w:sz w:val="20"/>
                <w:szCs w:val="20"/>
                <w:color w:val="auto"/>
              </w:rPr>
              <w:t>14</w:t>
            </w:r>
          </w:p>
        </w:tc>
      </w:tr>
      <w:tr>
        <w:trPr>
          <w:trHeight w:val="324"/>
        </w:trPr>
        <w:tc>
          <w:tcPr>
            <w:tcW w:w="9900" w:type="dxa"/>
            <w:vAlign w:val="bottom"/>
            <w:gridSpan w:val="2"/>
          </w:tcPr>
          <w:p>
            <w:pPr>
              <w:spacing w:after="0"/>
              <w:rPr>
                <w:sz w:val="20"/>
                <w:szCs w:val="20"/>
                <w:color w:val="auto"/>
              </w:rPr>
            </w:pPr>
            <w:r>
              <w:rPr>
                <w:rFonts w:ascii="Calibri" w:cs="Calibri" w:eastAsia="Calibri" w:hAnsi="Calibri"/>
                <w:sz w:val="20"/>
                <w:szCs w:val="20"/>
                <w:color w:val="auto"/>
              </w:rPr>
              <w:t>ATTACHMENT A</w:t>
            </w:r>
          </w:p>
        </w:tc>
        <w:tc>
          <w:tcPr>
            <w:tcW w:w="1280" w:type="dxa"/>
            <w:vAlign w:val="bottom"/>
          </w:tcPr>
          <w:p>
            <w:pPr>
              <w:jc w:val="right"/>
              <w:spacing w:after="0"/>
              <w:rPr>
                <w:sz w:val="20"/>
                <w:szCs w:val="20"/>
                <w:color w:val="auto"/>
              </w:rPr>
            </w:pPr>
            <w:r>
              <w:rPr>
                <w:rFonts w:ascii="Calibri" w:cs="Calibri" w:eastAsia="Calibri" w:hAnsi="Calibri"/>
                <w:sz w:val="20"/>
                <w:szCs w:val="20"/>
                <w:color w:val="auto"/>
              </w:rPr>
              <w:t>15</w:t>
            </w:r>
          </w:p>
        </w:tc>
      </w:tr>
      <w:tr>
        <w:trPr>
          <w:trHeight w:val="324"/>
        </w:trPr>
        <w:tc>
          <w:tcPr>
            <w:tcW w:w="9900" w:type="dxa"/>
            <w:vAlign w:val="bottom"/>
            <w:gridSpan w:val="2"/>
          </w:tcPr>
          <w:p>
            <w:pPr>
              <w:spacing w:after="0"/>
              <w:rPr>
                <w:sz w:val="20"/>
                <w:szCs w:val="20"/>
                <w:color w:val="auto"/>
              </w:rPr>
            </w:pPr>
            <w:r>
              <w:rPr>
                <w:rFonts w:ascii="Calibri" w:cs="Calibri" w:eastAsia="Calibri" w:hAnsi="Calibri"/>
                <w:sz w:val="20"/>
                <w:szCs w:val="20"/>
                <w:color w:val="auto"/>
              </w:rPr>
              <w:t>ATTACHMENT B</w:t>
            </w:r>
          </w:p>
        </w:tc>
        <w:tc>
          <w:tcPr>
            <w:tcW w:w="1280" w:type="dxa"/>
            <w:vAlign w:val="bottom"/>
          </w:tcPr>
          <w:p>
            <w:pPr>
              <w:jc w:val="right"/>
              <w:spacing w:after="0"/>
              <w:rPr>
                <w:sz w:val="20"/>
                <w:szCs w:val="20"/>
                <w:color w:val="auto"/>
              </w:rPr>
            </w:pPr>
            <w:r>
              <w:rPr>
                <w:rFonts w:ascii="Calibri" w:cs="Calibri" w:eastAsia="Calibri" w:hAnsi="Calibri"/>
                <w:sz w:val="20"/>
                <w:szCs w:val="20"/>
                <w:color w:val="auto"/>
              </w:rPr>
              <w:t>16</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60" w:hanging="652"/>
        <w:spacing w:after="0"/>
        <w:tabs>
          <w:tab w:leader="none" w:pos="660" w:val="left"/>
        </w:tabs>
        <w:numPr>
          <w:ilvl w:val="0"/>
          <w:numId w:val="301"/>
        </w:numPr>
        <w:rPr>
          <w:rFonts w:ascii="Arial" w:cs="Arial" w:eastAsia="Arial" w:hAnsi="Arial"/>
          <w:sz w:val="22"/>
          <w:szCs w:val="22"/>
          <w:b w:val="1"/>
          <w:bCs w:val="1"/>
          <w:color w:val="auto"/>
        </w:rPr>
      </w:pPr>
      <w:r>
        <w:rPr>
          <w:rFonts w:ascii="Arial" w:cs="Arial" w:eastAsia="Arial" w:hAnsi="Arial"/>
          <w:sz w:val="22"/>
          <w:szCs w:val="22"/>
          <w:b w:val="1"/>
          <w:bCs w:val="1"/>
          <w:color w:val="auto"/>
        </w:rPr>
        <w:t>PURPOSE</w:t>
      </w:r>
    </w:p>
    <w:p>
      <w:pPr>
        <w:spacing w:after="0" w:line="262"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22"/>
          <w:szCs w:val="22"/>
          <w:color w:val="auto"/>
        </w:rPr>
        <w:t>It is the responsibility of each director, officer and employee of Honeywell International Inc., its operating units, direct and indirect subsidiaries, and joint ventures where it has a controlling interest (the “Company” or “Honeywell”) and any other person designated as subject to this Insider Trading Policy (this “Policy”) who has access to material, nonpublic information about the Company (“insiders”) to comply with the letter and spirit of the securities laws as they apply to transactions in the Company’s securities.</w:t>
      </w:r>
    </w:p>
    <w:p>
      <w:pPr>
        <w:sectPr>
          <w:pgSz w:w="11900" w:h="16838" w:orient="portrait"/>
          <w:cols w:equalWidth="0" w:num="1">
            <w:col w:w="11240"/>
          </w:cols>
          <w:pgMar w:left="320" w:top="34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40"/>
          </w:cols>
          <w:pgMar w:left="320" w:top="344" w:right="339" w:bottom="1440" w:gutter="0" w:footer="0" w:header="0"/>
          <w:type w:val="continuous"/>
        </w:sectPr>
      </w:pPr>
    </w:p>
    <w:bookmarkStart w:id="188" w:name="page189"/>
    <w:bookmarkEnd w:id="188"/>
    <w:p>
      <w:pPr>
        <w:jc w:val="both"/>
        <w:ind w:firstLine="486"/>
        <w:spacing w:after="0" w:line="239" w:lineRule="auto"/>
        <w:rPr>
          <w:sz w:val="20"/>
          <w:szCs w:val="20"/>
          <w:color w:val="auto"/>
        </w:rPr>
      </w:pPr>
      <w:r>
        <w:rPr>
          <w:rFonts w:ascii="Arial" w:cs="Arial" w:eastAsia="Arial" w:hAnsi="Arial"/>
          <w:sz w:val="22"/>
          <w:szCs w:val="22"/>
          <w:color w:val="auto"/>
        </w:rPr>
        <w:t>Engaging in transactions in the Company’s securities</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on the basis of material nonpublic information is prohibited, as is transmitting such information to any other person (a “tippee”) who may engage in transactions based on the information or assist anyone in such an activity. Accordingly, any such transaction by an insider, and the transmission of material non-public information to others who do not have a legitimate business reason to know, are prohibited and may result in disciplinary action, up to and including termination of employment, as well as the imposition of civil and criminal sanctions.</w:t>
      </w:r>
    </w:p>
    <w:p>
      <w:pPr>
        <w:spacing w:after="0" w:line="222" w:lineRule="exact"/>
        <w:rPr>
          <w:sz w:val="20"/>
          <w:szCs w:val="20"/>
          <w:color w:val="auto"/>
        </w:rPr>
      </w:pPr>
    </w:p>
    <w:p>
      <w:pPr>
        <w:jc w:val="both"/>
        <w:ind w:firstLine="486"/>
        <w:spacing w:after="0" w:line="249" w:lineRule="auto"/>
        <w:rPr>
          <w:sz w:val="20"/>
          <w:szCs w:val="20"/>
          <w:color w:val="auto"/>
        </w:rPr>
      </w:pPr>
      <w:r>
        <w:rPr>
          <w:rFonts w:ascii="Arial" w:cs="Arial" w:eastAsia="Arial" w:hAnsi="Arial"/>
          <w:sz w:val="22"/>
          <w:szCs w:val="22"/>
          <w:color w:val="auto"/>
        </w:rPr>
        <w:t>It is also unlawful to engage in transactions in the securities of a third-party company while being aware of material nonpublic information about that company. For example, a Honeywell employee with nonpublic information about a potential acquisition by the Company should treat that information as confidential and not engage in transactions in the securities of the acquisition candidate or transmit that information to others who may engage in such transactions. It is the policy of the Company that no director, officer or other employee of the Company (or any other person designated as subject to this Policy) who, in the course of working for the Company, learns of material nonpublic information about a company (1) with which the Company does business, such as the Company’s distributors, vendors, customers and suppliers, or (2) that is involved in a potential transaction or business relationship with Company, may engage in transactions in that company’s securities until the information becomes public or is no longer material.</w:t>
      </w:r>
    </w:p>
    <w:p>
      <w:pPr>
        <w:spacing w:after="0" w:line="210" w:lineRule="exact"/>
        <w:rPr>
          <w:sz w:val="20"/>
          <w:szCs w:val="20"/>
          <w:color w:val="auto"/>
        </w:rPr>
      </w:pPr>
    </w:p>
    <w:p>
      <w:pPr>
        <w:ind w:right="500" w:firstLine="486"/>
        <w:spacing w:after="0" w:line="272" w:lineRule="auto"/>
        <w:rPr>
          <w:sz w:val="20"/>
          <w:szCs w:val="20"/>
          <w:color w:val="auto"/>
        </w:rPr>
      </w:pPr>
      <w:r>
        <w:rPr>
          <w:rFonts w:ascii="Arial" w:cs="Arial" w:eastAsia="Arial" w:hAnsi="Arial"/>
          <w:sz w:val="22"/>
          <w:szCs w:val="22"/>
          <w:color w:val="auto"/>
        </w:rPr>
        <w:t>It is the responsibility of each director, officer and employee of the Company to avoid trading on the basis of material nonpublic information whether expressly covered by this policy or not.</w:t>
      </w:r>
    </w:p>
    <w:p>
      <w:pPr>
        <w:spacing w:after="0" w:line="200" w:lineRule="exact"/>
        <w:rPr>
          <w:sz w:val="20"/>
          <w:szCs w:val="20"/>
          <w:color w:val="auto"/>
        </w:rPr>
      </w:pPr>
    </w:p>
    <w:p>
      <w:pPr>
        <w:spacing w:after="0" w:line="210" w:lineRule="exact"/>
        <w:rPr>
          <w:sz w:val="20"/>
          <w:szCs w:val="20"/>
          <w:color w:val="auto"/>
        </w:rPr>
      </w:pPr>
    </w:p>
    <w:p>
      <w:pPr>
        <w:ind w:left="640" w:hanging="632"/>
        <w:spacing w:after="0"/>
        <w:tabs>
          <w:tab w:leader="none" w:pos="640" w:val="left"/>
        </w:tabs>
        <w:numPr>
          <w:ilvl w:val="0"/>
          <w:numId w:val="302"/>
        </w:numPr>
        <w:rPr>
          <w:rFonts w:ascii="Arial" w:cs="Arial" w:eastAsia="Arial" w:hAnsi="Arial"/>
          <w:sz w:val="22"/>
          <w:szCs w:val="22"/>
          <w:b w:val="1"/>
          <w:bCs w:val="1"/>
          <w:color w:val="auto"/>
        </w:rPr>
      </w:pPr>
      <w:r>
        <w:rPr>
          <w:rFonts w:ascii="Arial" w:cs="Arial" w:eastAsia="Arial" w:hAnsi="Arial"/>
          <w:sz w:val="22"/>
          <w:szCs w:val="22"/>
          <w:b w:val="1"/>
          <w:bCs w:val="1"/>
          <w:color w:val="auto"/>
        </w:rPr>
        <w:t>SCOPE AND APPLICABILITY</w:t>
      </w: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LOCATION(S): All</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color w:val="auto"/>
        </w:rPr>
        <w:t>BUSINESS UNIT(S): All</w:t>
      </w:r>
    </w:p>
    <w:p>
      <w:pPr>
        <w:spacing w:after="0" w:line="98" w:lineRule="exact"/>
        <w:rPr>
          <w:sz w:val="20"/>
          <w:szCs w:val="20"/>
          <w:color w:val="auto"/>
        </w:rPr>
      </w:pPr>
    </w:p>
    <w:p>
      <w:pPr>
        <w:jc w:val="both"/>
        <w:spacing w:after="0" w:line="264" w:lineRule="auto"/>
        <w:rPr>
          <w:sz w:val="20"/>
          <w:szCs w:val="20"/>
          <w:color w:val="auto"/>
        </w:rPr>
      </w:pPr>
      <w:r>
        <w:rPr>
          <w:rFonts w:ascii="Arial" w:cs="Arial" w:eastAsia="Arial" w:hAnsi="Arial"/>
          <w:sz w:val="22"/>
          <w:szCs w:val="22"/>
          <w:color w:val="auto"/>
        </w:rPr>
        <w:t>DISTINCTIONS: All employees of Honeywell International Inc., its operating units, direct and indirect subsidiaries and joint ventures where Honeywell has a controlling interest and any other person designated as subject to this Insider Trading Policy who has access to material, nonpublic information about Honeywell</w:t>
      </w:r>
      <w:r>
        <w:rPr>
          <w:rFonts w:ascii="Arial" w:cs="Arial" w:eastAsia="Arial" w:hAnsi="Arial"/>
          <w:sz w:val="22"/>
          <w:szCs w:val="22"/>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558165</wp:posOffset>
            </wp:positionV>
            <wp:extent cx="226314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60">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both"/>
        <w:ind w:firstLine="8"/>
        <w:spacing w:after="0"/>
        <w:tabs>
          <w:tab w:leader="none" w:pos="103" w:val="left"/>
        </w:tabs>
        <w:numPr>
          <w:ilvl w:val="0"/>
          <w:numId w:val="303"/>
        </w:numPr>
        <w:rPr>
          <w:rFonts w:ascii="Arial" w:cs="Arial" w:eastAsia="Arial" w:hAnsi="Arial"/>
          <w:sz w:val="19"/>
          <w:szCs w:val="19"/>
          <w:color w:val="auto"/>
          <w:vertAlign w:val="superscript"/>
        </w:rPr>
      </w:pPr>
      <w:r>
        <w:rPr>
          <w:rFonts w:ascii="Arial" w:cs="Arial" w:eastAsia="Arial" w:hAnsi="Arial"/>
          <w:sz w:val="14"/>
          <w:szCs w:val="14"/>
          <w:color w:val="auto"/>
        </w:rPr>
        <w:t>As used herein, “securities” of the Company include generally any stock (including restricted stock), debt, options or other derivative securities issued by the Company. For purposes of this Policy, debt securities (for example, revenue bonds) issued by others to finance facilities of the Company and for the payment of which the Company is responsible, and debt securities issued by subsidiaries of the Company and for which the Company has guaranteed payment, are also deemed securities of the Company.</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416" w:right="339" w:bottom="1440" w:gutter="0" w:footer="0" w:header="0"/>
        </w:sectPr>
      </w:pPr>
    </w:p>
    <w:bookmarkStart w:id="189" w:name="page190"/>
    <w:bookmarkEnd w:id="189"/>
    <w:p>
      <w:pPr>
        <w:spacing w:after="0" w:line="211" w:lineRule="exact"/>
        <w:rPr>
          <w:sz w:val="20"/>
          <w:szCs w:val="20"/>
          <w:color w:val="auto"/>
        </w:rPr>
      </w:pPr>
    </w:p>
    <w:p>
      <w:pPr>
        <w:ind w:right="9200" w:firstLine="8"/>
        <w:spacing w:after="0" w:line="510" w:lineRule="auto"/>
        <w:tabs>
          <w:tab w:leader="none" w:pos="645" w:val="left"/>
        </w:tabs>
        <w:numPr>
          <w:ilvl w:val="0"/>
          <w:numId w:val="304"/>
        </w:numPr>
        <w:rPr>
          <w:rFonts w:ascii="Arial" w:cs="Arial" w:eastAsia="Arial" w:hAnsi="Arial"/>
          <w:sz w:val="21"/>
          <w:szCs w:val="21"/>
          <w:b w:val="1"/>
          <w:bCs w:val="1"/>
          <w:color w:val="auto"/>
        </w:rPr>
      </w:pPr>
      <w:r>
        <w:rPr>
          <w:rFonts w:ascii="Arial" w:cs="Arial" w:eastAsia="Arial" w:hAnsi="Arial"/>
          <w:sz w:val="21"/>
          <w:szCs w:val="21"/>
          <w:b w:val="1"/>
          <w:bCs w:val="1"/>
          <w:color w:val="auto"/>
        </w:rPr>
        <w:t>POLICY Definition of Insider</w:t>
      </w:r>
    </w:p>
    <w:p>
      <w:pPr>
        <w:spacing w:after="0" w:line="2" w:lineRule="exact"/>
        <w:rPr>
          <w:sz w:val="20"/>
          <w:szCs w:val="20"/>
          <w:color w:val="auto"/>
        </w:rPr>
      </w:pPr>
    </w:p>
    <w:p>
      <w:pPr>
        <w:jc w:val="both"/>
        <w:ind w:firstLine="486"/>
        <w:spacing w:after="0" w:line="249" w:lineRule="auto"/>
        <w:rPr>
          <w:sz w:val="20"/>
          <w:szCs w:val="20"/>
          <w:color w:val="auto"/>
        </w:rPr>
      </w:pPr>
      <w:r>
        <w:rPr>
          <w:rFonts w:ascii="Arial" w:cs="Arial" w:eastAsia="Arial" w:hAnsi="Arial"/>
          <w:sz w:val="22"/>
          <w:szCs w:val="22"/>
          <w:color w:val="auto"/>
        </w:rPr>
        <w:t>For purposes of this Policy, an “insider” is any person who has access to material inside information that is not generally available to the public. Certain individuals, because of their positions with the Company, are deemed to be “Designated Insiders.” All directors, individuals designated as an “officer” by the Board of Directors (each an “Officer”), and other employees identified by the Corporate Secretary due to their involvement in certain financial forecasting or other activities that routinely provide access to material inside information shall be considered “Designated Insiders”. Outside advisers (e.g., lawyers, bankers, accountants, and consultants) and any person to whom such information is disclosed while it is still inside information (including former directors, Officers and other key employees), as well as members of the immediate families of all insiders, may also be deemed to be insiders.</w:t>
      </w:r>
    </w:p>
    <w:p>
      <w:pPr>
        <w:spacing w:after="0" w:line="207" w:lineRule="exact"/>
        <w:rPr>
          <w:sz w:val="20"/>
          <w:szCs w:val="20"/>
          <w:color w:val="auto"/>
        </w:rPr>
      </w:pPr>
    </w:p>
    <w:p>
      <w:pPr>
        <w:jc w:val="both"/>
        <w:ind w:firstLine="486"/>
        <w:spacing w:after="0" w:line="249" w:lineRule="auto"/>
        <w:rPr>
          <w:sz w:val="20"/>
          <w:szCs w:val="20"/>
          <w:color w:val="auto"/>
        </w:rPr>
      </w:pPr>
      <w:r>
        <w:rPr>
          <w:rFonts w:ascii="Arial" w:cs="Arial" w:eastAsia="Arial" w:hAnsi="Arial"/>
          <w:sz w:val="22"/>
          <w:szCs w:val="22"/>
          <w:b w:val="1"/>
          <w:bCs w:val="1"/>
          <w:color w:val="auto"/>
        </w:rPr>
        <w:t>Transactions by Family Members and Others</w:t>
      </w:r>
      <w:r>
        <w:rPr>
          <w:rFonts w:ascii="Arial" w:cs="Arial" w:eastAsia="Arial" w:hAnsi="Arial"/>
          <w:sz w:val="22"/>
          <w:szCs w:val="22"/>
          <w:color w:val="auto"/>
        </w:rPr>
        <w:t>. This Policy applies to the family members who reside with an</w:t>
      </w:r>
      <w:r>
        <w:rPr>
          <w:rFonts w:ascii="Arial" w:cs="Arial" w:eastAsia="Arial" w:hAnsi="Arial"/>
          <w:sz w:val="22"/>
          <w:szCs w:val="22"/>
          <w:b w:val="1"/>
          <w:bCs w:val="1"/>
          <w:color w:val="auto"/>
        </w:rPr>
        <w:t xml:space="preserve"> </w:t>
      </w:r>
      <w:r>
        <w:rPr>
          <w:rFonts w:ascii="Arial" w:cs="Arial" w:eastAsia="Arial" w:hAnsi="Arial"/>
          <w:sz w:val="22"/>
          <w:szCs w:val="22"/>
          <w:color w:val="auto"/>
        </w:rPr>
        <w:t>insider (including a spouse, a child, a child away at college, stepchildren, grandchildren, parents, stepparents, grandparents, siblings and in-laws), anyone else who lives in the insider’s household, and any family members who do not live in the insider’s household but whose transactions in the Company’s securities are directed by the insider or are subject to the insider’s influence or control, such as parents or children who consult with the insider before they engage in transactions in the Company’s securities (collectively referred to as “family members”). Insiders are responsible for the transactions of these other persons and should treat all such transactions for the purposes of this Policy and applicable securities laws as if the transactions were for the insider’s own account. This Policy does not, however, apply to personal securities transactions of family members where the purchase or sale decision is made by a third party not controlled by, influenced by or related to the insider or the insider’s family members.</w:t>
      </w:r>
    </w:p>
    <w:p>
      <w:pPr>
        <w:spacing w:after="0" w:line="210"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22"/>
          <w:szCs w:val="22"/>
          <w:b w:val="1"/>
          <w:bCs w:val="1"/>
          <w:color w:val="auto"/>
        </w:rPr>
        <w:t>Transactions by Entities that an Insider Influences or Controls</w:t>
      </w:r>
      <w:r>
        <w:rPr>
          <w:rFonts w:ascii="Arial" w:cs="Arial" w:eastAsia="Arial" w:hAnsi="Arial"/>
          <w:sz w:val="22"/>
          <w:szCs w:val="22"/>
          <w:color w:val="auto"/>
        </w:rPr>
        <w:t>. This Policy applies to any entities that an</w:t>
      </w:r>
      <w:r>
        <w:rPr>
          <w:rFonts w:ascii="Arial" w:cs="Arial" w:eastAsia="Arial" w:hAnsi="Arial"/>
          <w:sz w:val="22"/>
          <w:szCs w:val="22"/>
          <w:b w:val="1"/>
          <w:bCs w:val="1"/>
          <w:color w:val="auto"/>
        </w:rPr>
        <w:t xml:space="preserve"> </w:t>
      </w:r>
      <w:r>
        <w:rPr>
          <w:rFonts w:ascii="Arial" w:cs="Arial" w:eastAsia="Arial" w:hAnsi="Arial"/>
          <w:sz w:val="22"/>
          <w:szCs w:val="22"/>
          <w:color w:val="auto"/>
        </w:rPr>
        <w:t>insider influences or controls, including any corporations, partnerships or trusts (at times collectively referred to in this Policy as “controlled entities”), and transactions by these controlled entities should be treated for the purposes of this Policy and applicable securities laws as if they were for the insider’s own account.</w:t>
      </w:r>
    </w:p>
    <w:p>
      <w:pPr>
        <w:spacing w:after="0" w:line="218"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22"/>
          <w:szCs w:val="22"/>
          <w:color w:val="auto"/>
        </w:rPr>
        <w:t>Designated Insiders are subject to trading blackouts and pre-clearance requirements, and Designated Insiders who are directors or Executive Officers are also subject to reporting requirements as described below. For purposes of this Policy, the term “Executive Officers” includes Officers designated by the Board of Directors as Regulation S-K, Item 401(b) executive officers (pursuant to Rule 3b-7 of the Securities Exchange Act of 1934, as amended (the “Exchange Act”)) as well as the Chief Accounting Officer.</w:t>
      </w:r>
      <w:r>
        <w:rPr>
          <w:rFonts w:ascii="Arial" w:cs="Arial" w:eastAsia="Arial" w:hAnsi="Arial"/>
          <w:sz w:val="28"/>
          <w:szCs w:val="28"/>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226314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61">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93" w:lineRule="exact"/>
        <w:rPr>
          <w:sz w:val="20"/>
          <w:szCs w:val="20"/>
          <w:color w:val="auto"/>
        </w:rPr>
      </w:pPr>
    </w:p>
    <w:p>
      <w:pPr>
        <w:ind w:left="120" w:hanging="112"/>
        <w:spacing w:after="0"/>
        <w:tabs>
          <w:tab w:leader="none" w:pos="120" w:val="left"/>
        </w:tabs>
        <w:numPr>
          <w:ilvl w:val="0"/>
          <w:numId w:val="305"/>
        </w:numPr>
        <w:rPr>
          <w:rFonts w:ascii="Arial" w:cs="Arial" w:eastAsia="Arial" w:hAnsi="Arial"/>
          <w:sz w:val="23"/>
          <w:szCs w:val="23"/>
          <w:color w:val="auto"/>
          <w:vertAlign w:val="superscript"/>
        </w:rPr>
      </w:pPr>
      <w:r>
        <w:rPr>
          <w:rFonts w:ascii="Arial" w:cs="Arial" w:eastAsia="Arial" w:hAnsi="Arial"/>
          <w:sz w:val="14"/>
          <w:szCs w:val="14"/>
          <w:color w:val="auto"/>
        </w:rPr>
        <w:t>Unless otherwise specified in a Current Report on Form 8-K, Honeywell’s Chief Accounting Officer is the Vice President and Corporate Controller.</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1440" w:right="339" w:bottom="1440" w:gutter="0" w:footer="0" w:header="0"/>
        </w:sectPr>
      </w:pPr>
    </w:p>
    <w:bookmarkStart w:id="190" w:name="page191"/>
    <w:bookmarkEnd w:id="190"/>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Definition of Material Inside Information</w:t>
      </w:r>
    </w:p>
    <w:p>
      <w:pPr>
        <w:spacing w:after="0" w:line="262"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22"/>
          <w:szCs w:val="22"/>
          <w:color w:val="auto"/>
        </w:rPr>
        <w:t>Inside information includes any information relating to the Company which has not been generally disclosed to the public and is not generally known to the investment community and those trading in the securities of the Company.</w:t>
      </w:r>
    </w:p>
    <w:p>
      <w:pPr>
        <w:spacing w:after="0" w:line="191"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22"/>
          <w:szCs w:val="22"/>
          <w:color w:val="auto"/>
        </w:rPr>
        <w:t>The trading and tipping prohibitions apply to “material” inside information, which includes any information a reasonable investor is likely to consider important in determining whether to buy, sell or hold the Company's (or other) securities. Material inside information may arise in connection with the following events, for example, depending upon their importance:</w:t>
      </w:r>
    </w:p>
    <w:p>
      <w:pPr>
        <w:spacing w:after="0" w:line="216" w:lineRule="exact"/>
        <w:rPr>
          <w:sz w:val="20"/>
          <w:szCs w:val="20"/>
          <w:color w:val="auto"/>
        </w:rPr>
      </w:pPr>
    </w:p>
    <w:p>
      <w:pPr>
        <w:ind w:left="640" w:hanging="308"/>
        <w:spacing w:after="0"/>
        <w:tabs>
          <w:tab w:leader="none" w:pos="640" w:val="left"/>
        </w:tabs>
        <w:numPr>
          <w:ilvl w:val="0"/>
          <w:numId w:val="306"/>
        </w:numPr>
        <w:rPr>
          <w:rFonts w:ascii="Times New Roman" w:cs="Times New Roman" w:eastAsia="Times New Roman" w:hAnsi="Times New Roman"/>
          <w:sz w:val="20"/>
          <w:szCs w:val="20"/>
          <w:color w:val="auto"/>
        </w:rPr>
      </w:pPr>
      <w:r>
        <w:rPr>
          <w:rFonts w:ascii="Arial" w:cs="Arial" w:eastAsia="Arial" w:hAnsi="Arial"/>
          <w:sz w:val="22"/>
          <w:szCs w:val="22"/>
          <w:color w:val="auto"/>
        </w:rPr>
        <w:t>Preparation of financial results or guidance;</w:t>
      </w:r>
    </w:p>
    <w:p>
      <w:pPr>
        <w:spacing w:after="0" w:line="219"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06"/>
        </w:numPr>
        <w:rPr>
          <w:rFonts w:ascii="Times New Roman" w:cs="Times New Roman" w:eastAsia="Times New Roman" w:hAnsi="Times New Roman"/>
          <w:sz w:val="20"/>
          <w:szCs w:val="20"/>
          <w:color w:val="auto"/>
        </w:rPr>
      </w:pPr>
      <w:r>
        <w:rPr>
          <w:rFonts w:ascii="Arial" w:cs="Arial" w:eastAsia="Arial" w:hAnsi="Arial"/>
          <w:sz w:val="22"/>
          <w:szCs w:val="22"/>
          <w:color w:val="auto"/>
        </w:rPr>
        <w:t>Omission of a dividend or change in dividend rate;</w:t>
      </w:r>
    </w:p>
    <w:p>
      <w:pPr>
        <w:spacing w:after="0" w:line="233"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06"/>
        </w:numPr>
        <w:rPr>
          <w:rFonts w:ascii="Times New Roman" w:cs="Times New Roman" w:eastAsia="Times New Roman" w:hAnsi="Times New Roman"/>
          <w:sz w:val="20"/>
          <w:szCs w:val="20"/>
          <w:color w:val="auto"/>
        </w:rPr>
      </w:pPr>
      <w:r>
        <w:rPr>
          <w:rFonts w:ascii="Arial" w:cs="Arial" w:eastAsia="Arial" w:hAnsi="Arial"/>
          <w:sz w:val="22"/>
          <w:szCs w:val="22"/>
          <w:color w:val="auto"/>
        </w:rPr>
        <w:t>Change in earnings of the Company as a whole, or of one or more business segments;</w:t>
      </w:r>
    </w:p>
    <w:p>
      <w:pPr>
        <w:spacing w:after="0" w:line="219" w:lineRule="exact"/>
        <w:rPr>
          <w:rFonts w:ascii="Times New Roman" w:cs="Times New Roman" w:eastAsia="Times New Roman" w:hAnsi="Times New Roman"/>
          <w:sz w:val="20"/>
          <w:szCs w:val="20"/>
          <w:color w:val="auto"/>
        </w:rPr>
      </w:pPr>
    </w:p>
    <w:p>
      <w:pPr>
        <w:ind w:left="660" w:hanging="328"/>
        <w:spacing w:after="0" w:line="285" w:lineRule="auto"/>
        <w:tabs>
          <w:tab w:leader="none" w:pos="648" w:val="left"/>
        </w:tabs>
        <w:numPr>
          <w:ilvl w:val="0"/>
          <w:numId w:val="306"/>
        </w:numPr>
        <w:rPr>
          <w:rFonts w:ascii="Times New Roman" w:cs="Times New Roman" w:eastAsia="Times New Roman" w:hAnsi="Times New Roman"/>
          <w:sz w:val="20"/>
          <w:szCs w:val="20"/>
          <w:color w:val="auto"/>
        </w:rPr>
      </w:pPr>
      <w:r>
        <w:rPr>
          <w:rFonts w:ascii="Arial" w:cs="Arial" w:eastAsia="Arial" w:hAnsi="Arial"/>
          <w:sz w:val="22"/>
          <w:szCs w:val="22"/>
          <w:color w:val="auto"/>
        </w:rPr>
        <w:t>Change in operations, such as interruption or curtailment at a major production facility or significant changes in production capacity;</w:t>
      </w:r>
    </w:p>
    <w:p>
      <w:pPr>
        <w:spacing w:after="0" w:line="141" w:lineRule="exact"/>
        <w:rPr>
          <w:rFonts w:ascii="Times New Roman" w:cs="Times New Roman" w:eastAsia="Times New Roman" w:hAnsi="Times New Roman"/>
          <w:sz w:val="20"/>
          <w:szCs w:val="20"/>
          <w:color w:val="auto"/>
        </w:rPr>
      </w:pPr>
    </w:p>
    <w:p>
      <w:pPr>
        <w:jc w:val="both"/>
        <w:ind w:left="660" w:hanging="328"/>
        <w:spacing w:after="0" w:line="264" w:lineRule="auto"/>
        <w:tabs>
          <w:tab w:leader="none" w:pos="648" w:val="left"/>
        </w:tabs>
        <w:numPr>
          <w:ilvl w:val="0"/>
          <w:numId w:val="306"/>
        </w:numPr>
        <w:rPr>
          <w:rFonts w:ascii="Times New Roman" w:cs="Times New Roman" w:eastAsia="Times New Roman" w:hAnsi="Times New Roman"/>
          <w:sz w:val="20"/>
          <w:szCs w:val="20"/>
          <w:color w:val="auto"/>
        </w:rPr>
      </w:pPr>
      <w:r>
        <w:rPr>
          <w:rFonts w:ascii="Arial" w:cs="Arial" w:eastAsia="Arial" w:hAnsi="Arial"/>
          <w:sz w:val="22"/>
          <w:szCs w:val="22"/>
          <w:color w:val="auto"/>
        </w:rPr>
        <w:t>Significant cybersecurity incidents such as a data breach, or any other significant disruption in the Company’s operations or loss, potential loss, breach or unauthorized access of its property or assets, whether at its facilities or through its information technology infrastructure;</w:t>
      </w:r>
    </w:p>
    <w:p>
      <w:pPr>
        <w:spacing w:after="0" w:line="164" w:lineRule="exact"/>
        <w:rPr>
          <w:rFonts w:ascii="Times New Roman" w:cs="Times New Roman" w:eastAsia="Times New Roman" w:hAnsi="Times New Roman"/>
          <w:sz w:val="20"/>
          <w:szCs w:val="20"/>
          <w:color w:val="auto"/>
        </w:rPr>
      </w:pPr>
    </w:p>
    <w:p>
      <w:pPr>
        <w:ind w:left="660" w:right="20" w:hanging="328"/>
        <w:spacing w:after="0" w:line="285" w:lineRule="auto"/>
        <w:tabs>
          <w:tab w:leader="none" w:pos="648" w:val="left"/>
        </w:tabs>
        <w:numPr>
          <w:ilvl w:val="0"/>
          <w:numId w:val="306"/>
        </w:numPr>
        <w:rPr>
          <w:rFonts w:ascii="Times New Roman" w:cs="Times New Roman" w:eastAsia="Times New Roman" w:hAnsi="Times New Roman"/>
          <w:sz w:val="20"/>
          <w:szCs w:val="20"/>
          <w:color w:val="auto"/>
        </w:rPr>
      </w:pPr>
      <w:r>
        <w:rPr>
          <w:rFonts w:ascii="Arial" w:cs="Arial" w:eastAsia="Arial" w:hAnsi="Arial"/>
          <w:sz w:val="22"/>
          <w:szCs w:val="22"/>
          <w:color w:val="auto"/>
        </w:rPr>
        <w:t>Mergers, acquisitions, dispositions or the formation of joint ventures involving the Company or any of its subsidiaries or business groups;</w:t>
      </w:r>
    </w:p>
    <w:p>
      <w:pPr>
        <w:spacing w:after="0" w:line="141" w:lineRule="exact"/>
        <w:rPr>
          <w:rFonts w:ascii="Times New Roman" w:cs="Times New Roman" w:eastAsia="Times New Roman" w:hAnsi="Times New Roman"/>
          <w:sz w:val="20"/>
          <w:szCs w:val="20"/>
          <w:color w:val="auto"/>
        </w:rPr>
      </w:pPr>
    </w:p>
    <w:p>
      <w:pPr>
        <w:ind w:left="660" w:right="20" w:hanging="328"/>
        <w:spacing w:after="0" w:line="272" w:lineRule="auto"/>
        <w:tabs>
          <w:tab w:leader="none" w:pos="648" w:val="left"/>
        </w:tabs>
        <w:numPr>
          <w:ilvl w:val="0"/>
          <w:numId w:val="306"/>
        </w:numPr>
        <w:rPr>
          <w:rFonts w:ascii="Times New Roman" w:cs="Times New Roman" w:eastAsia="Times New Roman" w:hAnsi="Times New Roman"/>
          <w:sz w:val="20"/>
          <w:szCs w:val="20"/>
          <w:color w:val="auto"/>
        </w:rPr>
      </w:pPr>
      <w:r>
        <w:rPr>
          <w:rFonts w:ascii="Arial" w:cs="Arial" w:eastAsia="Arial" w:hAnsi="Arial"/>
          <w:sz w:val="22"/>
          <w:szCs w:val="22"/>
          <w:color w:val="auto"/>
        </w:rPr>
        <w:t>Gain or loss of a significant order, customer, supplier or finance source, or termination or reduction of business relationship with a customer that provides material revenue to the Company;</w:t>
      </w:r>
    </w:p>
    <w:p>
      <w:pPr>
        <w:spacing w:after="0" w:line="169"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06"/>
        </w:numPr>
        <w:rPr>
          <w:rFonts w:ascii="Times New Roman" w:cs="Times New Roman" w:eastAsia="Times New Roman" w:hAnsi="Times New Roman"/>
          <w:sz w:val="20"/>
          <w:szCs w:val="20"/>
          <w:color w:val="auto"/>
        </w:rPr>
      </w:pPr>
      <w:r>
        <w:rPr>
          <w:rFonts w:ascii="Arial" w:cs="Arial" w:eastAsia="Arial" w:hAnsi="Arial"/>
          <w:sz w:val="22"/>
          <w:szCs w:val="22"/>
          <w:color w:val="auto"/>
        </w:rPr>
        <w:t>A tender offer for the Company's securities or by the Company for the securities of another company;</w:t>
      </w:r>
    </w:p>
    <w:p>
      <w:pPr>
        <w:spacing w:after="0" w:line="219"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06"/>
        </w:numPr>
        <w:rPr>
          <w:rFonts w:ascii="Times New Roman" w:cs="Times New Roman" w:eastAsia="Times New Roman" w:hAnsi="Times New Roman"/>
          <w:sz w:val="20"/>
          <w:szCs w:val="20"/>
          <w:color w:val="auto"/>
        </w:rPr>
      </w:pPr>
      <w:r>
        <w:rPr>
          <w:rFonts w:ascii="Arial" w:cs="Arial" w:eastAsia="Arial" w:hAnsi="Arial"/>
          <w:sz w:val="22"/>
          <w:szCs w:val="22"/>
          <w:color w:val="auto"/>
        </w:rPr>
        <w:t>Creation of a material direct or contingent financial obligation;</w:t>
      </w:r>
    </w:p>
    <w:p>
      <w:pPr>
        <w:spacing w:after="0" w:line="233"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06"/>
        </w:numPr>
        <w:rPr>
          <w:rFonts w:ascii="Times New Roman" w:cs="Times New Roman" w:eastAsia="Times New Roman" w:hAnsi="Times New Roman"/>
          <w:sz w:val="20"/>
          <w:szCs w:val="20"/>
          <w:color w:val="auto"/>
        </w:rPr>
      </w:pPr>
      <w:r>
        <w:rPr>
          <w:rFonts w:ascii="Arial" w:cs="Arial" w:eastAsia="Arial" w:hAnsi="Arial"/>
          <w:sz w:val="22"/>
          <w:szCs w:val="22"/>
          <w:color w:val="auto"/>
        </w:rPr>
        <w:t>Commencement of a new business or development of a new product or technological breakthrough;</w:t>
      </w:r>
    </w:p>
    <w:p>
      <w:pPr>
        <w:spacing w:after="0" w:line="219"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06"/>
        </w:numPr>
        <w:rPr>
          <w:rFonts w:ascii="Times New Roman" w:cs="Times New Roman" w:eastAsia="Times New Roman" w:hAnsi="Times New Roman"/>
          <w:sz w:val="20"/>
          <w:szCs w:val="20"/>
          <w:color w:val="auto"/>
        </w:rPr>
      </w:pPr>
      <w:r>
        <w:rPr>
          <w:rFonts w:ascii="Arial" w:cs="Arial" w:eastAsia="Arial" w:hAnsi="Arial"/>
          <w:sz w:val="22"/>
          <w:szCs w:val="22"/>
          <w:color w:val="auto"/>
        </w:rPr>
        <w:t>Change in the value or composition of the Company's assets or in liquidity;</w:t>
      </w:r>
    </w:p>
    <w:p>
      <w:pPr>
        <w:spacing w:after="0" w:line="233"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06"/>
        </w:numPr>
        <w:rPr>
          <w:rFonts w:ascii="Times New Roman" w:cs="Times New Roman" w:eastAsia="Times New Roman" w:hAnsi="Times New Roman"/>
          <w:sz w:val="20"/>
          <w:szCs w:val="20"/>
          <w:color w:val="auto"/>
        </w:rPr>
      </w:pPr>
      <w:r>
        <w:rPr>
          <w:rFonts w:ascii="Arial" w:cs="Arial" w:eastAsia="Arial" w:hAnsi="Arial"/>
          <w:sz w:val="22"/>
          <w:szCs w:val="22"/>
          <w:color w:val="auto"/>
        </w:rPr>
        <w:t>Imminent change in the Company’s credit rating by a rating agency;</w:t>
      </w:r>
    </w:p>
    <w:p>
      <w:pPr>
        <w:spacing w:after="0" w:line="233"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06"/>
        </w:numPr>
        <w:rPr>
          <w:rFonts w:ascii="Times New Roman" w:cs="Times New Roman" w:eastAsia="Times New Roman" w:hAnsi="Times New Roman"/>
          <w:sz w:val="20"/>
          <w:szCs w:val="20"/>
          <w:color w:val="auto"/>
        </w:rPr>
      </w:pPr>
      <w:r>
        <w:rPr>
          <w:rFonts w:ascii="Arial" w:cs="Arial" w:eastAsia="Arial" w:hAnsi="Arial"/>
          <w:sz w:val="22"/>
          <w:szCs w:val="22"/>
          <w:color w:val="auto"/>
        </w:rPr>
        <w:t>Receipt of a major contract;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1440" w:right="339" w:bottom="1440" w:gutter="0" w:footer="0" w:header="0"/>
        </w:sectPr>
      </w:pPr>
    </w:p>
    <w:bookmarkStart w:id="191" w:name="page192"/>
    <w:bookmarkEnd w:id="191"/>
    <w:p>
      <w:pPr>
        <w:ind w:left="640" w:hanging="308"/>
        <w:spacing w:after="0"/>
        <w:tabs>
          <w:tab w:leader="none" w:pos="640" w:val="left"/>
        </w:tabs>
        <w:numPr>
          <w:ilvl w:val="0"/>
          <w:numId w:val="307"/>
        </w:numPr>
        <w:rPr>
          <w:rFonts w:ascii="Times New Roman" w:cs="Times New Roman" w:eastAsia="Times New Roman" w:hAnsi="Times New Roman"/>
          <w:sz w:val="20"/>
          <w:szCs w:val="20"/>
          <w:color w:val="auto"/>
        </w:rPr>
      </w:pPr>
      <w:r>
        <w:rPr>
          <w:rFonts w:ascii="Arial" w:cs="Arial" w:eastAsia="Arial" w:hAnsi="Arial"/>
          <w:sz w:val="22"/>
          <w:szCs w:val="22"/>
          <w:color w:val="auto"/>
        </w:rPr>
        <w:t>Impending bankruptcy or financial liquidity problems;</w:t>
      </w:r>
    </w:p>
    <w:p>
      <w:pPr>
        <w:spacing w:after="0" w:line="233"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07"/>
        </w:numPr>
        <w:rPr>
          <w:rFonts w:ascii="Times New Roman" w:cs="Times New Roman" w:eastAsia="Times New Roman" w:hAnsi="Times New Roman"/>
          <w:sz w:val="20"/>
          <w:szCs w:val="20"/>
          <w:color w:val="auto"/>
        </w:rPr>
      </w:pPr>
      <w:r>
        <w:rPr>
          <w:rFonts w:ascii="Arial" w:cs="Arial" w:eastAsia="Arial" w:hAnsi="Arial"/>
          <w:sz w:val="22"/>
          <w:szCs w:val="22"/>
          <w:color w:val="auto"/>
        </w:rPr>
        <w:t>Stock split or stock dividend;</w:t>
      </w:r>
    </w:p>
    <w:p>
      <w:pPr>
        <w:spacing w:after="0" w:line="219"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07"/>
        </w:numPr>
        <w:rPr>
          <w:rFonts w:ascii="Times New Roman" w:cs="Times New Roman" w:eastAsia="Times New Roman" w:hAnsi="Times New Roman"/>
          <w:sz w:val="20"/>
          <w:szCs w:val="20"/>
          <w:color w:val="auto"/>
        </w:rPr>
      </w:pPr>
      <w:r>
        <w:rPr>
          <w:rFonts w:ascii="Arial" w:cs="Arial" w:eastAsia="Arial" w:hAnsi="Arial"/>
          <w:sz w:val="22"/>
          <w:szCs w:val="22"/>
          <w:color w:val="auto"/>
        </w:rPr>
        <w:t>Significant product defects;</w:t>
      </w:r>
    </w:p>
    <w:p>
      <w:pPr>
        <w:spacing w:after="0" w:line="233"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07"/>
        </w:numPr>
        <w:rPr>
          <w:rFonts w:ascii="Times New Roman" w:cs="Times New Roman" w:eastAsia="Times New Roman" w:hAnsi="Times New Roman"/>
          <w:sz w:val="20"/>
          <w:szCs w:val="20"/>
          <w:color w:val="auto"/>
        </w:rPr>
      </w:pPr>
      <w:r>
        <w:rPr>
          <w:rFonts w:ascii="Arial" w:cs="Arial" w:eastAsia="Arial" w:hAnsi="Arial"/>
          <w:sz w:val="22"/>
          <w:szCs w:val="22"/>
          <w:color w:val="auto"/>
        </w:rPr>
        <w:t>Change in control or change in senior management;</w:t>
      </w:r>
    </w:p>
    <w:p>
      <w:pPr>
        <w:spacing w:after="0" w:line="219"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07"/>
        </w:numPr>
        <w:rPr>
          <w:rFonts w:ascii="Times New Roman" w:cs="Times New Roman" w:eastAsia="Times New Roman" w:hAnsi="Times New Roman"/>
          <w:sz w:val="20"/>
          <w:szCs w:val="20"/>
          <w:color w:val="auto"/>
        </w:rPr>
      </w:pPr>
      <w:r>
        <w:rPr>
          <w:rFonts w:ascii="Arial" w:cs="Arial" w:eastAsia="Arial" w:hAnsi="Arial"/>
          <w:sz w:val="22"/>
          <w:szCs w:val="22"/>
          <w:color w:val="auto"/>
        </w:rPr>
        <w:t>Material agreements not in the ordinary course of business (or termination thereof);</w:t>
      </w:r>
    </w:p>
    <w:p>
      <w:pPr>
        <w:spacing w:after="0" w:line="233"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07"/>
        </w:numPr>
        <w:rPr>
          <w:rFonts w:ascii="Times New Roman" w:cs="Times New Roman" w:eastAsia="Times New Roman" w:hAnsi="Times New Roman"/>
          <w:sz w:val="20"/>
          <w:szCs w:val="20"/>
          <w:color w:val="auto"/>
        </w:rPr>
      </w:pPr>
      <w:r>
        <w:rPr>
          <w:rFonts w:ascii="Arial" w:cs="Arial" w:eastAsia="Arial" w:hAnsi="Arial"/>
          <w:sz w:val="22"/>
          <w:szCs w:val="22"/>
          <w:color w:val="auto"/>
        </w:rPr>
        <w:t>Significant labor dispute or negotiation;</w:t>
      </w:r>
    </w:p>
    <w:p>
      <w:pPr>
        <w:spacing w:after="0" w:line="233"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07"/>
        </w:numPr>
        <w:rPr>
          <w:rFonts w:ascii="Times New Roman" w:cs="Times New Roman" w:eastAsia="Times New Roman" w:hAnsi="Times New Roman"/>
          <w:sz w:val="20"/>
          <w:szCs w:val="20"/>
          <w:color w:val="auto"/>
        </w:rPr>
      </w:pPr>
      <w:r>
        <w:rPr>
          <w:rFonts w:ascii="Arial" w:cs="Arial" w:eastAsia="Arial" w:hAnsi="Arial"/>
          <w:sz w:val="22"/>
          <w:szCs w:val="22"/>
          <w:color w:val="auto"/>
        </w:rPr>
        <w:t>Public or private sale of additional securities, including debt securities;</w:t>
      </w:r>
    </w:p>
    <w:p>
      <w:pPr>
        <w:spacing w:after="0" w:line="219"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07"/>
        </w:numPr>
        <w:rPr>
          <w:rFonts w:ascii="Times New Roman" w:cs="Times New Roman" w:eastAsia="Times New Roman" w:hAnsi="Times New Roman"/>
          <w:sz w:val="19"/>
          <w:szCs w:val="19"/>
          <w:color w:val="auto"/>
        </w:rPr>
      </w:pPr>
      <w:r>
        <w:rPr>
          <w:rFonts w:ascii="Arial" w:cs="Arial" w:eastAsia="Arial" w:hAnsi="Arial"/>
          <w:sz w:val="21"/>
          <w:szCs w:val="21"/>
          <w:color w:val="auto"/>
        </w:rPr>
        <w:t>Redemption of the Company's debentures, except for normal redemptions pursuant to sinking fund provisions;</w:t>
      </w:r>
    </w:p>
    <w:p>
      <w:pPr>
        <w:spacing w:after="0" w:line="244" w:lineRule="exact"/>
        <w:rPr>
          <w:rFonts w:ascii="Times New Roman" w:cs="Times New Roman" w:eastAsia="Times New Roman" w:hAnsi="Times New Roman"/>
          <w:sz w:val="19"/>
          <w:szCs w:val="19"/>
          <w:color w:val="auto"/>
        </w:rPr>
      </w:pPr>
    </w:p>
    <w:p>
      <w:pPr>
        <w:ind w:left="640" w:hanging="308"/>
        <w:spacing w:after="0"/>
        <w:tabs>
          <w:tab w:leader="none" w:pos="640" w:val="left"/>
        </w:tabs>
        <w:numPr>
          <w:ilvl w:val="0"/>
          <w:numId w:val="307"/>
        </w:numPr>
        <w:rPr>
          <w:rFonts w:ascii="Times New Roman" w:cs="Times New Roman" w:eastAsia="Times New Roman" w:hAnsi="Times New Roman"/>
          <w:sz w:val="20"/>
          <w:szCs w:val="20"/>
          <w:color w:val="auto"/>
        </w:rPr>
      </w:pPr>
      <w:r>
        <w:rPr>
          <w:rFonts w:ascii="Arial" w:cs="Arial" w:eastAsia="Arial" w:hAnsi="Arial"/>
          <w:sz w:val="22"/>
          <w:szCs w:val="22"/>
          <w:color w:val="auto"/>
        </w:rPr>
        <w:t>Initiation, status or termination of a signification litigation, investigation, or regulatory or legal proceeding;</w:t>
      </w:r>
    </w:p>
    <w:p>
      <w:pPr>
        <w:spacing w:after="0" w:line="219"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07"/>
        </w:numPr>
        <w:rPr>
          <w:rFonts w:ascii="Times New Roman" w:cs="Times New Roman" w:eastAsia="Times New Roman" w:hAnsi="Times New Roman"/>
          <w:sz w:val="20"/>
          <w:szCs w:val="20"/>
          <w:color w:val="auto"/>
        </w:rPr>
      </w:pPr>
      <w:r>
        <w:rPr>
          <w:rFonts w:ascii="Arial" w:cs="Arial" w:eastAsia="Arial" w:hAnsi="Arial"/>
          <w:sz w:val="22"/>
          <w:szCs w:val="22"/>
          <w:color w:val="auto"/>
        </w:rPr>
        <w:t>Establishment of a program to purchase the Company's own securities; and</w:t>
      </w:r>
    </w:p>
    <w:p>
      <w:pPr>
        <w:spacing w:after="0" w:line="233" w:lineRule="exact"/>
        <w:rPr>
          <w:rFonts w:ascii="Times New Roman" w:cs="Times New Roman" w:eastAsia="Times New Roman" w:hAnsi="Times New Roman"/>
          <w:sz w:val="20"/>
          <w:szCs w:val="20"/>
          <w:color w:val="auto"/>
        </w:rPr>
      </w:pPr>
    </w:p>
    <w:p>
      <w:pPr>
        <w:ind w:left="660" w:hanging="328"/>
        <w:spacing w:after="0" w:line="285" w:lineRule="auto"/>
        <w:tabs>
          <w:tab w:leader="none" w:pos="648" w:val="left"/>
        </w:tabs>
        <w:numPr>
          <w:ilvl w:val="0"/>
          <w:numId w:val="307"/>
        </w:numPr>
        <w:rPr>
          <w:rFonts w:ascii="Times New Roman" w:cs="Times New Roman" w:eastAsia="Times New Roman" w:hAnsi="Times New Roman"/>
          <w:sz w:val="20"/>
          <w:szCs w:val="20"/>
          <w:color w:val="auto"/>
        </w:rPr>
      </w:pPr>
      <w:r>
        <w:rPr>
          <w:rFonts w:ascii="Arial" w:cs="Arial" w:eastAsia="Arial" w:hAnsi="Arial"/>
          <w:sz w:val="22"/>
          <w:szCs w:val="22"/>
          <w:color w:val="auto"/>
        </w:rPr>
        <w:t>The imposition of an event-specific restriction (a special blackout) on trading in the Company’s securities or the securities of another company or the extension or termination of such restriction.</w:t>
      </w:r>
    </w:p>
    <w:p>
      <w:pPr>
        <w:spacing w:after="0" w:line="142" w:lineRule="exact"/>
        <w:rPr>
          <w:sz w:val="20"/>
          <w:szCs w:val="20"/>
          <w:color w:val="auto"/>
        </w:rPr>
      </w:pPr>
    </w:p>
    <w:p>
      <w:pPr>
        <w:jc w:val="both"/>
        <w:ind w:firstLine="486"/>
        <w:spacing w:after="0" w:line="235" w:lineRule="auto"/>
        <w:rPr>
          <w:sz w:val="20"/>
          <w:szCs w:val="20"/>
          <w:color w:val="auto"/>
        </w:rPr>
      </w:pPr>
      <w:r>
        <w:rPr>
          <w:rFonts w:ascii="Arial" w:cs="Arial" w:eastAsia="Arial" w:hAnsi="Arial"/>
          <w:sz w:val="22"/>
          <w:szCs w:val="22"/>
          <w:color w:val="auto"/>
        </w:rPr>
        <w:t>When uncertain as to the materiality of known inside information, an insider should consult with the Corporate Secretary before engaging in transactions in the Company's (or other) securities.</w:t>
      </w:r>
      <w:r>
        <w:rPr>
          <w:rFonts w:ascii="Arial" w:cs="Arial" w:eastAsia="Arial" w:hAnsi="Arial"/>
          <w:sz w:val="28"/>
          <w:szCs w:val="28"/>
          <w:color w:val="auto"/>
          <w:vertAlign w:val="superscript"/>
        </w:rPr>
        <w:t>3</w:t>
      </w:r>
      <w:r>
        <w:rPr>
          <w:rFonts w:ascii="Arial" w:cs="Arial" w:eastAsia="Arial" w:hAnsi="Arial"/>
          <w:sz w:val="22"/>
          <w:szCs w:val="22"/>
          <w:color w:val="auto"/>
        </w:rPr>
        <w:t xml:space="preserve"> In addition, Designated Insiders should follow established procedures for prior clearance of transactions as described in this manual in the section entitled “Engaging in Securities Transactions by Directors, Officers and Other Designated Insiders” under the heading “Prior Clearance of Transactions in Company Securities.”</w:t>
      </w:r>
    </w:p>
    <w:p>
      <w:pPr>
        <w:spacing w:after="0" w:line="233" w:lineRule="exact"/>
        <w:rPr>
          <w:sz w:val="20"/>
          <w:szCs w:val="20"/>
          <w:color w:val="auto"/>
        </w:rPr>
      </w:pPr>
    </w:p>
    <w:p>
      <w:pPr>
        <w:jc w:val="both"/>
        <w:ind w:firstLine="486"/>
        <w:spacing w:after="0" w:line="248" w:lineRule="auto"/>
        <w:rPr>
          <w:sz w:val="20"/>
          <w:szCs w:val="20"/>
          <w:color w:val="auto"/>
        </w:rPr>
      </w:pPr>
      <w:r>
        <w:rPr>
          <w:rFonts w:ascii="Arial" w:cs="Arial" w:eastAsia="Arial" w:hAnsi="Arial"/>
          <w:sz w:val="22"/>
          <w:szCs w:val="22"/>
          <w:color w:val="auto"/>
        </w:rPr>
        <w:t>Engaging in transactions in the Company’s securities by insiders who are aware of material information, provided such transactions are otherwise consistent with the policies set forth in this Policy, should be made only when such information has been sufficiently publicized by the Company so that the public has had the opportunity to evaluate it. Information is not public merely because it is reflected by rumors or other unofficial statements in the marketplace. Insiders may not attempt to “beat the market” by trading simultaneously with, or shortly after, the official release of such information. Depending on the circumstances, information normally should not be regarded as public until at least 24 hours after it has been filed with the SEC, disclosed on the Company’s public internet site or disseminated through a national news medium. To minimize uncertainty in this regard, Designated Insiders must follow certain restrictions on the timing of their trades, as outlined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226314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62">
                      <a:extLst>
                        <a:ext uri="{28A0092B-C50C-407E-A947-70E740481C1C}"/>
                      </a:extLst>
                    </a:blip>
                    <a:srcRect/>
                    <a:stretch>
                      <a:fillRect/>
                    </a:stretch>
                  </pic:blipFill>
                  <pic:spPr bwMode="auto">
                    <a:xfrm>
                      <a:off x="0" y="0"/>
                      <a:ext cx="2263140" cy="8890"/>
                    </a:xfrm>
                    <a:prstGeom prst="rect">
                      <a:avLst/>
                    </a:prstGeom>
                    <a:noFill/>
                  </pic:spPr>
                </pic:pic>
              </a:graphicData>
            </a:graphic>
          </wp:anchor>
        </w:drawing>
      </w:r>
    </w:p>
    <w:p>
      <w:pPr>
        <w:spacing w:after="0" w:line="222" w:lineRule="exact"/>
        <w:rPr>
          <w:sz w:val="20"/>
          <w:szCs w:val="20"/>
          <w:color w:val="auto"/>
        </w:rPr>
      </w:pPr>
    </w:p>
    <w:p>
      <w:pPr>
        <w:ind w:left="100" w:hanging="92"/>
        <w:spacing w:after="0"/>
        <w:tabs>
          <w:tab w:leader="none" w:pos="100" w:val="left"/>
        </w:tabs>
        <w:numPr>
          <w:ilvl w:val="0"/>
          <w:numId w:val="308"/>
        </w:numPr>
        <w:rPr>
          <w:rFonts w:ascii="Arial" w:cs="Arial" w:eastAsia="Arial" w:hAnsi="Arial"/>
          <w:sz w:val="19"/>
          <w:szCs w:val="19"/>
          <w:color w:val="auto"/>
          <w:vertAlign w:val="superscript"/>
        </w:rPr>
      </w:pPr>
      <w:r>
        <w:rPr>
          <w:rFonts w:ascii="Arial" w:cs="Arial" w:eastAsia="Arial" w:hAnsi="Arial"/>
          <w:sz w:val="14"/>
          <w:szCs w:val="14"/>
          <w:color w:val="auto"/>
        </w:rPr>
        <w:t>If a person designated by title in this Policy is unavailable to take action, an authorized designee(s) may act in his or her absence.</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1423" w:right="339" w:bottom="1440" w:gutter="0" w:footer="0" w:header="0"/>
        </w:sectPr>
      </w:pPr>
    </w:p>
    <w:bookmarkStart w:id="192" w:name="page193"/>
    <w:bookmarkEnd w:id="192"/>
    <w:p>
      <w:pPr>
        <w:spacing w:after="0" w:line="211" w:lineRule="exact"/>
        <w:rPr>
          <w:sz w:val="20"/>
          <w:szCs w:val="20"/>
          <w:color w:val="auto"/>
        </w:rPr>
      </w:pPr>
    </w:p>
    <w:p>
      <w:pPr>
        <w:ind w:left="640" w:right="320" w:hanging="647"/>
        <w:spacing w:after="0" w:line="311" w:lineRule="auto"/>
        <w:tabs>
          <w:tab w:leader="none" w:pos="620" w:val="left"/>
        </w:tabs>
        <w:rPr>
          <w:sz w:val="20"/>
          <w:szCs w:val="20"/>
          <w:color w:val="auto"/>
        </w:rPr>
      </w:pPr>
      <w:r>
        <w:rPr>
          <w:rFonts w:ascii="Arial" w:cs="Arial" w:eastAsia="Arial" w:hAnsi="Arial"/>
          <w:sz w:val="22"/>
          <w:szCs w:val="22"/>
          <w:b w:val="1"/>
          <w:bCs w:val="1"/>
          <w:color w:val="auto"/>
        </w:rPr>
        <w:t>IV.</w:t>
      </w:r>
      <w:r>
        <w:rPr>
          <w:sz w:val="20"/>
          <w:szCs w:val="20"/>
          <w:color w:val="auto"/>
        </w:rPr>
        <w:tab/>
      </w:r>
      <w:r>
        <w:rPr>
          <w:rFonts w:ascii="Arial" w:cs="Arial" w:eastAsia="Arial" w:hAnsi="Arial"/>
          <w:sz w:val="22"/>
          <w:szCs w:val="22"/>
          <w:b w:val="1"/>
          <w:bCs w:val="1"/>
          <w:color w:val="auto"/>
        </w:rPr>
        <w:t>ENGAGING IN SECURITIES TRANSACTIONS BY DIRECTORS, OFFICERS AND OTHER DESIGNATED INSIDERS</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Window Period</w:t>
      </w:r>
    </w:p>
    <w:p>
      <w:pPr>
        <w:spacing w:after="0" w:line="262" w:lineRule="exact"/>
        <w:rPr>
          <w:sz w:val="20"/>
          <w:szCs w:val="20"/>
          <w:color w:val="auto"/>
        </w:rPr>
      </w:pPr>
    </w:p>
    <w:p>
      <w:pPr>
        <w:jc w:val="both"/>
        <w:ind w:firstLine="492"/>
        <w:spacing w:after="0" w:line="261" w:lineRule="auto"/>
        <w:rPr>
          <w:sz w:val="20"/>
          <w:szCs w:val="20"/>
          <w:color w:val="auto"/>
        </w:rPr>
      </w:pPr>
      <w:r>
        <w:rPr>
          <w:rFonts w:ascii="Arial" w:cs="Arial" w:eastAsia="Arial" w:hAnsi="Arial"/>
          <w:sz w:val="21"/>
          <w:szCs w:val="21"/>
          <w:color w:val="auto"/>
        </w:rPr>
        <w:t>It is the Company's policy that Designated Insiders will limit transactions (e.g., sales, purchases, gifts and option exercises (see below)) in the Company's securities to the 30-day period beginning on the second business day following the release of annual or quarterly financial results or such other period as the Corporate Secretary after consultation with the General Counsel may specify (the “window period”). Each quarter, a communication will be sent to Designated Insiders notifying the individuals of the opening and closing dates for the window period. However, except as set forth herein, no transactions in the Company’s securities should be made even during a window period if the person desiring to effect a transaction has knowledge of material inside information. Designated Insiders should also follow the clearance procedures described below under the heading “Prior Clearance of Transactions in Company Securities,” and directors or Executive Officers should follow the reporting requirements, and specific legal restrictions on trades within a period of six months, under Section 16 of the Exchange Act .</w:t>
      </w:r>
    </w:p>
    <w:p>
      <w:pPr>
        <w:spacing w:after="0" w:line="207" w:lineRule="exact"/>
        <w:rPr>
          <w:sz w:val="20"/>
          <w:szCs w:val="20"/>
          <w:color w:val="auto"/>
        </w:rPr>
      </w:pPr>
    </w:p>
    <w:p>
      <w:pPr>
        <w:ind w:left="500"/>
        <w:spacing w:after="0"/>
        <w:rPr>
          <w:sz w:val="20"/>
          <w:szCs w:val="20"/>
          <w:color w:val="auto"/>
        </w:rPr>
      </w:pPr>
      <w:r>
        <w:rPr>
          <w:rFonts w:ascii="Arial" w:cs="Arial" w:eastAsia="Arial" w:hAnsi="Arial"/>
          <w:sz w:val="21"/>
          <w:szCs w:val="21"/>
          <w:b w:val="1"/>
          <w:bCs w:val="1"/>
          <w:color w:val="auto"/>
        </w:rPr>
        <w:t>Gifts</w:t>
      </w:r>
      <w:r>
        <w:rPr>
          <w:rFonts w:ascii="Arial" w:cs="Arial" w:eastAsia="Arial" w:hAnsi="Arial"/>
          <w:sz w:val="21"/>
          <w:szCs w:val="21"/>
          <w:color w:val="auto"/>
        </w:rPr>
        <w:t>. For the avoidance of doubt, gifts of securities are subject to this Policy and the window period restrictions.</w:t>
      </w:r>
    </w:p>
    <w:p>
      <w:pPr>
        <w:spacing w:after="0" w:line="258"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22"/>
          <w:szCs w:val="22"/>
          <w:b w:val="1"/>
          <w:bCs w:val="1"/>
          <w:color w:val="auto"/>
        </w:rPr>
        <w:t>Stock Option Exercises</w:t>
      </w:r>
      <w:r>
        <w:rPr>
          <w:rFonts w:ascii="Arial" w:cs="Arial" w:eastAsia="Arial" w:hAnsi="Arial"/>
          <w:sz w:val="22"/>
          <w:szCs w:val="22"/>
          <w:color w:val="auto"/>
        </w:rPr>
        <w:t>. This Policy and the window period restrictions apply to the exercise of an employee</w:t>
      </w:r>
      <w:r>
        <w:rPr>
          <w:rFonts w:ascii="Arial" w:cs="Arial" w:eastAsia="Arial" w:hAnsi="Arial"/>
          <w:sz w:val="22"/>
          <w:szCs w:val="22"/>
          <w:b w:val="1"/>
          <w:bCs w:val="1"/>
          <w:color w:val="auto"/>
        </w:rPr>
        <w:t xml:space="preserve"> </w:t>
      </w:r>
      <w:r>
        <w:rPr>
          <w:rFonts w:ascii="Arial" w:cs="Arial" w:eastAsia="Arial" w:hAnsi="Arial"/>
          <w:sz w:val="22"/>
          <w:szCs w:val="22"/>
          <w:color w:val="auto"/>
        </w:rPr>
        <w:t>stock option acquired pursuant to the Company’s plans and to sales of stock as part of a broker-assisted cashless exercise of an option, or any other market sale for the purpose of generating the cash needed to pay the exercise price of an option. Cashless stock option exercises involve both a purchase of underlying shares and a sale of shares in the open market to cover the option costs. Accordingly, the cashless exercise of stock options is subject to the window period restriction.</w:t>
      </w:r>
    </w:p>
    <w:p>
      <w:pPr>
        <w:spacing w:after="0" w:line="202"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22"/>
          <w:szCs w:val="22"/>
          <w:b w:val="1"/>
          <w:bCs w:val="1"/>
          <w:color w:val="auto"/>
        </w:rPr>
        <w:t>Restricted Stock and Restricted Stock Unit Awards</w:t>
      </w:r>
      <w:r>
        <w:rPr>
          <w:rFonts w:ascii="Arial" w:cs="Arial" w:eastAsia="Arial" w:hAnsi="Arial"/>
          <w:sz w:val="22"/>
          <w:szCs w:val="22"/>
          <w:color w:val="auto"/>
        </w:rPr>
        <w:t>. This Policy and the window period restrictions do not</w:t>
      </w:r>
      <w:r>
        <w:rPr>
          <w:rFonts w:ascii="Arial" w:cs="Arial" w:eastAsia="Arial" w:hAnsi="Arial"/>
          <w:sz w:val="22"/>
          <w:szCs w:val="22"/>
          <w:b w:val="1"/>
          <w:bCs w:val="1"/>
          <w:color w:val="auto"/>
        </w:rPr>
        <w:t xml:space="preserve"> </w:t>
      </w:r>
      <w:r>
        <w:rPr>
          <w:rFonts w:ascii="Arial" w:cs="Arial" w:eastAsia="Arial" w:hAnsi="Arial"/>
          <w:sz w:val="22"/>
          <w:szCs w:val="22"/>
          <w:color w:val="auto"/>
        </w:rPr>
        <w:t>apply to the vesting of restricted stock or restricted stock units or the withholding or sale of stock back to the Company to satisfy tax withholding obligations upon the vesting of any restricted stock or restricted stock unit. This Policy and the window period restrictions do apply, however, to any market sale of shares acquired upon vesting of restricted stock units and exercise of a tax withholding right.</w:t>
      </w:r>
    </w:p>
    <w:p>
      <w:pPr>
        <w:spacing w:after="0" w:line="200" w:lineRule="exact"/>
        <w:rPr>
          <w:sz w:val="20"/>
          <w:szCs w:val="20"/>
          <w:color w:val="auto"/>
        </w:rPr>
      </w:pPr>
    </w:p>
    <w:p>
      <w:pPr>
        <w:jc w:val="both"/>
        <w:ind w:firstLine="486"/>
        <w:spacing w:after="0" w:line="250" w:lineRule="auto"/>
        <w:rPr>
          <w:sz w:val="20"/>
          <w:szCs w:val="20"/>
          <w:color w:val="auto"/>
        </w:rPr>
      </w:pPr>
      <w:r>
        <w:rPr>
          <w:rFonts w:ascii="Arial" w:cs="Arial" w:eastAsia="Arial" w:hAnsi="Arial"/>
          <w:sz w:val="22"/>
          <w:szCs w:val="22"/>
          <w:b w:val="1"/>
          <w:bCs w:val="1"/>
          <w:color w:val="auto"/>
        </w:rPr>
        <w:t>Dividend Reinvestment Plan and Savings Plan</w:t>
      </w:r>
      <w:r>
        <w:rPr>
          <w:rFonts w:ascii="Arial" w:cs="Arial" w:eastAsia="Arial" w:hAnsi="Arial"/>
          <w:sz w:val="22"/>
          <w:szCs w:val="22"/>
          <w:color w:val="auto"/>
        </w:rPr>
        <w:t>. The automatic reinvestment of dividends under the Dividend</w:t>
      </w:r>
      <w:r>
        <w:rPr>
          <w:rFonts w:ascii="Arial" w:cs="Arial" w:eastAsia="Arial" w:hAnsi="Arial"/>
          <w:sz w:val="22"/>
          <w:szCs w:val="22"/>
          <w:b w:val="1"/>
          <w:bCs w:val="1"/>
          <w:color w:val="auto"/>
        </w:rPr>
        <w:t xml:space="preserve"> </w:t>
      </w:r>
      <w:r>
        <w:rPr>
          <w:rFonts w:ascii="Arial" w:cs="Arial" w:eastAsia="Arial" w:hAnsi="Arial"/>
          <w:sz w:val="22"/>
          <w:szCs w:val="22"/>
          <w:color w:val="auto"/>
        </w:rPr>
        <w:t>Reinvestment Plan is not subject to the window period restrictions set forth above. The same is true for an employee’s initial election to participate in the Honeywell Common Stock Fund (the “Stock Fund”) under the savings plan and the employee’s ongoing contributions to the Stock Fund (including matching employer contributions). However, a change in election into or out of the Stock Fund will trigger insider trading prohibitions. The same is true for any fund-switching transactions, affecting movement of the Company's securities into or out of a savings plan account,</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40"/>
          </w:cols>
          <w:pgMar w:left="320" w:top="1440" w:right="339" w:bottom="1440" w:gutter="0" w:footer="0" w:header="0"/>
        </w:sectPr>
      </w:pPr>
    </w:p>
    <w:bookmarkStart w:id="193" w:name="page194"/>
    <w:bookmarkEnd w:id="193"/>
    <w:p>
      <w:pPr>
        <w:jc w:val="both"/>
        <w:spacing w:after="0" w:line="257" w:lineRule="auto"/>
        <w:rPr>
          <w:sz w:val="20"/>
          <w:szCs w:val="20"/>
          <w:color w:val="auto"/>
        </w:rPr>
      </w:pPr>
      <w:r>
        <w:rPr>
          <w:rFonts w:ascii="Arial" w:cs="Arial" w:eastAsia="Arial" w:hAnsi="Arial"/>
          <w:sz w:val="22"/>
          <w:szCs w:val="22"/>
          <w:color w:val="auto"/>
        </w:rPr>
        <w:t>including the conversion of existing cash in a savings plan account into the Stock Fund or the conversion of shares in the Stock Fund to cash or to another investment vehicle in the savings plan (“Fund-Switching Transaction”). For these reasons, election changes involving the Stock Fund and Fund-Switching Transactions in the Company’s savings plans are subject to the window period restriction.</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Special Blackout Periods</w:t>
      </w:r>
    </w:p>
    <w:p>
      <w:pPr>
        <w:spacing w:after="0" w:line="262"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22"/>
          <w:szCs w:val="22"/>
          <w:color w:val="auto"/>
        </w:rPr>
        <w:t>From time to time the Corporate Secretary after consultation with the General Counsel may impose special blackout periods during which Designated Insiders and other affected persons will be prohibited from engaging in transactions in Company securities. In the event of a special blackout period, the Corporate Secretary will notify the Designated Insiders and/or other affected persons, who will be prohibited from engaging in any transaction involving Company securities until further written notice. The imposition of a special blackout period is itself confidential information, and the fact that it has been imposed may not be disclosed to others.</w:t>
      </w:r>
    </w:p>
    <w:p>
      <w:pPr>
        <w:spacing w:after="0" w:line="208"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22"/>
          <w:szCs w:val="22"/>
          <w:color w:val="auto"/>
        </w:rPr>
        <w:t>The Corporate Secretary after consultation with the General Counsel may shorten, suspend, terminate or extend any window or special blackout period at such time and for such duration as he or she deems appropriate given the relevant circumstances. Any persons affected by such a modification will be appropriately notified.</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Rule 10b5-1 Plans</w:t>
      </w:r>
    </w:p>
    <w:p>
      <w:pPr>
        <w:spacing w:after="0" w:line="262" w:lineRule="exact"/>
        <w:rPr>
          <w:sz w:val="20"/>
          <w:szCs w:val="20"/>
          <w:color w:val="auto"/>
        </w:rPr>
      </w:pPr>
    </w:p>
    <w:p>
      <w:pPr>
        <w:jc w:val="both"/>
        <w:ind w:firstLine="486"/>
        <w:spacing w:after="0" w:line="249" w:lineRule="auto"/>
        <w:rPr>
          <w:sz w:val="20"/>
          <w:szCs w:val="20"/>
          <w:color w:val="auto"/>
        </w:rPr>
      </w:pPr>
      <w:r>
        <w:rPr>
          <w:rFonts w:ascii="Arial" w:cs="Arial" w:eastAsia="Arial" w:hAnsi="Arial"/>
          <w:sz w:val="22"/>
          <w:szCs w:val="22"/>
          <w:color w:val="auto"/>
        </w:rPr>
        <w:t>Implementation of a trading plan under SEC Rule 10b5-1 (“Rule 10b5-1 Plan”) allows an insider to place a standing order with a broker for the purchase or sale of the Company’s securities, so long as the plan is written and specifies the dates, prices and amounts of the contemplated trades or establishes a formula for determining dates, prices and amounts. The insider is not permitted to exercise any subsequent influence over how, when or whether to engage in purchases or sales under the Rule 10b5-1 Plan. Trading discretion is delegated to the broker. A Rule 10b5-1 Plan may only be entered into, modified, amended or terminated when an individual is not in possession of material, non-public information. All persons entering into a Rule 10b5-1 Plan must act in good faith with respect to that plan. A Rule 10b5-1 Plan cannot be entered into as part of a plan or scheme to evade the prohibitions of Rule 10b-5. A Rule 10b5-1 Plan should be adopted with the intention that it will not be amended or terminated prior to its expiration.</w:t>
      </w:r>
    </w:p>
    <w:p>
      <w:pPr>
        <w:spacing w:after="0" w:line="210"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22"/>
          <w:szCs w:val="22"/>
          <w:color w:val="auto"/>
        </w:rPr>
        <w:t>A Rule 10b5-1 Plan must be pre-approved as set forth below and meet the requirements of Rule 10b5-1 and the requirements set forth below. With a properly implemented Rule 10b5-1 Plan in place, trading strictly in accordance with the plan may occur, even outside the window or during a special blackout period without further input from the insider or pre-clearance.</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40"/>
          </w:cols>
          <w:pgMar w:left="320" w:top="1423" w:right="339" w:bottom="1440" w:gutter="0" w:footer="0" w:header="0"/>
        </w:sectPr>
      </w:pPr>
    </w:p>
    <w:bookmarkStart w:id="194" w:name="page195"/>
    <w:bookmarkEnd w:id="194"/>
    <w:p>
      <w:pPr>
        <w:spacing w:after="0" w:line="226"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22"/>
          <w:szCs w:val="22"/>
          <w:color w:val="auto"/>
        </w:rPr>
        <w:t>Whether or not pre-approval of a Rule 10b5-1 Plan will be granted will depend on all the facts and circumstances at the time, but the principal requirements for entering into, maintaining, modifying, and terminating a Rule 10b5-1 Plan are as follows:</w:t>
      </w:r>
    </w:p>
    <w:p>
      <w:pPr>
        <w:spacing w:after="0" w:line="213" w:lineRule="exact"/>
        <w:rPr>
          <w:sz w:val="20"/>
          <w:szCs w:val="20"/>
          <w:color w:val="auto"/>
        </w:rPr>
      </w:pPr>
    </w:p>
    <w:p>
      <w:pPr>
        <w:jc w:val="both"/>
        <w:ind w:left="660" w:hanging="328"/>
        <w:spacing w:after="0" w:line="257" w:lineRule="auto"/>
        <w:tabs>
          <w:tab w:leader="none" w:pos="648" w:val="left"/>
        </w:tabs>
        <w:numPr>
          <w:ilvl w:val="0"/>
          <w:numId w:val="309"/>
        </w:numPr>
        <w:rPr>
          <w:rFonts w:ascii="Times New Roman" w:cs="Times New Roman" w:eastAsia="Times New Roman" w:hAnsi="Times New Roman"/>
          <w:sz w:val="20"/>
          <w:szCs w:val="20"/>
          <w:color w:val="auto"/>
        </w:rPr>
      </w:pPr>
      <w:r>
        <w:rPr>
          <w:rFonts w:ascii="Arial" w:cs="Arial" w:eastAsia="Arial" w:hAnsi="Arial"/>
          <w:sz w:val="22"/>
          <w:szCs w:val="22"/>
          <w:color w:val="auto"/>
        </w:rPr>
        <w:t>Pre-clearance must be obtained from the Corporate Secretary for the adoption and any subsequent modification or termination of a Rule 10b5-1 Plan. Officers and directors must first obtain approval from the Chairman of the Board. Any Rule 10b5-1 Plan must be submitted for approval at least five days prior to the entry into the Rule 10b5-1 Plan;</w:t>
      </w:r>
    </w:p>
    <w:p>
      <w:pPr>
        <w:spacing w:after="0" w:line="171" w:lineRule="exact"/>
        <w:rPr>
          <w:rFonts w:ascii="Times New Roman" w:cs="Times New Roman" w:eastAsia="Times New Roman" w:hAnsi="Times New Roman"/>
          <w:sz w:val="20"/>
          <w:szCs w:val="20"/>
          <w:color w:val="auto"/>
        </w:rPr>
      </w:pPr>
    </w:p>
    <w:p>
      <w:pPr>
        <w:ind w:left="660" w:hanging="328"/>
        <w:spacing w:after="0" w:line="272" w:lineRule="auto"/>
        <w:tabs>
          <w:tab w:leader="none" w:pos="648" w:val="left"/>
        </w:tabs>
        <w:numPr>
          <w:ilvl w:val="0"/>
          <w:numId w:val="309"/>
        </w:numPr>
        <w:rPr>
          <w:rFonts w:ascii="Times New Roman" w:cs="Times New Roman" w:eastAsia="Times New Roman" w:hAnsi="Times New Roman"/>
          <w:sz w:val="20"/>
          <w:szCs w:val="20"/>
          <w:color w:val="auto"/>
        </w:rPr>
      </w:pPr>
      <w:r>
        <w:rPr>
          <w:rFonts w:ascii="Arial" w:cs="Arial" w:eastAsia="Arial" w:hAnsi="Arial"/>
          <w:sz w:val="22"/>
          <w:szCs w:val="22"/>
          <w:color w:val="auto"/>
        </w:rPr>
        <w:t>A Rule 10b5-1 Plan may be adopted only during an open window period when a special blackout period is not in effect and when the insider is not aware of material nonpublic information;</w:t>
      </w:r>
    </w:p>
    <w:p>
      <w:pPr>
        <w:spacing w:after="0" w:line="169" w:lineRule="exact"/>
        <w:rPr>
          <w:rFonts w:ascii="Times New Roman" w:cs="Times New Roman" w:eastAsia="Times New Roman" w:hAnsi="Times New Roman"/>
          <w:sz w:val="20"/>
          <w:szCs w:val="20"/>
          <w:color w:val="auto"/>
        </w:rPr>
      </w:pPr>
    </w:p>
    <w:p>
      <w:pPr>
        <w:jc w:val="both"/>
        <w:ind w:left="660" w:hanging="328"/>
        <w:spacing w:after="0" w:line="257" w:lineRule="auto"/>
        <w:tabs>
          <w:tab w:leader="none" w:pos="648" w:val="left"/>
        </w:tabs>
        <w:numPr>
          <w:ilvl w:val="0"/>
          <w:numId w:val="309"/>
        </w:numPr>
        <w:rPr>
          <w:rFonts w:ascii="Times New Roman" w:cs="Times New Roman" w:eastAsia="Times New Roman" w:hAnsi="Times New Roman"/>
          <w:sz w:val="20"/>
          <w:szCs w:val="20"/>
          <w:color w:val="auto"/>
        </w:rPr>
      </w:pPr>
      <w:r>
        <w:rPr>
          <w:rFonts w:ascii="Arial" w:cs="Arial" w:eastAsia="Arial" w:hAnsi="Arial"/>
          <w:sz w:val="22"/>
          <w:szCs w:val="22"/>
          <w:color w:val="auto"/>
        </w:rPr>
        <w:t>Modifications or amendments are permitted only during open window periods when a special blackout period is not in effect, when the insider is not aware of material nonpublic information, and not more than once in a window period;</w:t>
      </w:r>
    </w:p>
    <w:p>
      <w:pPr>
        <w:spacing w:after="0" w:line="172" w:lineRule="exact"/>
        <w:rPr>
          <w:rFonts w:ascii="Times New Roman" w:cs="Times New Roman" w:eastAsia="Times New Roman" w:hAnsi="Times New Roman"/>
          <w:sz w:val="20"/>
          <w:szCs w:val="20"/>
          <w:color w:val="auto"/>
        </w:rPr>
      </w:pPr>
    </w:p>
    <w:p>
      <w:pPr>
        <w:jc w:val="both"/>
        <w:ind w:left="660" w:hanging="328"/>
        <w:spacing w:after="0" w:line="254" w:lineRule="auto"/>
        <w:tabs>
          <w:tab w:leader="none" w:pos="648" w:val="left"/>
        </w:tabs>
        <w:numPr>
          <w:ilvl w:val="0"/>
          <w:numId w:val="309"/>
        </w:numPr>
        <w:rPr>
          <w:rFonts w:ascii="Times New Roman" w:cs="Times New Roman" w:eastAsia="Times New Roman" w:hAnsi="Times New Roman"/>
          <w:sz w:val="20"/>
          <w:szCs w:val="20"/>
          <w:color w:val="auto"/>
        </w:rPr>
      </w:pPr>
      <w:r>
        <w:rPr>
          <w:rFonts w:ascii="Arial" w:cs="Arial" w:eastAsia="Arial" w:hAnsi="Arial"/>
          <w:sz w:val="22"/>
          <w:szCs w:val="22"/>
          <w:color w:val="auto"/>
        </w:rPr>
        <w:t>No transactions may take place under a Rule 10b5-1 Plan until the later of (a) 90 days after adoption, amendment, or modification of the Rule 10b5-1 Plan, and (b) two business days following the disclosure of the Company’s financial results in a quarterly report on Form 10-Q or an annual report on Form 10-K for the fiscal quarter (the Company’s fourth fiscal quarter in the case of a Form 10-K) in which the Rule 10b5-1 Plan was adopted or modified (but in any event, the cooling-off period is subject to a maximum of 120 days after adoption, modification, or amendment of the plan);</w:t>
      </w:r>
    </w:p>
    <w:p>
      <w:pPr>
        <w:spacing w:after="0" w:line="175" w:lineRule="exact"/>
        <w:rPr>
          <w:rFonts w:ascii="Times New Roman" w:cs="Times New Roman" w:eastAsia="Times New Roman" w:hAnsi="Times New Roman"/>
          <w:sz w:val="20"/>
          <w:szCs w:val="20"/>
          <w:color w:val="auto"/>
        </w:rPr>
      </w:pPr>
    </w:p>
    <w:p>
      <w:pPr>
        <w:jc w:val="both"/>
        <w:ind w:left="660" w:hanging="328"/>
        <w:spacing w:after="0" w:line="257" w:lineRule="auto"/>
        <w:tabs>
          <w:tab w:leader="none" w:pos="648" w:val="left"/>
        </w:tabs>
        <w:numPr>
          <w:ilvl w:val="0"/>
          <w:numId w:val="309"/>
        </w:numPr>
        <w:rPr>
          <w:rFonts w:ascii="Times New Roman" w:cs="Times New Roman" w:eastAsia="Times New Roman" w:hAnsi="Times New Roman"/>
          <w:sz w:val="20"/>
          <w:szCs w:val="20"/>
          <w:color w:val="auto"/>
        </w:rPr>
      </w:pPr>
      <w:r>
        <w:rPr>
          <w:rFonts w:ascii="Arial" w:cs="Arial" w:eastAsia="Arial" w:hAnsi="Arial"/>
          <w:sz w:val="22"/>
          <w:szCs w:val="22"/>
          <w:color w:val="auto"/>
        </w:rPr>
        <w:t>Terminations are permitted only during open window periods when a special blackout period is not in effect and when the insider is not aware of material nonpublic information. If a Rule 10b5-1 Plan is terminated, you must wait at least 90 days before trading outside of the Rule 10b5-1 Plan. The 90 day cooling-off period will apply to any new 10b5-1 Plan adopted after the termination;</w:t>
      </w:r>
    </w:p>
    <w:p>
      <w:pPr>
        <w:spacing w:after="0" w:line="17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09"/>
        </w:numPr>
        <w:rPr>
          <w:rFonts w:ascii="Times New Roman" w:cs="Times New Roman" w:eastAsia="Times New Roman" w:hAnsi="Times New Roman"/>
          <w:sz w:val="20"/>
          <w:szCs w:val="20"/>
          <w:color w:val="auto"/>
        </w:rPr>
      </w:pPr>
      <w:r>
        <w:rPr>
          <w:rFonts w:ascii="Arial" w:cs="Arial" w:eastAsia="Arial" w:hAnsi="Arial"/>
          <w:sz w:val="22"/>
          <w:szCs w:val="22"/>
          <w:color w:val="auto"/>
        </w:rPr>
        <w:t>The term for a Rule 10b5-1 Plan shall be at least one year and is typically one to two years;</w:t>
      </w:r>
    </w:p>
    <w:p>
      <w:pPr>
        <w:spacing w:after="0" w:line="233" w:lineRule="exact"/>
        <w:rPr>
          <w:rFonts w:ascii="Times New Roman" w:cs="Times New Roman" w:eastAsia="Times New Roman" w:hAnsi="Times New Roman"/>
          <w:sz w:val="20"/>
          <w:szCs w:val="20"/>
          <w:color w:val="auto"/>
        </w:rPr>
      </w:pPr>
    </w:p>
    <w:p>
      <w:pPr>
        <w:jc w:val="both"/>
        <w:ind w:left="660" w:hanging="328"/>
        <w:spacing w:after="0" w:line="264" w:lineRule="auto"/>
        <w:tabs>
          <w:tab w:leader="none" w:pos="648" w:val="left"/>
        </w:tabs>
        <w:numPr>
          <w:ilvl w:val="0"/>
          <w:numId w:val="309"/>
        </w:numPr>
        <w:rPr>
          <w:rFonts w:ascii="Times New Roman" w:cs="Times New Roman" w:eastAsia="Times New Roman" w:hAnsi="Times New Roman"/>
          <w:sz w:val="20"/>
          <w:szCs w:val="20"/>
          <w:color w:val="auto"/>
        </w:rPr>
      </w:pPr>
      <w:r>
        <w:rPr>
          <w:rFonts w:ascii="Arial" w:cs="Arial" w:eastAsia="Arial" w:hAnsi="Arial"/>
          <w:sz w:val="22"/>
          <w:szCs w:val="22"/>
          <w:color w:val="auto"/>
        </w:rPr>
        <w:t>Opposite way trades in the Company’s securities outside of the Rule 10b5-1 Plan while it is in effect (e.g., purchases of Company stock outside a Rule 10b5-1 Plan instructing the sale of Company stock) are prohibited;</w:t>
      </w:r>
    </w:p>
    <w:p>
      <w:pPr>
        <w:spacing w:after="0" w:line="164" w:lineRule="exact"/>
        <w:rPr>
          <w:rFonts w:ascii="Times New Roman" w:cs="Times New Roman" w:eastAsia="Times New Roman" w:hAnsi="Times New Roman"/>
          <w:sz w:val="20"/>
          <w:szCs w:val="20"/>
          <w:color w:val="auto"/>
        </w:rPr>
      </w:pPr>
    </w:p>
    <w:p>
      <w:pPr>
        <w:ind w:left="660" w:hanging="328"/>
        <w:spacing w:after="0" w:line="272" w:lineRule="auto"/>
        <w:tabs>
          <w:tab w:leader="none" w:pos="648" w:val="left"/>
        </w:tabs>
        <w:numPr>
          <w:ilvl w:val="0"/>
          <w:numId w:val="309"/>
        </w:numPr>
        <w:rPr>
          <w:rFonts w:ascii="Times New Roman" w:cs="Times New Roman" w:eastAsia="Times New Roman" w:hAnsi="Times New Roman"/>
          <w:sz w:val="20"/>
          <w:szCs w:val="20"/>
          <w:color w:val="auto"/>
        </w:rPr>
      </w:pPr>
      <w:r>
        <w:rPr>
          <w:rFonts w:ascii="Arial" w:cs="Arial" w:eastAsia="Arial" w:hAnsi="Arial"/>
          <w:sz w:val="22"/>
          <w:szCs w:val="22"/>
          <w:color w:val="auto"/>
        </w:rPr>
        <w:t>A person may not enter into overlapping Rule 10b5-1 Plans (subject to certain exceptions) and may only enter into one single-trade Rule 10b5-1 Plan during any 12-month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240"/>
          </w:cols>
          <w:pgMar w:left="320" w:top="1440" w:right="339" w:bottom="1440" w:gutter="0" w:footer="0" w:header="0"/>
        </w:sectPr>
      </w:pPr>
    </w:p>
    <w:bookmarkStart w:id="195" w:name="page196"/>
    <w:bookmarkEnd w:id="195"/>
    <w:p>
      <w:pPr>
        <w:jc w:val="both"/>
        <w:ind w:left="660" w:right="20" w:hanging="328"/>
        <w:spacing w:after="0" w:line="264" w:lineRule="auto"/>
        <w:tabs>
          <w:tab w:leader="none" w:pos="648" w:val="left"/>
        </w:tabs>
        <w:numPr>
          <w:ilvl w:val="0"/>
          <w:numId w:val="310"/>
        </w:numPr>
        <w:rPr>
          <w:rFonts w:ascii="Times New Roman" w:cs="Times New Roman" w:eastAsia="Times New Roman" w:hAnsi="Times New Roman"/>
          <w:sz w:val="20"/>
          <w:szCs w:val="20"/>
          <w:color w:val="auto"/>
        </w:rPr>
      </w:pPr>
      <w:r>
        <w:rPr>
          <w:rFonts w:ascii="Arial" w:cs="Arial" w:eastAsia="Arial" w:hAnsi="Arial"/>
          <w:sz w:val="22"/>
          <w:szCs w:val="22"/>
          <w:color w:val="auto"/>
        </w:rPr>
        <w:t>Rule 10b5-1 Plans must include a representation certifying that: (i) the insider is not aware of any material nonpublic information; and (ii) the insider is adopting the plan in good faith and not as part of a plan or scheme to evade the prohibitions in Rule 10b-5; and</w:t>
      </w:r>
    </w:p>
    <w:p>
      <w:pPr>
        <w:spacing w:after="0" w:line="164" w:lineRule="exact"/>
        <w:rPr>
          <w:rFonts w:ascii="Times New Roman" w:cs="Times New Roman" w:eastAsia="Times New Roman" w:hAnsi="Times New Roman"/>
          <w:sz w:val="20"/>
          <w:szCs w:val="20"/>
          <w:color w:val="auto"/>
        </w:rPr>
      </w:pPr>
    </w:p>
    <w:p>
      <w:pPr>
        <w:jc w:val="both"/>
        <w:ind w:left="660" w:hanging="328"/>
        <w:spacing w:after="0" w:line="264" w:lineRule="auto"/>
        <w:tabs>
          <w:tab w:leader="none" w:pos="648" w:val="left"/>
        </w:tabs>
        <w:numPr>
          <w:ilvl w:val="0"/>
          <w:numId w:val="310"/>
        </w:numPr>
        <w:rPr>
          <w:rFonts w:ascii="Times New Roman" w:cs="Times New Roman" w:eastAsia="Times New Roman" w:hAnsi="Times New Roman"/>
          <w:sz w:val="20"/>
          <w:szCs w:val="20"/>
          <w:color w:val="auto"/>
        </w:rPr>
      </w:pPr>
      <w:r>
        <w:rPr>
          <w:rFonts w:ascii="Arial" w:cs="Arial" w:eastAsia="Arial" w:hAnsi="Arial"/>
          <w:sz w:val="22"/>
          <w:szCs w:val="22"/>
          <w:color w:val="auto"/>
        </w:rPr>
        <w:t>Alternative trading plans not implemented under Rule 10b5-1 but that function in a manner similar to 10b5-1 plans by initiating orders for trades in advance of the trade date require pre-clearance and may be subject to some or all the above Rule 10b5-1 Plan requirements.</w:t>
      </w:r>
    </w:p>
    <w:p>
      <w:pPr>
        <w:spacing w:after="0" w:line="164"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22"/>
          <w:szCs w:val="22"/>
          <w:color w:val="auto"/>
        </w:rPr>
        <w:t>A copy of the executed version of any pre-cleared trading plan must be provided to the Corporate Secretary for retention.</w:t>
      </w:r>
    </w:p>
    <w:p>
      <w:pPr>
        <w:spacing w:after="0" w:line="183" w:lineRule="exact"/>
        <w:rPr>
          <w:sz w:val="20"/>
          <w:szCs w:val="20"/>
          <w:color w:val="auto"/>
        </w:rPr>
      </w:pPr>
    </w:p>
    <w:p>
      <w:pPr>
        <w:jc w:val="both"/>
        <w:ind w:firstLine="486"/>
        <w:spacing w:after="0" w:line="285" w:lineRule="auto"/>
        <w:rPr>
          <w:sz w:val="20"/>
          <w:szCs w:val="20"/>
          <w:color w:val="auto"/>
        </w:rPr>
      </w:pPr>
      <w:r>
        <w:rPr>
          <w:rFonts w:ascii="Arial" w:cs="Arial" w:eastAsia="Arial" w:hAnsi="Arial"/>
          <w:sz w:val="22"/>
          <w:szCs w:val="22"/>
          <w:color w:val="auto"/>
        </w:rPr>
        <w:t>Once a Rule 10b5-1 Plan is in place, transacting outside of the plan in securities (including exercise of options) covered by the plan is prohibited.</w:t>
      </w:r>
    </w:p>
    <w:p>
      <w:pPr>
        <w:spacing w:after="0" w:line="169"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22"/>
          <w:szCs w:val="22"/>
          <w:color w:val="auto"/>
        </w:rPr>
        <w:t>The Company and the Company’s Executive Officers and directors are required to make certain disclosures in SEC filings concerning Rule 10b5-1 Plans. Executive Officers and directors of the Company must undertake to provide any information requested by the Company regarding Rule 10b5-1 Plans for the purpose of providing the required disclosures or any other disclosures that the Company deems to be appropriate under the circumstances.</w:t>
      </w:r>
    </w:p>
    <w:p>
      <w:pPr>
        <w:spacing w:after="0" w:line="202"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22"/>
          <w:szCs w:val="22"/>
          <w:color w:val="auto"/>
        </w:rPr>
        <w:t>Transactions pursuant to a Rule 10b5-1 Plan remain subject to Form 144 and Section 16 reporting requirements, and the fact that a reported transaction was made or is to be made pursuant to a trading plan (and the date of the plan) should be noted on the applicable form. Approval or adoption of a Rule 10b5-1 trading plan in no way reduces or eliminates a director’s or an Executive Officer’s obligations under Section 16 of the Exchange Act, including such person’s disclosure obligations and short-swing trading liabilities thereunder.</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Prior Clearance of Transactions in Company Securities</w:t>
      </w:r>
    </w:p>
    <w:p>
      <w:pPr>
        <w:spacing w:after="0" w:line="276"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21"/>
          <w:szCs w:val="21"/>
          <w:color w:val="auto"/>
        </w:rPr>
        <w:t>To minimize the possibility of an inadvertent violation of the insider trading prohibitions discussed above, all directors, Officers and other Designated Insiders must pre-clear proposed transactions in the Company's securities (including transactions by their family members and controlled entities) with the Corporate Secretary, including during an open window. Unless otherwise indicated in this Policy, the pre-clearance requirement applies to all transactions in Company securities, including “Fund-Switching Transactions” affecting securities in the Stock Fund, gifts of Company securities, and stock option exercises. All directors and Officers must also pre-clear proposed transactions with the Chairman of the Board, with the Chief Executive Officer on copy (if the Chief Executive Officer is a separate role).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240"/>
          </w:cols>
          <w:pgMar w:left="320" w:top="1423" w:right="339" w:bottom="1440" w:gutter="0" w:footer="0" w:header="0"/>
        </w:sectPr>
      </w:pPr>
    </w:p>
    <w:bookmarkStart w:id="196" w:name="page197"/>
    <w:bookmarkEnd w:id="196"/>
    <w:p>
      <w:pPr>
        <w:jc w:val="both"/>
        <w:ind w:firstLine="486"/>
        <w:spacing w:after="0" w:line="257" w:lineRule="auto"/>
        <w:rPr>
          <w:sz w:val="20"/>
          <w:szCs w:val="20"/>
          <w:color w:val="auto"/>
        </w:rPr>
      </w:pPr>
      <w:r>
        <w:rPr>
          <w:rFonts w:ascii="Arial" w:cs="Arial" w:eastAsia="Arial" w:hAnsi="Arial"/>
          <w:sz w:val="22"/>
          <w:szCs w:val="22"/>
          <w:color w:val="auto"/>
        </w:rPr>
        <w:t xml:space="preserve">Pre-clearance requests may be submitted, together with all required supporting documentation and certification (including a pre- transaction certification substantially in the form provided as </w:t>
      </w:r>
      <w:r>
        <w:rPr>
          <w:rFonts w:ascii="Arial" w:cs="Arial" w:eastAsia="Arial" w:hAnsi="Arial"/>
          <w:sz w:val="22"/>
          <w:szCs w:val="22"/>
          <w:u w:val="single" w:color="auto"/>
          <w:color w:val="auto"/>
        </w:rPr>
        <w:t>Attachment A</w:t>
      </w:r>
      <w:r>
        <w:rPr>
          <w:rFonts w:ascii="Arial" w:cs="Arial" w:eastAsia="Arial" w:hAnsi="Arial"/>
          <w:sz w:val="22"/>
          <w:szCs w:val="22"/>
          <w:color w:val="auto"/>
        </w:rPr>
        <w:t>), at any time during an open window period when the insider is not aware of material nonpublic information, and when a special blackout period is not in effect.</w:t>
      </w:r>
    </w:p>
    <w:p>
      <w:pPr>
        <w:spacing w:after="0" w:line="199"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22"/>
          <w:szCs w:val="22"/>
          <w:color w:val="auto"/>
        </w:rPr>
        <w:t>When a request for pre-clearance is made, the requestor should carefully consider whether the requestor may be aware of any material nonpublic information about the Company and should include a description those circumstances. If the requestor is a director or Executive Officer, then the requestor should also indicate whether the requestor has effected any non-exempt “opposite-way” transactions within the past six months, should be prepared to report the proposed transaction on an appropriate Form 4 or Form 5, and should be prepared to comply with Rule 144 and file a Form 144, if necessary, at the time of any sale.</w:t>
      </w:r>
    </w:p>
    <w:p>
      <w:pPr>
        <w:spacing w:after="0" w:line="208"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21"/>
          <w:szCs w:val="21"/>
          <w:color w:val="auto"/>
        </w:rPr>
        <w:t>Neither the Chairman of the Board nor the Corporate Secretary are under any obligation to approve any transaction. If a person seeks pre-clearance and permission to engage in the transaction is denied, then the person should refrain from initiating any transaction in the Company’s securities and should not inform any other person of the restriction. This pre-clearance requirement does not apply to transactions under previously approved Rule 10b5-1 Plans (however, all Company personnel shall preclear Rule 10b5-1 Plans prior to the adoption, modification, amendment, or termination of such plans), to the automatic reinvestment of dividends under the Dividend Reinvestment Plan or to ongoing contributions to the Stock Fund (including matching employer contributions).</w:t>
      </w:r>
    </w:p>
    <w:p>
      <w:pPr>
        <w:spacing w:after="0" w:line="193"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22"/>
          <w:szCs w:val="22"/>
          <w:color w:val="auto"/>
        </w:rPr>
        <w:t>Corporate Secretary clearance will normally be effective only for a specific transaction, only for two business days following the pre-clearance, and only so long as the person given clearance is not aware of undisclosed material information. Any transaction to be entered into thereafter will require a new clearance.</w:t>
      </w:r>
    </w:p>
    <w:p>
      <w:pPr>
        <w:spacing w:after="0" w:line="200" w:lineRule="exact"/>
        <w:rPr>
          <w:sz w:val="20"/>
          <w:szCs w:val="20"/>
          <w:color w:val="auto"/>
        </w:rPr>
      </w:pPr>
    </w:p>
    <w:p>
      <w:pPr>
        <w:spacing w:after="0" w:line="219" w:lineRule="exact"/>
        <w:rPr>
          <w:sz w:val="20"/>
          <w:szCs w:val="20"/>
          <w:color w:val="auto"/>
        </w:rPr>
      </w:pPr>
    </w:p>
    <w:p>
      <w:pPr>
        <w:ind w:right="340" w:firstLine="8"/>
        <w:spacing w:after="0" w:line="481" w:lineRule="auto"/>
        <w:tabs>
          <w:tab w:leader="none" w:pos="616" w:val="left"/>
        </w:tabs>
        <w:numPr>
          <w:ilvl w:val="0"/>
          <w:numId w:val="311"/>
        </w:numPr>
        <w:rPr>
          <w:rFonts w:ascii="Arial" w:cs="Arial" w:eastAsia="Arial" w:hAnsi="Arial"/>
          <w:sz w:val="22"/>
          <w:szCs w:val="22"/>
          <w:b w:val="1"/>
          <w:bCs w:val="1"/>
          <w:color w:val="auto"/>
        </w:rPr>
      </w:pPr>
      <w:r>
        <w:rPr>
          <w:rFonts w:ascii="Arial" w:cs="Arial" w:eastAsia="Arial" w:hAnsi="Arial"/>
          <w:sz w:val="22"/>
          <w:szCs w:val="22"/>
          <w:b w:val="1"/>
          <w:bCs w:val="1"/>
          <w:color w:val="auto"/>
        </w:rPr>
        <w:t>ENGAGING IN SECURITIES TRANSACTIONS BY GENERAL EMPLOYEE POPULATION AND OTHERS Becoming an Insider as to Specific Material Information</w:t>
      </w:r>
    </w:p>
    <w:p>
      <w:pPr>
        <w:spacing w:after="0" w:line="1" w:lineRule="exact"/>
        <w:rPr>
          <w:sz w:val="20"/>
          <w:szCs w:val="20"/>
          <w:color w:val="auto"/>
        </w:rPr>
      </w:pPr>
    </w:p>
    <w:p>
      <w:pPr>
        <w:jc w:val="both"/>
        <w:ind w:firstLine="486"/>
        <w:spacing w:after="0" w:line="250" w:lineRule="auto"/>
        <w:rPr>
          <w:sz w:val="20"/>
          <w:szCs w:val="20"/>
          <w:color w:val="auto"/>
        </w:rPr>
      </w:pPr>
      <w:r>
        <w:rPr>
          <w:rFonts w:ascii="Arial" w:cs="Arial" w:eastAsia="Arial" w:hAnsi="Arial"/>
          <w:sz w:val="22"/>
          <w:szCs w:val="22"/>
          <w:color w:val="auto"/>
        </w:rPr>
        <w:t>Almost any employee may, at some time, become aware of material inside information, even by inadvertently overhearing a conversation or viewing sensitive documents. In such cases, the employee is considered an “insider” as is any person to whom the employee discloses that information before it becomes public. No transaction should be made while aware of any material information until at least 24 hours after it has been made public or such longer period as the General Counsel or Corporate Secretary may specify. If an employee is in any doubt whatsoever regarding this rule, the employee should immediately contact the Corporate Secretary. No employee should engage in transactions in the securities of the Company if one of the reasons for the transaction is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240"/>
          </w:cols>
          <w:pgMar w:left="320" w:top="1423" w:right="339" w:bottom="1440" w:gutter="0" w:footer="0" w:header="0"/>
        </w:sectPr>
      </w:pPr>
    </w:p>
    <w:bookmarkStart w:id="197" w:name="page198"/>
    <w:bookmarkEnd w:id="197"/>
    <w:p>
      <w:pPr>
        <w:jc w:val="both"/>
        <w:spacing w:after="0" w:line="272" w:lineRule="auto"/>
        <w:rPr>
          <w:sz w:val="20"/>
          <w:szCs w:val="20"/>
          <w:color w:val="auto"/>
        </w:rPr>
      </w:pPr>
      <w:r>
        <w:rPr>
          <w:rFonts w:ascii="Arial" w:cs="Arial" w:eastAsia="Arial" w:hAnsi="Arial"/>
          <w:sz w:val="22"/>
          <w:szCs w:val="22"/>
          <w:color w:val="auto"/>
        </w:rPr>
        <w:t>the employee’s belief that he has access to non-public information that, when it becomes public, will cause the Company’s stock price to go up or down.</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Hedging and Speculative Transactions</w:t>
      </w:r>
    </w:p>
    <w:p>
      <w:pPr>
        <w:spacing w:after="0" w:line="289" w:lineRule="exact"/>
        <w:rPr>
          <w:sz w:val="20"/>
          <w:szCs w:val="20"/>
          <w:color w:val="auto"/>
        </w:rPr>
      </w:pPr>
    </w:p>
    <w:p>
      <w:pPr>
        <w:jc w:val="both"/>
        <w:ind w:firstLine="486"/>
        <w:spacing w:after="0" w:line="249" w:lineRule="auto"/>
        <w:rPr>
          <w:sz w:val="20"/>
          <w:szCs w:val="20"/>
          <w:color w:val="auto"/>
        </w:rPr>
      </w:pPr>
      <w:r>
        <w:rPr>
          <w:rFonts w:ascii="Arial" w:cs="Arial" w:eastAsia="Arial" w:hAnsi="Arial"/>
          <w:sz w:val="22"/>
          <w:szCs w:val="22"/>
          <w:color w:val="auto"/>
        </w:rPr>
        <w:t>The Company’s policy is that hedging by a Designated Insider, any employee who is aware of material non-public information, or any of their designees is prohibited and is strongly discouraged for all other employees. For this purpose, hedging means purchasing financial instruments (including prepaid variable forward sale contracts, equity swaps, collars and interests in exchange funds) or otherwise engaging in transactions that are designed to hedge or offset any decrease in the market value of Company stock held, directly or indirectly by them, whether the stock was acquired pursuant to a compensation arrangement or otherwise. An insider who is uncertain about whether a financial instrument or transaction would fall under this policy should consult with the Corporate Secretary before purchasing the instrument or entering into the transaction.</w:t>
      </w:r>
    </w:p>
    <w:p>
      <w:pPr>
        <w:spacing w:after="0" w:line="209" w:lineRule="exact"/>
        <w:rPr>
          <w:sz w:val="20"/>
          <w:szCs w:val="20"/>
          <w:color w:val="auto"/>
        </w:rPr>
      </w:pPr>
    </w:p>
    <w:p>
      <w:pPr>
        <w:jc w:val="both"/>
        <w:ind w:firstLine="486"/>
        <w:spacing w:after="0" w:line="234" w:lineRule="auto"/>
        <w:rPr>
          <w:sz w:val="20"/>
          <w:szCs w:val="20"/>
          <w:color w:val="auto"/>
        </w:rPr>
      </w:pPr>
      <w:r>
        <w:rPr>
          <w:rFonts w:ascii="Arial" w:cs="Arial" w:eastAsia="Arial" w:hAnsi="Arial"/>
          <w:sz w:val="22"/>
          <w:szCs w:val="22"/>
          <w:color w:val="auto"/>
        </w:rPr>
        <w:t>Designated Insiders and all other employees of the Company and any of their designees are prohibited from making any short sale</w:t>
      </w:r>
      <w:r>
        <w:rPr>
          <w:rFonts w:ascii="Arial" w:cs="Arial" w:eastAsia="Arial" w:hAnsi="Arial"/>
          <w:sz w:val="28"/>
          <w:szCs w:val="28"/>
          <w:color w:val="auto"/>
          <w:vertAlign w:val="superscript"/>
        </w:rPr>
        <w:t>4</w:t>
      </w:r>
      <w:r>
        <w:rPr>
          <w:rFonts w:ascii="Arial" w:cs="Arial" w:eastAsia="Arial" w:hAnsi="Arial"/>
          <w:sz w:val="22"/>
          <w:szCs w:val="22"/>
          <w:color w:val="auto"/>
        </w:rPr>
        <w:t xml:space="preserve"> or “sale against the box”</w:t>
      </w:r>
      <w:r>
        <w:rPr>
          <w:rFonts w:ascii="Arial" w:cs="Arial" w:eastAsia="Arial" w:hAnsi="Arial"/>
          <w:sz w:val="28"/>
          <w:szCs w:val="28"/>
          <w:color w:val="auto"/>
          <w:vertAlign w:val="superscript"/>
        </w:rPr>
        <w:t>5</w:t>
      </w:r>
      <w:r>
        <w:rPr>
          <w:rFonts w:ascii="Arial" w:cs="Arial" w:eastAsia="Arial" w:hAnsi="Arial"/>
          <w:sz w:val="22"/>
          <w:szCs w:val="22"/>
          <w:color w:val="auto"/>
        </w:rPr>
        <w:t xml:space="preserve"> of the Company's equity securities (which term includes the Company's common stock and any preferred stock which may be issued from time to time).</w:t>
      </w:r>
    </w:p>
    <w:p>
      <w:pPr>
        <w:spacing w:after="0" w:line="219" w:lineRule="exact"/>
        <w:rPr>
          <w:sz w:val="20"/>
          <w:szCs w:val="20"/>
          <w:color w:val="auto"/>
        </w:rPr>
      </w:pPr>
    </w:p>
    <w:p>
      <w:pPr>
        <w:jc w:val="both"/>
        <w:ind w:right="20" w:firstLine="486"/>
        <w:spacing w:after="0" w:line="275" w:lineRule="auto"/>
        <w:rPr>
          <w:sz w:val="20"/>
          <w:szCs w:val="20"/>
          <w:color w:val="auto"/>
        </w:rPr>
      </w:pPr>
      <w:r>
        <w:rPr>
          <w:rFonts w:ascii="Arial" w:cs="Arial" w:eastAsia="Arial" w:hAnsi="Arial"/>
          <w:sz w:val="21"/>
          <w:szCs w:val="21"/>
          <w:color w:val="auto"/>
        </w:rPr>
        <w:t>To promote compliance with the securities laws and the applicable policies of the Company, Designated Insiders and all other employees should view all their transactions in the Company's securities as involving investment decisions and not speculation. It is the Company's policy that no director, Officer, or any of their designees should:</w:t>
      </w:r>
    </w:p>
    <w:p>
      <w:pPr>
        <w:spacing w:after="0" w:line="182" w:lineRule="exact"/>
        <w:rPr>
          <w:sz w:val="20"/>
          <w:szCs w:val="20"/>
          <w:color w:val="auto"/>
        </w:rPr>
      </w:pPr>
    </w:p>
    <w:p>
      <w:pPr>
        <w:ind w:left="660" w:hanging="328"/>
        <w:spacing w:after="0" w:line="231" w:lineRule="auto"/>
        <w:tabs>
          <w:tab w:leader="none" w:pos="648" w:val="left"/>
        </w:tabs>
        <w:numPr>
          <w:ilvl w:val="0"/>
          <w:numId w:val="312"/>
        </w:numPr>
        <w:rPr>
          <w:rFonts w:ascii="Times New Roman" w:cs="Times New Roman" w:eastAsia="Times New Roman" w:hAnsi="Times New Roman"/>
          <w:sz w:val="20"/>
          <w:szCs w:val="20"/>
          <w:color w:val="auto"/>
        </w:rPr>
      </w:pPr>
      <w:r>
        <w:rPr>
          <w:rFonts w:ascii="Arial" w:cs="Arial" w:eastAsia="Arial" w:hAnsi="Arial"/>
          <w:sz w:val="22"/>
          <w:szCs w:val="22"/>
          <w:color w:val="auto"/>
        </w:rPr>
        <w:t>purchase or sell puts or calls</w:t>
      </w:r>
      <w:r>
        <w:rPr>
          <w:rFonts w:ascii="Arial" w:cs="Arial" w:eastAsia="Arial" w:hAnsi="Arial"/>
          <w:sz w:val="28"/>
          <w:szCs w:val="28"/>
          <w:color w:val="auto"/>
          <w:vertAlign w:val="superscript"/>
        </w:rPr>
        <w:t>6</w:t>
      </w:r>
      <w:r>
        <w:rPr>
          <w:rFonts w:ascii="Arial" w:cs="Arial" w:eastAsia="Arial" w:hAnsi="Arial"/>
          <w:sz w:val="22"/>
          <w:szCs w:val="22"/>
          <w:color w:val="auto"/>
        </w:rPr>
        <w:t xml:space="preserve"> on the Company's securities or otherwise engage in transactions in or write options on such securities;</w:t>
      </w:r>
    </w:p>
    <w:p>
      <w:pPr>
        <w:spacing w:after="0" w:line="189"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12"/>
        </w:numPr>
        <w:rPr>
          <w:rFonts w:ascii="Times New Roman" w:cs="Times New Roman" w:eastAsia="Times New Roman" w:hAnsi="Times New Roman"/>
          <w:sz w:val="20"/>
          <w:szCs w:val="20"/>
          <w:color w:val="auto"/>
        </w:rPr>
      </w:pPr>
      <w:r>
        <w:rPr>
          <w:rFonts w:ascii="Arial" w:cs="Arial" w:eastAsia="Arial" w:hAnsi="Arial"/>
          <w:sz w:val="22"/>
          <w:szCs w:val="22"/>
          <w:color w:val="auto"/>
        </w:rPr>
        <w:t>take a short position in an equity swap</w:t>
      </w:r>
      <w:r>
        <w:rPr>
          <w:rFonts w:ascii="Arial" w:cs="Arial" w:eastAsia="Arial" w:hAnsi="Arial"/>
          <w:sz w:val="28"/>
          <w:szCs w:val="28"/>
          <w:color w:val="auto"/>
          <w:vertAlign w:val="superscript"/>
        </w:rPr>
        <w:t>7</w:t>
      </w:r>
      <w:r>
        <w:rPr>
          <w:rFonts w:ascii="Arial" w:cs="Arial" w:eastAsia="Arial" w:hAnsi="Arial"/>
          <w:sz w:val="22"/>
          <w:szCs w:val="22"/>
          <w:color w:val="auto"/>
        </w:rPr>
        <w:t xml:space="preserve"> or forward sale or purchase contract</w:t>
      </w:r>
      <w:r>
        <w:rPr>
          <w:rFonts w:ascii="Arial" w:cs="Arial" w:eastAsia="Arial" w:hAnsi="Arial"/>
          <w:sz w:val="28"/>
          <w:szCs w:val="28"/>
          <w:color w:val="auto"/>
          <w:vertAlign w:val="superscript"/>
        </w:rPr>
        <w:t>8</w:t>
      </w:r>
      <w:r>
        <w:rPr>
          <w:rFonts w:ascii="Arial" w:cs="Arial" w:eastAsia="Arial" w:hAnsi="Arial"/>
          <w:sz w:val="22"/>
          <w:szCs w:val="22"/>
          <w:color w:val="auto"/>
        </w:rPr>
        <w:t>;</w:t>
      </w:r>
    </w:p>
    <w:p>
      <w:pPr>
        <w:spacing w:after="0" w:line="164" w:lineRule="exact"/>
        <w:rPr>
          <w:rFonts w:ascii="Times New Roman" w:cs="Times New Roman" w:eastAsia="Times New Roman" w:hAnsi="Times New Roman"/>
          <w:sz w:val="20"/>
          <w:szCs w:val="20"/>
          <w:color w:val="auto"/>
        </w:rPr>
      </w:pPr>
    </w:p>
    <w:p>
      <w:pPr>
        <w:ind w:left="660" w:hanging="328"/>
        <w:spacing w:after="0" w:line="287" w:lineRule="auto"/>
        <w:tabs>
          <w:tab w:leader="none" w:pos="648" w:val="left"/>
        </w:tabs>
        <w:numPr>
          <w:ilvl w:val="0"/>
          <w:numId w:val="312"/>
        </w:numPr>
        <w:rPr>
          <w:rFonts w:ascii="Times New Roman" w:cs="Times New Roman" w:eastAsia="Times New Roman" w:hAnsi="Times New Roman"/>
          <w:sz w:val="20"/>
          <w:szCs w:val="20"/>
          <w:color w:val="auto"/>
        </w:rPr>
      </w:pPr>
      <w:r>
        <w:rPr>
          <w:rFonts w:ascii="Arial" w:cs="Arial" w:eastAsia="Arial" w:hAnsi="Arial"/>
          <w:sz w:val="22"/>
          <w:szCs w:val="22"/>
          <w:color w:val="auto"/>
        </w:rPr>
        <w:t>take a short position through a derivative contract or otherwise in an index or basket of stocks including Honeywell stock, other than a ‘broad-based” index or basket</w:t>
      </w:r>
      <w:r>
        <w:rPr>
          <w:rFonts w:ascii="Arial" w:cs="Arial" w:eastAsia="Arial" w:hAnsi="Arial"/>
          <w:sz w:val="28"/>
          <w:szCs w:val="28"/>
          <w:color w:val="auto"/>
          <w:vertAlign w:val="superscript"/>
        </w:rPr>
        <w:t>9</w:t>
      </w:r>
      <w:r>
        <w:rPr>
          <w:rFonts w:ascii="Arial" w:cs="Arial" w:eastAsia="Arial" w:hAnsi="Arial"/>
          <w:sz w:val="22"/>
          <w:szCs w:val="22"/>
          <w:color w:val="auto"/>
        </w:rPr>
        <w:t>; or</w:t>
      </w:r>
    </w:p>
    <w:p>
      <w:pPr>
        <w:spacing w:after="0" w:line="48"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12"/>
        </w:numPr>
        <w:rPr>
          <w:rFonts w:ascii="Times New Roman" w:cs="Times New Roman" w:eastAsia="Times New Roman" w:hAnsi="Times New Roman"/>
          <w:sz w:val="20"/>
          <w:szCs w:val="20"/>
          <w:color w:val="auto"/>
        </w:rPr>
      </w:pPr>
      <w:r>
        <w:rPr>
          <w:rFonts w:ascii="Arial" w:cs="Arial" w:eastAsia="Arial" w:hAnsi="Arial"/>
          <w:sz w:val="22"/>
          <w:szCs w:val="22"/>
          <w:color w:val="auto"/>
        </w:rPr>
        <w:t>purchase interests in exchange funds</w:t>
      </w:r>
      <w:r>
        <w:rPr>
          <w:rFonts w:ascii="Arial" w:cs="Arial" w:eastAsia="Arial" w:hAnsi="Arial"/>
          <w:sz w:val="28"/>
          <w:szCs w:val="28"/>
          <w:color w:val="auto"/>
          <w:vertAlign w:val="superscript"/>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226314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63">
                      <a:extLst>
                        <a:ext uri="{28A0092B-C50C-407E-A947-70E740481C1C}"/>
                      </a:extLst>
                    </a:blip>
                    <a:srcRect/>
                    <a:stretch>
                      <a:fillRect/>
                    </a:stretch>
                  </pic:blipFill>
                  <pic:spPr bwMode="auto">
                    <a:xfrm>
                      <a:off x="0" y="0"/>
                      <a:ext cx="2263140" cy="8890"/>
                    </a:xfrm>
                    <a:prstGeom prst="rect">
                      <a:avLst/>
                    </a:prstGeom>
                    <a:noFill/>
                  </pic:spPr>
                </pic:pic>
              </a:graphicData>
            </a:graphic>
          </wp:anchor>
        </w:drawing>
      </w:r>
    </w:p>
    <w:p>
      <w:pPr>
        <w:spacing w:after="0" w:line="211" w:lineRule="exact"/>
        <w:rPr>
          <w:sz w:val="20"/>
          <w:szCs w:val="20"/>
          <w:color w:val="auto"/>
        </w:rPr>
      </w:pPr>
    </w:p>
    <w:p>
      <w:pPr>
        <w:ind w:left="100" w:hanging="92"/>
        <w:spacing w:after="0"/>
        <w:tabs>
          <w:tab w:leader="none" w:pos="100" w:val="left"/>
        </w:tabs>
        <w:numPr>
          <w:ilvl w:val="0"/>
          <w:numId w:val="313"/>
        </w:numPr>
        <w:rPr>
          <w:rFonts w:ascii="Arial" w:cs="Arial" w:eastAsia="Arial" w:hAnsi="Arial"/>
          <w:sz w:val="19"/>
          <w:szCs w:val="19"/>
          <w:color w:val="auto"/>
          <w:vertAlign w:val="superscript"/>
        </w:rPr>
      </w:pPr>
      <w:r>
        <w:rPr>
          <w:rFonts w:ascii="Arial" w:cs="Arial" w:eastAsia="Arial" w:hAnsi="Arial"/>
          <w:sz w:val="14"/>
          <w:szCs w:val="14"/>
          <w:color w:val="auto"/>
        </w:rPr>
        <w:t>A “short sale” is a sale of borrowed securities which the seller hopes can be purchased at a lower price in the future.</w:t>
      </w:r>
    </w:p>
    <w:p>
      <w:pPr>
        <w:ind w:left="100" w:hanging="92"/>
        <w:spacing w:after="0" w:line="192" w:lineRule="auto"/>
        <w:tabs>
          <w:tab w:leader="none" w:pos="100" w:val="left"/>
        </w:tabs>
        <w:numPr>
          <w:ilvl w:val="0"/>
          <w:numId w:val="314"/>
        </w:numPr>
        <w:rPr>
          <w:rFonts w:ascii="Arial" w:cs="Arial" w:eastAsia="Arial" w:hAnsi="Arial"/>
          <w:sz w:val="19"/>
          <w:szCs w:val="19"/>
          <w:color w:val="auto"/>
          <w:vertAlign w:val="superscript"/>
        </w:rPr>
      </w:pPr>
      <w:r>
        <w:rPr>
          <w:rFonts w:ascii="Arial" w:cs="Arial" w:eastAsia="Arial" w:hAnsi="Arial"/>
          <w:sz w:val="14"/>
          <w:szCs w:val="14"/>
          <w:color w:val="auto"/>
        </w:rPr>
        <w:t>A “sale against the box” is a sale of stock in which the seller owns the stock being sold, but does not deliver it to the broker against the sale.</w:t>
      </w:r>
    </w:p>
    <w:p>
      <w:pPr>
        <w:spacing w:after="0" w:line="1" w:lineRule="exact"/>
        <w:rPr>
          <w:sz w:val="20"/>
          <w:szCs w:val="20"/>
          <w:color w:val="auto"/>
        </w:rPr>
      </w:pPr>
    </w:p>
    <w:p>
      <w:pPr>
        <w:ind w:firstLine="8"/>
        <w:spacing w:after="0" w:line="218" w:lineRule="auto"/>
        <w:tabs>
          <w:tab w:leader="none" w:pos="100" w:val="left"/>
        </w:tabs>
        <w:numPr>
          <w:ilvl w:val="0"/>
          <w:numId w:val="315"/>
        </w:numPr>
        <w:rPr>
          <w:rFonts w:ascii="Arial" w:cs="Arial" w:eastAsia="Arial" w:hAnsi="Arial"/>
          <w:sz w:val="19"/>
          <w:szCs w:val="19"/>
          <w:color w:val="auto"/>
          <w:vertAlign w:val="superscript"/>
        </w:rPr>
      </w:pPr>
      <w:r>
        <w:rPr>
          <w:rFonts w:ascii="Arial" w:cs="Arial" w:eastAsia="Arial" w:hAnsi="Arial"/>
          <w:sz w:val="14"/>
          <w:szCs w:val="14"/>
          <w:color w:val="auto"/>
        </w:rPr>
        <w:t>“Puts and calls” are options to buy or sell stock. The sale of a call option (i.e., giving the counterparty the right to buy Honeywell stock from the seller at a fixed or formulaic price) is the short position, which increases in value as the stock price declines.</w:t>
      </w:r>
    </w:p>
    <w:p>
      <w:pPr>
        <w:spacing w:after="0" w:line="1" w:lineRule="exact"/>
        <w:rPr>
          <w:rFonts w:ascii="Arial" w:cs="Arial" w:eastAsia="Arial" w:hAnsi="Arial"/>
          <w:sz w:val="19"/>
          <w:szCs w:val="19"/>
          <w:color w:val="auto"/>
          <w:vertAlign w:val="superscript"/>
        </w:rPr>
      </w:pPr>
    </w:p>
    <w:p>
      <w:pPr>
        <w:ind w:right="20"/>
        <w:spacing w:after="0" w:line="261" w:lineRule="auto"/>
        <w:rPr>
          <w:rFonts w:ascii="Arial" w:cs="Arial" w:eastAsia="Arial" w:hAnsi="Arial"/>
          <w:sz w:val="19"/>
          <w:szCs w:val="19"/>
          <w:color w:val="auto"/>
          <w:vertAlign w:val="superscript"/>
        </w:rPr>
      </w:pPr>
      <w:r>
        <w:rPr>
          <w:rFonts w:ascii="Arial" w:cs="Arial" w:eastAsia="Arial" w:hAnsi="Arial"/>
          <w:sz w:val="9"/>
          <w:szCs w:val="9"/>
          <w:color w:val="auto"/>
        </w:rPr>
        <w:t xml:space="preserve">7 </w:t>
      </w:r>
      <w:r>
        <w:rPr>
          <w:rFonts w:ascii="Arial" w:cs="Arial" w:eastAsia="Arial" w:hAnsi="Arial"/>
          <w:sz w:val="14"/>
          <w:szCs w:val="14"/>
          <w:color w:val="auto"/>
        </w:rPr>
        <w:t>A “swap contract” is an agreement between two parties to exchange cash flows. The “short position” in a swap contract in respect of Honeywell stock is the obligation to pay</w:t>
      </w:r>
      <w:r>
        <w:rPr>
          <w:rFonts w:ascii="Arial" w:cs="Arial" w:eastAsia="Arial" w:hAnsi="Arial"/>
          <w:sz w:val="9"/>
          <w:szCs w:val="9"/>
          <w:color w:val="auto"/>
        </w:rPr>
        <w:t xml:space="preserve"> </w:t>
      </w:r>
      <w:r>
        <w:rPr>
          <w:rFonts w:ascii="Arial" w:cs="Arial" w:eastAsia="Arial" w:hAnsi="Arial"/>
          <w:sz w:val="14"/>
          <w:szCs w:val="14"/>
          <w:color w:val="auto"/>
        </w:rPr>
        <w:t>amounts related to the value of, or distributions on, Honeywell stock, so that the value of the short position increases as the stock price decreases.</w:t>
      </w:r>
    </w:p>
    <w:p>
      <w:pPr>
        <w:spacing w:after="0" w:line="228" w:lineRule="auto"/>
        <w:rPr>
          <w:rFonts w:ascii="Arial" w:cs="Arial" w:eastAsia="Arial" w:hAnsi="Arial"/>
          <w:sz w:val="19"/>
          <w:szCs w:val="19"/>
          <w:color w:val="auto"/>
          <w:vertAlign w:val="superscript"/>
        </w:rPr>
      </w:pPr>
      <w:r>
        <w:rPr>
          <w:rFonts w:ascii="Arial" w:cs="Arial" w:eastAsia="Arial" w:hAnsi="Arial"/>
          <w:sz w:val="18"/>
          <w:szCs w:val="18"/>
          <w:color w:val="auto"/>
          <w:vertAlign w:val="superscript"/>
        </w:rPr>
        <w:t>8</w:t>
      </w:r>
      <w:r>
        <w:rPr>
          <w:rFonts w:ascii="Arial" w:cs="Arial" w:eastAsia="Arial" w:hAnsi="Arial"/>
          <w:sz w:val="14"/>
          <w:szCs w:val="14"/>
          <w:color w:val="auto"/>
        </w:rPr>
        <w:t xml:space="preserve"> A “forward contract” is a contract for the future sale and purchase of shares for a fixed or formulaic price. The “short position” in a forward contract is the obligation to sell, which becomes more valuable as the stock price decreases.</w:t>
      </w:r>
    </w:p>
    <w:p>
      <w:pPr>
        <w:spacing w:after="0" w:line="1" w:lineRule="exact"/>
        <w:rPr>
          <w:rFonts w:ascii="Arial" w:cs="Arial" w:eastAsia="Arial" w:hAnsi="Arial"/>
          <w:sz w:val="19"/>
          <w:szCs w:val="19"/>
          <w:color w:val="auto"/>
          <w:vertAlign w:val="superscript"/>
        </w:rPr>
      </w:pPr>
    </w:p>
    <w:p>
      <w:pPr>
        <w:ind w:right="20"/>
        <w:spacing w:after="0" w:line="220" w:lineRule="auto"/>
        <w:rPr>
          <w:rFonts w:ascii="Arial" w:cs="Arial" w:eastAsia="Arial" w:hAnsi="Arial"/>
          <w:sz w:val="19"/>
          <w:szCs w:val="19"/>
          <w:color w:val="auto"/>
          <w:vertAlign w:val="superscript"/>
        </w:rPr>
      </w:pPr>
      <w:r>
        <w:rPr>
          <w:rFonts w:ascii="Arial" w:cs="Arial" w:eastAsia="Arial" w:hAnsi="Arial"/>
          <w:sz w:val="18"/>
          <w:szCs w:val="18"/>
          <w:color w:val="auto"/>
          <w:vertAlign w:val="superscript"/>
        </w:rPr>
        <w:t>9</w:t>
      </w:r>
      <w:r>
        <w:rPr>
          <w:rFonts w:ascii="Arial" w:cs="Arial" w:eastAsia="Arial" w:hAnsi="Arial"/>
          <w:sz w:val="14"/>
          <w:szCs w:val="14"/>
          <w:color w:val="auto"/>
        </w:rPr>
        <w:t xml:space="preserve"> An interest in an index or basket of stocks is a financial instrument that permits the holder to profit if the value of the stocks included in the index or basket changes. SEC rules contain a complex multi-part test to determine whether an index or basket is sufficiently diversified so as to be considered “broad-based”.</w:t>
      </w:r>
    </w:p>
    <w:p>
      <w:pPr>
        <w:ind w:right="140"/>
        <w:spacing w:after="0" w:line="229" w:lineRule="auto"/>
        <w:rPr>
          <w:rFonts w:ascii="Arial" w:cs="Arial" w:eastAsia="Arial" w:hAnsi="Arial"/>
          <w:sz w:val="19"/>
          <w:szCs w:val="19"/>
          <w:color w:val="auto"/>
          <w:vertAlign w:val="superscript"/>
        </w:rPr>
      </w:pPr>
      <w:r>
        <w:rPr>
          <w:rFonts w:ascii="Arial" w:cs="Arial" w:eastAsia="Arial" w:hAnsi="Arial"/>
          <w:sz w:val="18"/>
          <w:szCs w:val="18"/>
          <w:color w:val="auto"/>
          <w:vertAlign w:val="superscript"/>
        </w:rPr>
        <w:t>10</w:t>
      </w:r>
      <w:r>
        <w:rPr>
          <w:rFonts w:ascii="Arial" w:cs="Arial" w:eastAsia="Arial" w:hAnsi="Arial"/>
          <w:sz w:val="14"/>
          <w:szCs w:val="14"/>
          <w:color w:val="auto"/>
        </w:rPr>
        <w:t xml:space="preserve"> An “exchange fund” is a pooled investment vehicle allowing an investor to reduce exposure to Honeywell stock by exchanging his or her large holding of Honeywell stock for units in a diversified investment portfolio, usually on a tax-favored basis.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240"/>
          </w:cols>
          <w:pgMar w:left="320" w:top="1423" w:right="339" w:bottom="1440" w:gutter="0" w:footer="0" w:header="0"/>
        </w:sectPr>
      </w:pPr>
    </w:p>
    <w:bookmarkStart w:id="198" w:name="page199"/>
    <w:bookmarkEnd w:id="198"/>
    <w:p>
      <w:pPr>
        <w:jc w:val="both"/>
        <w:ind w:left="80" w:firstLine="445"/>
        <w:spacing w:after="0" w:line="250" w:lineRule="auto"/>
        <w:rPr>
          <w:sz w:val="20"/>
          <w:szCs w:val="20"/>
          <w:color w:val="auto"/>
        </w:rPr>
      </w:pPr>
      <w:r>
        <w:rPr>
          <w:rFonts w:ascii="Arial" w:cs="Arial" w:eastAsia="Arial" w:hAnsi="Arial"/>
          <w:sz w:val="22"/>
          <w:szCs w:val="22"/>
          <w:color w:val="auto"/>
        </w:rPr>
        <w:t>In addition, in-and-out trading involving holding of securities for brief periods and other speculative transactions in the Company's securities are prohibited for Designated Insiders or any of their designees and strongly discouraged for all others as a matter of policy. The immediate sale of stock purchased on the exercise of employee stock options is not inconsistent with this policy, although any such sale by an insider would be subject to the general prohibition against insider trading and the timing requirements set forth above. (Directors and Executive Officers would also be subject to specific legal restrictions on trades within a period of six months under Section 16 of the Exchange Act.).</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Pledging and Margin Accounts</w:t>
      </w:r>
    </w:p>
    <w:p>
      <w:pPr>
        <w:spacing w:after="0" w:line="276" w:lineRule="exact"/>
        <w:rPr>
          <w:sz w:val="20"/>
          <w:szCs w:val="20"/>
          <w:color w:val="auto"/>
        </w:rPr>
      </w:pPr>
    </w:p>
    <w:p>
      <w:pPr>
        <w:jc w:val="both"/>
        <w:ind w:firstLine="486"/>
        <w:spacing w:after="0" w:line="250" w:lineRule="auto"/>
        <w:rPr>
          <w:sz w:val="20"/>
          <w:szCs w:val="20"/>
          <w:color w:val="auto"/>
        </w:rPr>
      </w:pPr>
      <w:r>
        <w:rPr>
          <w:rFonts w:ascii="Arial" w:cs="Arial" w:eastAsia="Arial" w:hAnsi="Arial"/>
          <w:sz w:val="22"/>
          <w:szCs w:val="22"/>
          <w:color w:val="auto"/>
        </w:rPr>
        <w:t>It is the Company’s policy that pledging the Company’s securities or using the Company’s securities to support margin debt by directors, Executive Officers, or any of their designees is prohibited. All other employees must exercise extreme caution in pledging the Company’s securities or using the Company’s securities to support margin debt. SEC rules require that any pledge of the Company’s securities by a director or an Executive Officer or any of their designees be disclosed in the Company’s annual proxy statement.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Post-Termination Transactions</w:t>
      </w:r>
    </w:p>
    <w:p>
      <w:pPr>
        <w:spacing w:after="0" w:line="262"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21"/>
          <w:szCs w:val="21"/>
          <w:color w:val="auto"/>
        </w:rPr>
        <w:t>This Policy continues to apply to transactions in the Company’s securities (or the securities of another company to the extent prohibited herein) even after termination of service with the Company. If an individual is aware of material nonpublic information when the individual’s service terminates, that individual may not engage in transactions in such securities until that information has become public or is no longer material. The pre-clearance procedures specified herein will cease to apply to transactions in the Company’s securities upon the expiration of any blackout period or other Company-imposed trading restrictions applicable at the time of the termination of service.</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Special Prohibitions</w:t>
      </w:r>
    </w:p>
    <w:p>
      <w:pPr>
        <w:spacing w:after="0" w:line="39" w:lineRule="exact"/>
        <w:rPr>
          <w:sz w:val="20"/>
          <w:szCs w:val="20"/>
          <w:color w:val="auto"/>
        </w:rPr>
      </w:pPr>
    </w:p>
    <w:p>
      <w:pPr>
        <w:jc w:val="both"/>
        <w:ind w:firstLine="486"/>
        <w:spacing w:after="0" w:line="250" w:lineRule="auto"/>
        <w:rPr>
          <w:sz w:val="20"/>
          <w:szCs w:val="20"/>
          <w:color w:val="auto"/>
        </w:rPr>
      </w:pPr>
      <w:r>
        <w:rPr>
          <w:rFonts w:ascii="Arial" w:cs="Arial" w:eastAsia="Arial" w:hAnsi="Arial"/>
          <w:sz w:val="22"/>
          <w:szCs w:val="22"/>
          <w:color w:val="auto"/>
        </w:rPr>
        <w:t>The Company may, from time to time, issue instructions advising certain personnel that for certain periods they should refrain from trading in securities of the Company. Upon the issuance of such instructions, no purchases or sales should be made by such personnel except in accordance therewith or as may be specifically cleared with the General Counsel or Corporate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1240"/>
          </w:cols>
          <w:pgMar w:left="320" w:top="1423" w:right="339" w:bottom="1440" w:gutter="0" w:footer="0" w:header="0"/>
        </w:sectPr>
      </w:pPr>
    </w:p>
    <w:bookmarkStart w:id="199" w:name="page200"/>
    <w:bookmarkEnd w:id="199"/>
    <w:p>
      <w:pPr>
        <w:spacing w:after="0" w:line="211"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VI.</w:t>
      </w:r>
      <w:r>
        <w:rPr>
          <w:sz w:val="20"/>
          <w:szCs w:val="20"/>
          <w:color w:val="auto"/>
        </w:rPr>
        <w:tab/>
      </w:r>
      <w:r>
        <w:rPr>
          <w:rFonts w:ascii="Arial" w:cs="Arial" w:eastAsia="Arial" w:hAnsi="Arial"/>
          <w:sz w:val="22"/>
          <w:szCs w:val="22"/>
          <w:b w:val="1"/>
          <w:bCs w:val="1"/>
          <w:color w:val="auto"/>
        </w:rPr>
        <w:t>ADMINISTRATION OF THE POLICY</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Roles and Responsibilities</w:t>
      </w:r>
    </w:p>
    <w:p>
      <w:pPr>
        <w:spacing w:after="0" w:line="27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2"/>
          <w:szCs w:val="22"/>
          <w:color w:val="auto"/>
        </w:rPr>
        <w:t>The General Counsel has ultimate responsibility for all matters pertaining to the interpretation and enforcement of this Policy. In addition to the other duties of the Corporate Secretary under this Policy, the Corporate Secretary will be responsible for the following:</w:t>
      </w:r>
    </w:p>
    <w:p>
      <w:pPr>
        <w:spacing w:after="0" w:line="65" w:lineRule="exact"/>
        <w:rPr>
          <w:sz w:val="20"/>
          <w:szCs w:val="20"/>
          <w:color w:val="auto"/>
        </w:rPr>
      </w:pPr>
    </w:p>
    <w:p>
      <w:pPr>
        <w:ind w:left="660" w:hanging="328"/>
        <w:spacing w:after="0" w:line="285" w:lineRule="auto"/>
        <w:tabs>
          <w:tab w:leader="none" w:pos="648" w:val="left"/>
        </w:tabs>
        <w:numPr>
          <w:ilvl w:val="0"/>
          <w:numId w:val="316"/>
        </w:numPr>
        <w:rPr>
          <w:rFonts w:ascii="Times New Roman" w:cs="Times New Roman" w:eastAsia="Times New Roman" w:hAnsi="Times New Roman"/>
          <w:sz w:val="20"/>
          <w:szCs w:val="20"/>
          <w:color w:val="auto"/>
        </w:rPr>
      </w:pPr>
      <w:r>
        <w:rPr>
          <w:rFonts w:ascii="Arial" w:cs="Arial" w:eastAsia="Arial" w:hAnsi="Arial"/>
          <w:sz w:val="22"/>
          <w:szCs w:val="22"/>
          <w:color w:val="auto"/>
        </w:rPr>
        <w:t>Sending quarterly and other reminders to Designated Insiders regarding the start and completion of open window periods;</w:t>
      </w:r>
    </w:p>
    <w:p>
      <w:pPr>
        <w:spacing w:after="0" w:line="14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16"/>
        </w:numPr>
        <w:rPr>
          <w:rFonts w:ascii="Times New Roman" w:cs="Times New Roman" w:eastAsia="Times New Roman" w:hAnsi="Times New Roman"/>
          <w:sz w:val="20"/>
          <w:szCs w:val="20"/>
          <w:color w:val="auto"/>
        </w:rPr>
      </w:pPr>
      <w:r>
        <w:rPr>
          <w:rFonts w:ascii="Arial" w:cs="Arial" w:eastAsia="Arial" w:hAnsi="Arial"/>
          <w:sz w:val="22"/>
          <w:szCs w:val="22"/>
          <w:color w:val="auto"/>
        </w:rPr>
        <w:t>Sending notifications to Designated Insiders and other affected persons regarding special blackout periods;</w:t>
      </w:r>
    </w:p>
    <w:p>
      <w:pPr>
        <w:spacing w:after="0" w:line="219" w:lineRule="exact"/>
        <w:rPr>
          <w:rFonts w:ascii="Times New Roman" w:cs="Times New Roman" w:eastAsia="Times New Roman" w:hAnsi="Times New Roman"/>
          <w:sz w:val="20"/>
          <w:szCs w:val="20"/>
          <w:color w:val="auto"/>
        </w:rPr>
      </w:pPr>
    </w:p>
    <w:p>
      <w:pPr>
        <w:ind w:left="660" w:hanging="328"/>
        <w:spacing w:after="0" w:line="285" w:lineRule="auto"/>
        <w:tabs>
          <w:tab w:leader="none" w:pos="648" w:val="left"/>
        </w:tabs>
        <w:numPr>
          <w:ilvl w:val="0"/>
          <w:numId w:val="316"/>
        </w:numPr>
        <w:rPr>
          <w:rFonts w:ascii="Times New Roman" w:cs="Times New Roman" w:eastAsia="Times New Roman" w:hAnsi="Times New Roman"/>
          <w:sz w:val="20"/>
          <w:szCs w:val="20"/>
          <w:color w:val="auto"/>
        </w:rPr>
      </w:pPr>
      <w:r>
        <w:rPr>
          <w:rFonts w:ascii="Arial" w:cs="Arial" w:eastAsia="Arial" w:hAnsi="Arial"/>
          <w:sz w:val="22"/>
          <w:szCs w:val="22"/>
          <w:color w:val="auto"/>
        </w:rPr>
        <w:t>Periodically circulating this Policy (and/or a summary thereof) and coordinating training about this Policy to relevant Company personnel;</w:t>
      </w:r>
    </w:p>
    <w:p>
      <w:pPr>
        <w:spacing w:after="0" w:line="14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16"/>
        </w:numPr>
        <w:rPr>
          <w:rFonts w:ascii="Times New Roman" w:cs="Times New Roman" w:eastAsia="Times New Roman" w:hAnsi="Times New Roman"/>
          <w:sz w:val="20"/>
          <w:szCs w:val="20"/>
          <w:color w:val="auto"/>
        </w:rPr>
      </w:pPr>
      <w:r>
        <w:rPr>
          <w:rFonts w:ascii="Arial" w:cs="Arial" w:eastAsia="Arial" w:hAnsi="Arial"/>
          <w:sz w:val="22"/>
          <w:szCs w:val="22"/>
          <w:color w:val="auto"/>
        </w:rPr>
        <w:t>Maintaining a current version of this Policy on the Company’s intranet website; and</w:t>
      </w:r>
    </w:p>
    <w:p>
      <w:pPr>
        <w:spacing w:after="0" w:line="233" w:lineRule="exact"/>
        <w:rPr>
          <w:rFonts w:ascii="Times New Roman" w:cs="Times New Roman" w:eastAsia="Times New Roman" w:hAnsi="Times New Roman"/>
          <w:sz w:val="20"/>
          <w:szCs w:val="20"/>
          <w:color w:val="auto"/>
        </w:rPr>
      </w:pPr>
    </w:p>
    <w:p>
      <w:pPr>
        <w:ind w:left="660" w:hanging="328"/>
        <w:spacing w:after="0" w:line="272" w:lineRule="auto"/>
        <w:tabs>
          <w:tab w:leader="none" w:pos="648" w:val="left"/>
        </w:tabs>
        <w:numPr>
          <w:ilvl w:val="0"/>
          <w:numId w:val="316"/>
        </w:numPr>
        <w:rPr>
          <w:rFonts w:ascii="Times New Roman" w:cs="Times New Roman" w:eastAsia="Times New Roman" w:hAnsi="Times New Roman"/>
          <w:sz w:val="20"/>
          <w:szCs w:val="20"/>
          <w:color w:val="auto"/>
        </w:rPr>
      </w:pPr>
      <w:r>
        <w:rPr>
          <w:rFonts w:ascii="Arial" w:cs="Arial" w:eastAsia="Arial" w:hAnsi="Arial"/>
          <w:sz w:val="22"/>
          <w:szCs w:val="22"/>
          <w:color w:val="auto"/>
        </w:rPr>
        <w:t>Assisting the Company in implementing this Policy, including monitoring relevant changes in law, regulation or best practices and making appropriate changes to this Policy and related practices and procedures.</w:t>
      </w:r>
    </w:p>
    <w:p>
      <w:pPr>
        <w:spacing w:after="0" w:line="169" w:lineRule="exact"/>
        <w:rPr>
          <w:sz w:val="20"/>
          <w:szCs w:val="20"/>
          <w:color w:val="auto"/>
        </w:rPr>
      </w:pPr>
    </w:p>
    <w:p>
      <w:pPr>
        <w:jc w:val="both"/>
        <w:ind w:right="20" w:firstLine="648"/>
        <w:spacing w:after="0" w:line="272" w:lineRule="auto"/>
        <w:rPr>
          <w:sz w:val="20"/>
          <w:szCs w:val="20"/>
          <w:color w:val="auto"/>
        </w:rPr>
      </w:pPr>
      <w:r>
        <w:rPr>
          <w:rFonts w:ascii="Arial" w:cs="Arial" w:eastAsia="Arial" w:hAnsi="Arial"/>
          <w:sz w:val="22"/>
          <w:szCs w:val="22"/>
          <w:color w:val="auto"/>
        </w:rPr>
        <w:t>References in this policy to the “Corporate Secretary” herein shall mean the Corporate Secretary, the Deputy Corporate Secretary, or one of their specified designees.</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Acknowledgement</w:t>
      </w:r>
    </w:p>
    <w:p>
      <w:pPr>
        <w:spacing w:after="0" w:line="262"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22"/>
          <w:szCs w:val="22"/>
          <w:color w:val="auto"/>
        </w:rPr>
        <w:t>All Designated Insiders must annually confirm their understanding of, and intent to comply with, this Policy by completing the acknowledgement set forth in Attachment B hereto, and returning the certification to the Legal Department.</w:t>
      </w:r>
    </w:p>
    <w:p>
      <w:pPr>
        <w:spacing w:after="0" w:line="200" w:lineRule="exact"/>
        <w:rPr>
          <w:sz w:val="20"/>
          <w:szCs w:val="20"/>
          <w:color w:val="auto"/>
        </w:rPr>
      </w:pPr>
    </w:p>
    <w:p>
      <w:pPr>
        <w:spacing w:after="0" w:line="21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VII.</w:t>
        <w:tab/>
        <w:t>INFORMATION AND RESOURCES</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Inquiries</w:t>
      </w:r>
    </w:p>
    <w:p>
      <w:pPr>
        <w:spacing w:after="0" w:line="26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2"/>
          <w:szCs w:val="22"/>
          <w:color w:val="auto"/>
        </w:rPr>
        <w:t>Any person who has a question about this Policy or its application to any proposed transaction may obtain additional guidance from the Corporate Secretary. If there is any uncertainty as to the appropriateness of any transaction, please consult with the Corporate Secretary before speaking with anyone, especially brokers or any other persons or entities contemplating or executing securities trades.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1240"/>
          </w:cols>
          <w:pgMar w:left="320" w:top="1440" w:right="339" w:bottom="1440" w:gutter="0" w:footer="0" w:header="0"/>
        </w:sectPr>
      </w:pPr>
    </w:p>
    <w:bookmarkStart w:id="200" w:name="page201"/>
    <w:bookmarkEnd w:id="200"/>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Reporting Concerns</w:t>
      </w:r>
    </w:p>
    <w:p>
      <w:pPr>
        <w:spacing w:after="0" w:line="26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22"/>
          <w:szCs w:val="22"/>
          <w:color w:val="auto"/>
        </w:rPr>
        <w:t>Concerns regarding possible violations of this Policy or applicable securities laws may be reported to ACCESS Integrity:</w:t>
      </w:r>
    </w:p>
    <w:p>
      <w:pPr>
        <w:spacing w:after="0" w:line="27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By Phone: +1-800-237-5982</w:t>
      </w:r>
    </w:p>
    <w:p>
      <w:pPr>
        <w:spacing w:after="0" w:line="247"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color w:val="auto"/>
        </w:rPr>
        <w:t>By E-mail:</w:t>
      </w:r>
      <w:r>
        <w:rPr>
          <w:sz w:val="20"/>
          <w:szCs w:val="20"/>
          <w:color w:val="auto"/>
        </w:rPr>
        <w:tab/>
      </w:r>
      <w:r>
        <w:rPr>
          <w:rFonts w:ascii="Arial" w:cs="Arial" w:eastAsia="Arial" w:hAnsi="Arial"/>
          <w:sz w:val="21"/>
          <w:szCs w:val="21"/>
          <w:u w:val="single" w:color="auto"/>
          <w:color w:val="auto"/>
        </w:rPr>
        <w:t>accessintegrityhelpline@honeywell.com</w:t>
      </w:r>
    </w:p>
    <w:p>
      <w:pPr>
        <w:spacing w:after="0" w:line="24"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22"/>
          <w:szCs w:val="22"/>
          <w:color w:val="auto"/>
        </w:rPr>
        <w:t>By mail:</w:t>
      </w:r>
      <w:r>
        <w:rPr>
          <w:sz w:val="20"/>
          <w:szCs w:val="20"/>
          <w:color w:val="auto"/>
        </w:rPr>
        <w:tab/>
      </w:r>
      <w:r>
        <w:rPr>
          <w:rFonts w:ascii="Arial" w:cs="Arial" w:eastAsia="Arial" w:hAnsi="Arial"/>
          <w:sz w:val="21"/>
          <w:szCs w:val="21"/>
          <w:color w:val="auto"/>
        </w:rPr>
        <w:t>Honeywell International Inc.</w:t>
      </w:r>
    </w:p>
    <w:p>
      <w:pPr>
        <w:spacing w:after="0" w:line="4" w:lineRule="exact"/>
        <w:rPr>
          <w:sz w:val="20"/>
          <w:szCs w:val="20"/>
          <w:color w:val="auto"/>
        </w:rPr>
      </w:pPr>
    </w:p>
    <w:p>
      <w:pPr>
        <w:ind w:left="1700"/>
        <w:spacing w:after="0"/>
        <w:rPr>
          <w:sz w:val="20"/>
          <w:szCs w:val="20"/>
          <w:color w:val="auto"/>
        </w:rPr>
      </w:pPr>
      <w:r>
        <w:rPr>
          <w:rFonts w:ascii="Arial" w:cs="Arial" w:eastAsia="Arial" w:hAnsi="Arial"/>
          <w:sz w:val="22"/>
          <w:szCs w:val="22"/>
          <w:color w:val="auto"/>
        </w:rPr>
        <w:t>Attention: ACCESS</w:t>
      </w:r>
    </w:p>
    <w:p>
      <w:pPr>
        <w:spacing w:after="0" w:line="4" w:lineRule="exact"/>
        <w:rPr>
          <w:sz w:val="20"/>
          <w:szCs w:val="20"/>
          <w:color w:val="auto"/>
        </w:rPr>
      </w:pPr>
    </w:p>
    <w:p>
      <w:pPr>
        <w:ind w:left="1700"/>
        <w:spacing w:after="0"/>
        <w:rPr>
          <w:sz w:val="20"/>
          <w:szCs w:val="20"/>
          <w:color w:val="auto"/>
        </w:rPr>
      </w:pPr>
      <w:r>
        <w:rPr>
          <w:rFonts w:ascii="Arial" w:cs="Arial" w:eastAsia="Arial" w:hAnsi="Arial"/>
          <w:sz w:val="22"/>
          <w:szCs w:val="22"/>
          <w:color w:val="auto"/>
        </w:rPr>
        <w:t>855 S. Mint Street</w:t>
      </w:r>
    </w:p>
    <w:p>
      <w:pPr>
        <w:spacing w:after="0" w:line="11" w:lineRule="exact"/>
        <w:rPr>
          <w:sz w:val="20"/>
          <w:szCs w:val="20"/>
          <w:color w:val="auto"/>
        </w:rPr>
      </w:pPr>
    </w:p>
    <w:p>
      <w:pPr>
        <w:ind w:left="1700"/>
        <w:spacing w:after="0"/>
        <w:rPr>
          <w:sz w:val="20"/>
          <w:szCs w:val="20"/>
          <w:color w:val="auto"/>
        </w:rPr>
      </w:pPr>
      <w:r>
        <w:rPr>
          <w:rFonts w:ascii="Arial" w:cs="Arial" w:eastAsia="Arial" w:hAnsi="Arial"/>
          <w:sz w:val="22"/>
          <w:szCs w:val="22"/>
          <w:color w:val="auto"/>
        </w:rPr>
        <w:t>Charlotte, NC 28202 USA</w:t>
      </w:r>
    </w:p>
    <w:p>
      <w:pPr>
        <w:spacing w:after="0" w:line="23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Notwithstanding anything herein or in any other policy or agreement to the contrary, nothing in this Policy shall prohibit employees from making reports of possible violations of federal law or regulation to any governmental agency or entity in accordance with the provisions of and rules promulgated under Section 21F of the Exchange Act or Section 806 of the Sarbanes-Oxley Act of 2002, or of any other whistleblower protection provisions of federal law or regulation, or require notification to or prior approval by the Company of any such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11240"/>
          </w:cols>
          <w:pgMar w:left="320" w:top="1440" w:right="339" w:bottom="1440" w:gutter="0" w:footer="0" w:header="0"/>
        </w:sectPr>
      </w:pPr>
    </w:p>
    <w:bookmarkStart w:id="201" w:name="page202"/>
    <w:bookmarkEnd w:id="201"/>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ATTACHMENT A</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 Pre-Transaction Certification</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-14605</wp:posOffset>
            </wp:positionV>
            <wp:extent cx="198183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64">
                      <a:extLst>
                        <a:ext uri="{28A0092B-C50C-407E-A947-70E740481C1C}"/>
                      </a:extLst>
                    </a:blip>
                    <a:srcRect/>
                    <a:stretch>
                      <a:fillRect/>
                    </a:stretch>
                  </pic:blipFill>
                  <pic:spPr bwMode="auto">
                    <a:xfrm>
                      <a:off x="0" y="0"/>
                      <a:ext cx="1981835" cy="8255"/>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wp:posOffset>
            </wp:positionH>
            <wp:positionV relativeFrom="paragraph">
              <wp:posOffset>-14605</wp:posOffset>
            </wp:positionV>
            <wp:extent cx="198183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65">
                      <a:extLst>
                        <a:ext uri="{28A0092B-C50C-407E-A947-70E740481C1C}"/>
                      </a:extLst>
                    </a:blip>
                    <a:srcRect/>
                    <a:stretch>
                      <a:fillRect/>
                    </a:stretch>
                  </pic:blipFill>
                  <pic:spPr bwMode="auto">
                    <a:xfrm>
                      <a:off x="0" y="0"/>
                      <a:ext cx="1981835" cy="8255"/>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Proposed Transaction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1707515</wp:posOffset>
            </wp:positionH>
            <wp:positionV relativeFrom="paragraph">
              <wp:posOffset>-14605</wp:posOffset>
            </wp:positionV>
            <wp:extent cx="137160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66">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Type of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1026795</wp:posOffset>
            </wp:positionH>
            <wp:positionV relativeFrom="paragraph">
              <wp:posOffset>-14605</wp:posOffset>
            </wp:positionV>
            <wp:extent cx="137160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67">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pacing w:after="0" w:line="227" w:lineRule="exact"/>
        <w:rPr>
          <w:sz w:val="20"/>
          <w:szCs w:val="20"/>
          <w:color w:val="auto"/>
        </w:rPr>
      </w:pPr>
    </w:p>
    <w:p>
      <w:pPr>
        <w:ind w:right="60"/>
        <w:spacing w:after="0" w:line="272" w:lineRule="auto"/>
        <w:rPr>
          <w:sz w:val="20"/>
          <w:szCs w:val="20"/>
          <w:color w:val="auto"/>
        </w:rPr>
      </w:pPr>
      <w:r>
        <w:rPr>
          <w:rFonts w:ascii="Arial" w:cs="Arial" w:eastAsia="Arial" w:hAnsi="Arial"/>
          <w:sz w:val="22"/>
          <w:szCs w:val="22"/>
          <w:color w:val="auto"/>
        </w:rPr>
        <w:t>Type of Transaction(s) (Hedge / Pledge/ Purchase / Sale / Entry into/Modification, Amendment or Termination of Rule 10b5-1 Plan (if Plan, please attach)/Other trading plan (please attach)/ Gift):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4602480</wp:posOffset>
            </wp:positionH>
            <wp:positionV relativeFrom="paragraph">
              <wp:posOffset>-55245</wp:posOffset>
            </wp:positionV>
            <wp:extent cx="152400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68">
                      <a:extLst>
                        <a:ext uri="{28A0092B-C50C-407E-A947-70E740481C1C}"/>
                      </a:extLst>
                    </a:blip>
                    <a:srcRect/>
                    <a:stretch>
                      <a:fillRect/>
                    </a:stretch>
                  </pic:blipFill>
                  <pic:spPr bwMode="auto">
                    <a:xfrm>
                      <a:off x="0" y="0"/>
                      <a:ext cx="1524000" cy="82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color w:val="auto"/>
        </w:rPr>
        <w:t>Number of Shares Involved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2559050</wp:posOffset>
            </wp:positionH>
            <wp:positionV relativeFrom="paragraph">
              <wp:posOffset>-14605</wp:posOffset>
            </wp:positionV>
            <wp:extent cx="106680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69">
                      <a:extLst>
                        <a:ext uri="{28A0092B-C50C-407E-A947-70E740481C1C}"/>
                      </a:extLst>
                    </a:blip>
                    <a:srcRect/>
                    <a:stretch>
                      <a:fillRect/>
                    </a:stretch>
                  </pic:blipFill>
                  <pic:spPr bwMode="auto">
                    <a:xfrm>
                      <a:off x="0" y="0"/>
                      <a:ext cx="1066800" cy="8255"/>
                    </a:xfrm>
                    <a:prstGeom prst="rect">
                      <a:avLst/>
                    </a:prstGeom>
                    <a:noFill/>
                  </pic:spPr>
                </pic:pic>
              </a:graphicData>
            </a:graphic>
          </wp:anchor>
        </w:drawing>
      </w:r>
    </w:p>
    <w:p>
      <w:pPr>
        <w:spacing w:after="0" w:line="225" w:lineRule="exact"/>
        <w:rPr>
          <w:sz w:val="20"/>
          <w:szCs w:val="20"/>
          <w:color w:val="auto"/>
        </w:rPr>
      </w:pPr>
    </w:p>
    <w:p>
      <w:pPr>
        <w:jc w:val="both"/>
        <w:ind w:firstLine="249"/>
        <w:spacing w:after="0" w:line="248" w:lineRule="auto"/>
        <w:rPr>
          <w:sz w:val="20"/>
          <w:szCs w:val="20"/>
          <w:color w:val="auto"/>
        </w:rPr>
      </w:pPr>
      <w:r>
        <w:rPr>
          <w:rFonts w:ascii="Arial" w:cs="Arial" w:eastAsia="Arial" w:hAnsi="Arial"/>
          <w:sz w:val="22"/>
          <w:szCs w:val="22"/>
          <w:color w:val="auto"/>
        </w:rPr>
        <w:t xml:space="preserve">I hereby certify that I am not aware of any material non-public information about </w:t>
      </w:r>
      <w:r>
        <w:rPr>
          <w:rFonts w:ascii="Arial" w:cs="Arial" w:eastAsia="Arial" w:hAnsi="Arial"/>
          <w:sz w:val="22"/>
          <w:szCs w:val="22"/>
          <w:b w:val="1"/>
          <w:bCs w:val="1"/>
          <w:u w:val="single" w:color="auto"/>
          <w:color w:val="auto"/>
        </w:rPr>
        <w:t>Honeywell International Inc.</w:t>
      </w:r>
      <w:r>
        <w:rPr>
          <w:rFonts w:ascii="Arial" w:cs="Arial" w:eastAsia="Arial" w:hAnsi="Arial"/>
          <w:sz w:val="22"/>
          <w:szCs w:val="22"/>
          <w:color w:val="auto"/>
        </w:rPr>
        <w:t xml:space="preserve"> (the “Company”) and / or its subsidiaries. I understand that material non-public information is information concerning the Company that (a) is not generally known to the public; and (b) if publicly known, would be likely to affect either the market price of Company securities or a person’s decision to buy, sell or hold Company securities. I understand that if I engage in transactions in Company securities while I am aware of material non-public information, I may be subject to severe civil or criminal penalties, and may be subject to discipline by the Company up to and including termination for cause. The undersigned agrees to advise the Company promptly if, as a result of future developments, any of the foregoing information becomes inaccurate or incomplete in any respect. The undersigned understands that the Company may require additional information about the transaction, and agrees to provide such information upon request.</w:t>
      </w:r>
    </w:p>
    <w:p>
      <w:pPr>
        <w:spacing w:after="0" w:line="22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If seeking approval for the entry or modification of Rule 10b-5 Plan or other trading plan, I further certify that I am adopting the plan in good faith and not as part of a plan or scheme to evade the prohibitions of Rule 10b-5, that I shall act in good faith with respect to such plan, and that I shall include, or cause to be included, requisite certifications in the Rule 10b5-1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76200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70">
                      <a:extLst>
                        <a:ext uri="{28A0092B-C50C-407E-A947-70E740481C1C}"/>
                      </a:extLst>
                    </a:blip>
                    <a:srcRect/>
                    <a:stretch>
                      <a:fillRect/>
                    </a:stretch>
                  </pic:blipFill>
                  <pic:spPr bwMode="auto">
                    <a:xfrm>
                      <a:off x="0" y="0"/>
                      <a:ext cx="762000"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24" w:lineRule="exact"/>
        <w:rPr>
          <w:sz w:val="20"/>
          <w:szCs w:val="20"/>
          <w:color w:val="auto"/>
        </w:rPr>
      </w:pPr>
    </w:p>
    <w:p>
      <w:pPr>
        <w:spacing w:after="0"/>
        <w:rPr>
          <w:sz w:val="20"/>
          <w:szCs w:val="20"/>
          <w:color w:val="auto"/>
        </w:rPr>
      </w:pPr>
      <w:r>
        <w:rPr>
          <w:rFonts w:ascii="Arial" w:cs="Arial" w:eastAsia="Arial" w:hAnsi="Arial"/>
          <w:sz w:val="22"/>
          <w:szCs w:val="22"/>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ectPr>
          <w:pgSz w:w="11900" w:h="16838" w:orient="portrait"/>
          <w:cols w:equalWidth="0" w:num="1">
            <w:col w:w="11240"/>
          </w:cols>
          <w:pgMar w:left="320" w:top="1440" w:right="339" w:bottom="1440" w:gutter="0" w:footer="0" w:header="0"/>
        </w:sectPr>
      </w:pPr>
    </w:p>
    <w:bookmarkStart w:id="202" w:name="page203"/>
    <w:bookmarkEnd w:id="202"/>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ATTACHMENT B</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Acknowledgement</w:t>
      </w:r>
    </w:p>
    <w:p>
      <w:pPr>
        <w:spacing w:after="0" w:line="200" w:lineRule="exact"/>
        <w:rPr>
          <w:sz w:val="20"/>
          <w:szCs w:val="20"/>
          <w:color w:val="auto"/>
        </w:rPr>
      </w:pPr>
    </w:p>
    <w:p>
      <w:pPr>
        <w:spacing w:after="0" w:line="265" w:lineRule="exact"/>
        <w:rPr>
          <w:sz w:val="20"/>
          <w:szCs w:val="20"/>
          <w:color w:val="auto"/>
        </w:rPr>
      </w:pPr>
    </w:p>
    <w:p>
      <w:pPr>
        <w:ind w:firstLine="648"/>
        <w:spacing w:after="0" w:line="285" w:lineRule="auto"/>
        <w:rPr>
          <w:sz w:val="20"/>
          <w:szCs w:val="20"/>
          <w:color w:val="auto"/>
        </w:rPr>
      </w:pPr>
      <w:r>
        <w:rPr>
          <w:rFonts w:ascii="Arial" w:cs="Arial" w:eastAsia="Arial" w:hAnsi="Arial"/>
          <w:sz w:val="22"/>
          <w:szCs w:val="22"/>
          <w:color w:val="auto"/>
        </w:rPr>
        <w:t>The undersigned hereby acknowledges that he/she has read, understands and agrees to comply with the Insider Trading Policy.</w:t>
      </w:r>
    </w:p>
    <w:p>
      <w:pPr>
        <w:spacing w:after="0" w:line="200" w:lineRule="exact"/>
        <w:rPr>
          <w:sz w:val="20"/>
          <w:szCs w:val="20"/>
          <w:color w:val="auto"/>
        </w:rPr>
      </w:pPr>
    </w:p>
    <w:p>
      <w:pPr>
        <w:spacing w:after="0" w:line="21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2672080</wp:posOffset>
            </wp:positionH>
            <wp:positionV relativeFrom="paragraph">
              <wp:posOffset>-14605</wp:posOffset>
            </wp:positionV>
            <wp:extent cx="91440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71">
                      <a:extLst>
                        <a:ext uri="{28A0092B-C50C-407E-A947-70E740481C1C}"/>
                      </a:extLst>
                    </a:blip>
                    <a:srcRect/>
                    <a:stretch>
                      <a:fillRect/>
                    </a:stretch>
                  </pic:blipFill>
                  <pic:spPr bwMode="auto">
                    <a:xfrm>
                      <a:off x="0" y="0"/>
                      <a:ext cx="914400" cy="8255"/>
                    </a:xfrm>
                    <a:prstGeom prst="rect">
                      <a:avLst/>
                    </a:prstGeom>
                    <a:noFill/>
                  </pic:spPr>
                </pic:pic>
              </a:graphicData>
            </a:graphic>
          </wp:anchor>
        </w:drawing>
      </w:r>
    </w:p>
    <w:p>
      <w:pPr>
        <w:spacing w:after="0" w:line="24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 Printed: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3350895</wp:posOffset>
            </wp:positionH>
            <wp:positionV relativeFrom="paragraph">
              <wp:posOffset>-14605</wp:posOffset>
            </wp:positionV>
            <wp:extent cx="76200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72">
                      <a:extLst>
                        <a:ext uri="{28A0092B-C50C-407E-A947-70E740481C1C}"/>
                      </a:extLst>
                    </a:blip>
                    <a:srcRect/>
                    <a:stretch>
                      <a:fillRect/>
                    </a:stretch>
                  </pic:blipFill>
                  <pic:spPr bwMode="auto">
                    <a:xfrm>
                      <a:off x="0" y="0"/>
                      <a:ext cx="7620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-14605</wp:posOffset>
            </wp:positionV>
            <wp:extent cx="76200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73">
                      <a:extLst>
                        <a:ext uri="{28A0092B-C50C-407E-A947-70E740481C1C}"/>
                      </a:extLst>
                    </a:blip>
                    <a:srcRect/>
                    <a:stretch>
                      <a:fillRect/>
                    </a:stretch>
                  </pic:blipFill>
                  <pic:spPr bwMode="auto">
                    <a:xfrm>
                      <a:off x="0" y="0"/>
                      <a:ext cx="7620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right="220"/>
        <w:spacing w:after="0" w:line="231" w:lineRule="auto"/>
        <w:rPr>
          <w:sz w:val="20"/>
          <w:szCs w:val="20"/>
          <w:color w:val="auto"/>
        </w:rPr>
      </w:pPr>
      <w:r>
        <w:rPr>
          <w:rFonts w:ascii="Calibri" w:cs="Calibri" w:eastAsia="Calibri" w:hAnsi="Calibri"/>
          <w:sz w:val="13"/>
          <w:szCs w:val="13"/>
          <w:i w:val="1"/>
          <w:iCs w:val="1"/>
          <w:color w:val="auto"/>
        </w:rPr>
        <w:t>This Policy is not intended to create contractual obligatons. Employment with the Company is at will, in the U.S. and where otherwise permited by law, which means that either the Company or the employee may terminate the employment relatonship at any tme and for any reason, without notce. The Company reserves the right to modify, amend, or terminate this Policy at any tme. This Policy supersedes any prior policies of Honeywell or its predecessors, subsidiaries, and afliates, whether writen or oral, on the topics covered in this Policy.</w:t>
      </w:r>
    </w:p>
    <w:p>
      <w:pPr>
        <w:spacing w:after="0" w:line="1" w:lineRule="exact"/>
        <w:rPr>
          <w:sz w:val="20"/>
          <w:szCs w:val="20"/>
          <w:color w:val="auto"/>
        </w:rPr>
      </w:pPr>
    </w:p>
    <w:p>
      <w:pPr>
        <w:ind w:right="40"/>
        <w:spacing w:after="0" w:line="224" w:lineRule="auto"/>
        <w:rPr>
          <w:sz w:val="20"/>
          <w:szCs w:val="20"/>
          <w:color w:val="auto"/>
        </w:rPr>
      </w:pPr>
      <w:r>
        <w:rPr>
          <w:rFonts w:ascii="Calibri" w:cs="Calibri" w:eastAsia="Calibri" w:hAnsi="Calibri"/>
          <w:sz w:val="13"/>
          <w:szCs w:val="13"/>
          <w:i w:val="1"/>
          <w:iCs w:val="1"/>
          <w:color w:val="auto"/>
        </w:rPr>
        <w:t>This policy is the property of Honeywell Internatonal Inc. and is published on the Company’s intranet at htp://policy.honeywell.com. It is the reader’s responsibility to review the intranet publicaton of this policy to ensure the most current version is being referenced before taking acton based on this printed copy, which may be outdated.</w:t>
      </w:r>
    </w:p>
    <w:p>
      <w:pPr>
        <w:sectPr>
          <w:pgSz w:w="11900" w:h="16838" w:orient="portrait"/>
          <w:cols w:equalWidth="0" w:num="1">
            <w:col w:w="11240"/>
          </w:cols>
          <w:pgMar w:left="320" w:top="1440" w:right="339" w:bottom="1440" w:gutter="0" w:footer="0" w:header="0"/>
        </w:sectPr>
      </w:pPr>
    </w:p>
    <w:bookmarkStart w:id="203" w:name="page204"/>
    <w:bookmarkEnd w:id="203"/>
    <w:tbl>
      <w:tblPr>
        <w:tblLayout w:type="fixed"/>
        <w:tblInd w:w="0" w:type="dxa"/>
        <w:tblCellMar>
          <w:top w:w="0" w:type="dxa"/>
          <w:left w:w="0" w:type="dxa"/>
          <w:bottom w:w="0" w:type="dxa"/>
          <w:right w:w="0" w:type="dxa"/>
        </w:tblCellMar>
      </w:tblPr>
      <w:tr>
        <w:trPr>
          <w:trHeight w:val="273"/>
        </w:trPr>
        <w:tc>
          <w:tcPr>
            <w:tcW w:w="9500" w:type="dxa"/>
            <w:vAlign w:val="bottom"/>
            <w:gridSpan w:val="2"/>
            <w:vMerge w:val="restart"/>
          </w:tcPr>
          <w:p>
            <w:pPr>
              <w:ind w:left="3620"/>
              <w:spacing w:after="0"/>
              <w:rPr>
                <w:sz w:val="20"/>
                <w:szCs w:val="20"/>
                <w:color w:val="auto"/>
              </w:rPr>
            </w:pPr>
            <w:r>
              <w:rPr>
                <w:rFonts w:ascii="Arial" w:cs="Arial" w:eastAsia="Arial" w:hAnsi="Arial"/>
                <w:sz w:val="23"/>
                <w:szCs w:val="23"/>
                <w:b w:val="1"/>
                <w:bCs w:val="1"/>
                <w:color w:val="auto"/>
              </w:rPr>
              <w:t>HONEYWELL INTERNATIONAL INC.</w:t>
            </w:r>
          </w:p>
        </w:tc>
        <w:tc>
          <w:tcPr>
            <w:tcW w:w="1720" w:type="dxa"/>
            <w:vAlign w:val="bottom"/>
            <w:gridSpan w:val="2"/>
          </w:tcPr>
          <w:p>
            <w:pPr>
              <w:ind w:left="660"/>
              <w:spacing w:after="0"/>
              <w:rPr>
                <w:sz w:val="20"/>
                <w:szCs w:val="20"/>
                <w:color w:val="auto"/>
              </w:rPr>
            </w:pPr>
            <w:r>
              <w:rPr>
                <w:rFonts w:ascii="Arial" w:cs="Arial" w:eastAsia="Arial" w:hAnsi="Arial"/>
                <w:sz w:val="20"/>
                <w:szCs w:val="20"/>
                <w:b w:val="1"/>
                <w:bCs w:val="1"/>
                <w:color w:val="auto"/>
                <w:w w:val="97"/>
              </w:rPr>
              <w:t>EXHIBIT 21</w:t>
            </w:r>
          </w:p>
        </w:tc>
        <w:tc>
          <w:tcPr>
            <w:tcW w:w="0" w:type="dxa"/>
            <w:vAlign w:val="bottom"/>
          </w:tcPr>
          <w:p>
            <w:pPr>
              <w:spacing w:after="0"/>
              <w:rPr>
                <w:sz w:val="1"/>
                <w:szCs w:val="1"/>
                <w:color w:val="auto"/>
              </w:rPr>
            </w:pPr>
          </w:p>
        </w:tc>
      </w:tr>
      <w:tr>
        <w:trPr>
          <w:trHeight w:val="240"/>
        </w:trPr>
        <w:tc>
          <w:tcPr>
            <w:tcW w:w="9500" w:type="dxa"/>
            <w:vAlign w:val="bottom"/>
            <w:gridSpan w:val="2"/>
            <w:vMerge w:val="continue"/>
          </w:tcPr>
          <w:p>
            <w:pPr>
              <w:spacing w:after="0"/>
              <w:rPr>
                <w:sz w:val="20"/>
                <w:szCs w:val="20"/>
                <w:color w:val="auto"/>
              </w:rPr>
            </w:pPr>
          </w:p>
        </w:tc>
        <w:tc>
          <w:tcPr>
            <w:tcW w:w="1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3"/>
        </w:trPr>
        <w:tc>
          <w:tcPr>
            <w:tcW w:w="9500" w:type="dxa"/>
            <w:vAlign w:val="bottom"/>
            <w:gridSpan w:val="2"/>
          </w:tcPr>
          <w:p>
            <w:pPr>
              <w:ind w:left="3840"/>
              <w:spacing w:after="0"/>
              <w:rPr>
                <w:sz w:val="20"/>
                <w:szCs w:val="20"/>
                <w:color w:val="auto"/>
              </w:rPr>
            </w:pPr>
            <w:r>
              <w:rPr>
                <w:rFonts w:ascii="Arial" w:cs="Arial" w:eastAsia="Arial" w:hAnsi="Arial"/>
                <w:sz w:val="20"/>
                <w:szCs w:val="20"/>
                <w:b w:val="1"/>
                <w:bCs w:val="1"/>
                <w:color w:val="auto"/>
              </w:rPr>
              <w:t>SUBSIDIARIES OF THE REGISTRANT</w:t>
            </w:r>
          </w:p>
        </w:tc>
        <w:tc>
          <w:tcPr>
            <w:tcW w:w="1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3"/>
        </w:trPr>
        <w:tc>
          <w:tcPr>
            <w:tcW w:w="59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3540" w:type="dxa"/>
            <w:vAlign w:val="bottom"/>
          </w:tcPr>
          <w:p>
            <w:pPr>
              <w:jc w:val="center"/>
              <w:ind w:left="651"/>
              <w:spacing w:after="0"/>
              <w:rPr>
                <w:sz w:val="20"/>
                <w:szCs w:val="20"/>
                <w:color w:val="auto"/>
              </w:rPr>
            </w:pPr>
            <w:r>
              <w:rPr>
                <w:rFonts w:ascii="Arial" w:cs="Arial" w:eastAsia="Arial" w:hAnsi="Arial"/>
                <w:sz w:val="14"/>
                <w:szCs w:val="14"/>
                <w:b w:val="1"/>
                <w:bCs w:val="1"/>
                <w:color w:val="auto"/>
              </w:rPr>
              <w:t>Country or State</w:t>
            </w:r>
          </w:p>
        </w:tc>
        <w:tc>
          <w:tcPr>
            <w:tcW w:w="17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85"/>
        </w:trPr>
        <w:tc>
          <w:tcPr>
            <w:tcW w:w="5960" w:type="dxa"/>
            <w:vAlign w:val="bottom"/>
            <w:vMerge w:val="continue"/>
          </w:tcPr>
          <w:p>
            <w:pPr>
              <w:spacing w:after="0"/>
              <w:rPr>
                <w:sz w:val="16"/>
                <w:szCs w:val="16"/>
                <w:color w:val="auto"/>
              </w:rPr>
            </w:pPr>
          </w:p>
        </w:tc>
        <w:tc>
          <w:tcPr>
            <w:tcW w:w="3540" w:type="dxa"/>
            <w:vAlign w:val="bottom"/>
          </w:tcPr>
          <w:p>
            <w:pPr>
              <w:jc w:val="center"/>
              <w:ind w:left="631"/>
              <w:spacing w:after="0"/>
              <w:rPr>
                <w:sz w:val="20"/>
                <w:szCs w:val="20"/>
                <w:color w:val="auto"/>
              </w:rPr>
            </w:pPr>
            <w:r>
              <w:rPr>
                <w:rFonts w:ascii="Arial" w:cs="Arial" w:eastAsia="Arial" w:hAnsi="Arial"/>
                <w:sz w:val="14"/>
                <w:szCs w:val="14"/>
                <w:b w:val="1"/>
                <w:bCs w:val="1"/>
                <w:color w:val="auto"/>
              </w:rPr>
              <w:t>of Incorporation</w:t>
            </w:r>
          </w:p>
        </w:tc>
        <w:tc>
          <w:tcPr>
            <w:tcW w:w="17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Ownership</w:t>
            </w:r>
          </w:p>
        </w:tc>
        <w:tc>
          <w:tcPr>
            <w:tcW w:w="0" w:type="dxa"/>
            <w:vAlign w:val="bottom"/>
          </w:tcPr>
          <w:p>
            <w:pPr>
              <w:spacing w:after="0"/>
              <w:rPr>
                <w:sz w:val="1"/>
                <w:szCs w:val="1"/>
                <w:color w:val="auto"/>
              </w:rPr>
            </w:pPr>
          </w:p>
        </w:tc>
      </w:tr>
      <w:tr>
        <w:trPr>
          <w:trHeight w:val="223"/>
        </w:trPr>
        <w:tc>
          <w:tcPr>
            <w:tcW w:w="5960" w:type="dxa"/>
            <w:vAlign w:val="bottom"/>
            <w:tcBorders>
              <w:top w:val="single" w:sz="8" w:color="DC202E"/>
              <w:bottom w:val="single" w:sz="8" w:color="888B8D"/>
            </w:tcBorders>
          </w:tcPr>
          <w:p>
            <w:pPr>
              <w:ind w:left="20"/>
              <w:spacing w:after="0"/>
              <w:rPr>
                <w:sz w:val="20"/>
                <w:szCs w:val="20"/>
                <w:color w:val="auto"/>
              </w:rPr>
            </w:pPr>
            <w:r>
              <w:rPr>
                <w:rFonts w:ascii="Arial" w:cs="Arial" w:eastAsia="Arial" w:hAnsi="Arial"/>
                <w:sz w:val="18"/>
                <w:szCs w:val="18"/>
                <w:color w:val="auto"/>
              </w:rPr>
              <w:t>AlliedSignal Aerospace Service LLC</w:t>
            </w:r>
          </w:p>
        </w:tc>
        <w:tc>
          <w:tcPr>
            <w:tcW w:w="3540" w:type="dxa"/>
            <w:vAlign w:val="bottom"/>
            <w:tcBorders>
              <w:top w:val="single" w:sz="8" w:color="DC202E"/>
              <w:bottom w:val="single" w:sz="8" w:color="888B8D"/>
            </w:tcBorders>
          </w:tcPr>
          <w:p>
            <w:pPr>
              <w:jc w:val="center"/>
              <w:ind w:left="651"/>
              <w:spacing w:after="0"/>
              <w:rPr>
                <w:sz w:val="20"/>
                <w:szCs w:val="20"/>
                <w:color w:val="auto"/>
              </w:rPr>
            </w:pPr>
            <w:r>
              <w:rPr>
                <w:rFonts w:ascii="Arial" w:cs="Arial" w:eastAsia="Arial" w:hAnsi="Arial"/>
                <w:sz w:val="18"/>
                <w:szCs w:val="18"/>
                <w:color w:val="auto"/>
                <w:w w:val="99"/>
              </w:rPr>
              <w:t>Delaware</w:t>
            </w:r>
          </w:p>
        </w:tc>
        <w:tc>
          <w:tcPr>
            <w:tcW w:w="1700" w:type="dxa"/>
            <w:vAlign w:val="bottom"/>
            <w:tcBorders>
              <w:top w:val="single" w:sz="8" w:color="DC202E"/>
              <w:bottom w:val="single" w:sz="8" w:color="888B8D"/>
            </w:tcBorders>
          </w:tcPr>
          <w:p>
            <w:pPr>
              <w:jc w:val="right"/>
              <w:spacing w:after="0"/>
              <w:rPr>
                <w:sz w:val="20"/>
                <w:szCs w:val="20"/>
                <w:color w:val="auto"/>
              </w:rPr>
            </w:pPr>
            <w:r>
              <w:rPr>
                <w:rFonts w:ascii="Arial" w:cs="Arial" w:eastAsia="Arial" w:hAnsi="Arial"/>
                <w:sz w:val="18"/>
                <w:szCs w:val="18"/>
                <w:color w:val="auto"/>
              </w:rPr>
              <w:t>100 %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Borders>
              <w:bottom w:val="single" w:sz="8" w:color="888B8D"/>
            </w:tcBorders>
          </w:tcPr>
          <w:p>
            <w:pPr>
              <w:ind w:left="20"/>
              <w:spacing w:after="0"/>
              <w:rPr>
                <w:sz w:val="20"/>
                <w:szCs w:val="20"/>
                <w:color w:val="auto"/>
              </w:rPr>
            </w:pPr>
            <w:r>
              <w:rPr>
                <w:rFonts w:ascii="Arial" w:cs="Arial" w:eastAsia="Arial" w:hAnsi="Arial"/>
                <w:sz w:val="18"/>
                <w:szCs w:val="18"/>
                <w:color w:val="auto"/>
              </w:rPr>
              <w:t>BW Technologies Partnership</w:t>
            </w:r>
          </w:p>
        </w:tc>
        <w:tc>
          <w:tcPr>
            <w:tcW w:w="3540" w:type="dxa"/>
            <w:vAlign w:val="bottom"/>
            <w:tcBorders>
              <w:bottom w:val="single" w:sz="8" w:color="888B8D"/>
            </w:tcBorders>
          </w:tcPr>
          <w:p>
            <w:pPr>
              <w:jc w:val="center"/>
              <w:ind w:left="631"/>
              <w:spacing w:after="0"/>
              <w:rPr>
                <w:sz w:val="20"/>
                <w:szCs w:val="20"/>
                <w:color w:val="auto"/>
              </w:rPr>
            </w:pPr>
            <w:r>
              <w:rPr>
                <w:rFonts w:ascii="Arial" w:cs="Arial" w:eastAsia="Arial" w:hAnsi="Arial"/>
                <w:sz w:val="18"/>
                <w:szCs w:val="18"/>
                <w:color w:val="auto"/>
                <w:w w:val="98"/>
              </w:rPr>
              <w:t>Canada</w:t>
            </w:r>
          </w:p>
        </w:tc>
        <w:tc>
          <w:tcPr>
            <w:tcW w:w="1700" w:type="dxa"/>
            <w:vAlign w:val="bottom"/>
            <w:tcBorders>
              <w:bottom w:val="single" w:sz="8" w:color="888B8D"/>
            </w:tcBorders>
          </w:tcPr>
          <w:p>
            <w:pPr>
              <w:jc w:val="right"/>
              <w:spacing w:after="0"/>
              <w:rPr>
                <w:sz w:val="20"/>
                <w:szCs w:val="20"/>
                <w:color w:val="auto"/>
              </w:rPr>
            </w:pPr>
            <w:r>
              <w:rPr>
                <w:rFonts w:ascii="Arial" w:cs="Arial" w:eastAsia="Arial" w:hAnsi="Arial"/>
                <w:sz w:val="18"/>
                <w:szCs w:val="18"/>
                <w:color w:val="auto"/>
              </w:rPr>
              <w:t>100 %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Borders>
              <w:bottom w:val="single" w:sz="8" w:color="888B8D"/>
            </w:tcBorders>
          </w:tcPr>
          <w:p>
            <w:pPr>
              <w:ind w:left="20"/>
              <w:spacing w:after="0"/>
              <w:rPr>
                <w:sz w:val="20"/>
                <w:szCs w:val="20"/>
                <w:color w:val="auto"/>
              </w:rPr>
            </w:pPr>
            <w:r>
              <w:rPr>
                <w:rFonts w:ascii="Arial" w:cs="Arial" w:eastAsia="Arial" w:hAnsi="Arial"/>
                <w:sz w:val="18"/>
                <w:szCs w:val="18"/>
                <w:color w:val="auto"/>
              </w:rPr>
              <w:t>CAES Systems Holdings LLC</w:t>
            </w:r>
          </w:p>
        </w:tc>
        <w:tc>
          <w:tcPr>
            <w:tcW w:w="3540" w:type="dxa"/>
            <w:vAlign w:val="bottom"/>
            <w:tcBorders>
              <w:bottom w:val="single" w:sz="8" w:color="888B8D"/>
            </w:tcBorders>
          </w:tcPr>
          <w:p>
            <w:pPr>
              <w:jc w:val="center"/>
              <w:ind w:left="651"/>
              <w:spacing w:after="0"/>
              <w:rPr>
                <w:sz w:val="20"/>
                <w:szCs w:val="20"/>
                <w:color w:val="auto"/>
              </w:rPr>
            </w:pPr>
            <w:r>
              <w:rPr>
                <w:rFonts w:ascii="Arial" w:cs="Arial" w:eastAsia="Arial" w:hAnsi="Arial"/>
                <w:sz w:val="18"/>
                <w:szCs w:val="18"/>
                <w:color w:val="auto"/>
                <w:w w:val="99"/>
              </w:rPr>
              <w:t>United States</w:t>
            </w:r>
          </w:p>
        </w:tc>
        <w:tc>
          <w:tcPr>
            <w:tcW w:w="1700" w:type="dxa"/>
            <w:vAlign w:val="bottom"/>
            <w:tcBorders>
              <w:bottom w:val="single" w:sz="8" w:color="888B8D"/>
            </w:tcBorders>
          </w:tcPr>
          <w:p>
            <w:pPr>
              <w:jc w:val="right"/>
              <w:spacing w:after="0"/>
              <w:rPr>
                <w:sz w:val="20"/>
                <w:szCs w:val="20"/>
                <w:color w:val="auto"/>
              </w:rPr>
            </w:pPr>
            <w:r>
              <w:rPr>
                <w:rFonts w:ascii="Arial" w:cs="Arial" w:eastAsia="Arial" w:hAnsi="Arial"/>
                <w:sz w:val="18"/>
                <w:szCs w:val="18"/>
                <w:color w:val="auto"/>
              </w:rPr>
              <w:t>100 %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Borders>
              <w:bottom w:val="single" w:sz="8" w:color="888B8D"/>
            </w:tcBorders>
          </w:tcPr>
          <w:p>
            <w:pPr>
              <w:ind w:left="20"/>
              <w:spacing w:after="0"/>
              <w:rPr>
                <w:sz w:val="20"/>
                <w:szCs w:val="20"/>
                <w:color w:val="auto"/>
              </w:rPr>
            </w:pPr>
            <w:r>
              <w:rPr>
                <w:rFonts w:ascii="Arial" w:cs="Arial" w:eastAsia="Arial" w:hAnsi="Arial"/>
                <w:sz w:val="18"/>
                <w:szCs w:val="18"/>
                <w:color w:val="auto"/>
              </w:rPr>
              <w:t>Cedar Court Indemnity Company</w:t>
            </w:r>
          </w:p>
        </w:tc>
        <w:tc>
          <w:tcPr>
            <w:tcW w:w="3540" w:type="dxa"/>
            <w:vAlign w:val="bottom"/>
            <w:tcBorders>
              <w:bottom w:val="single" w:sz="8" w:color="888B8D"/>
            </w:tcBorders>
          </w:tcPr>
          <w:p>
            <w:pPr>
              <w:jc w:val="center"/>
              <w:ind w:left="631"/>
              <w:spacing w:after="0"/>
              <w:rPr>
                <w:sz w:val="20"/>
                <w:szCs w:val="20"/>
                <w:color w:val="auto"/>
              </w:rPr>
            </w:pPr>
            <w:r>
              <w:rPr>
                <w:rFonts w:ascii="Arial" w:cs="Arial" w:eastAsia="Arial" w:hAnsi="Arial"/>
                <w:sz w:val="18"/>
                <w:szCs w:val="18"/>
                <w:color w:val="auto"/>
                <w:w w:val="96"/>
              </w:rPr>
              <w:t>Vermont</w:t>
            </w:r>
          </w:p>
        </w:tc>
        <w:tc>
          <w:tcPr>
            <w:tcW w:w="1700" w:type="dxa"/>
            <w:vAlign w:val="bottom"/>
            <w:tcBorders>
              <w:bottom w:val="single" w:sz="8" w:color="888B8D"/>
            </w:tcBorders>
          </w:tcPr>
          <w:p>
            <w:pPr>
              <w:jc w:val="right"/>
              <w:spacing w:after="0"/>
              <w:rPr>
                <w:sz w:val="20"/>
                <w:szCs w:val="20"/>
                <w:color w:val="auto"/>
              </w:rPr>
            </w:pPr>
            <w:r>
              <w:rPr>
                <w:rFonts w:ascii="Arial" w:cs="Arial" w:eastAsia="Arial" w:hAnsi="Arial"/>
                <w:sz w:val="18"/>
                <w:szCs w:val="18"/>
                <w:color w:val="auto"/>
              </w:rPr>
              <w:t>100 %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Borders>
              <w:bottom w:val="single" w:sz="8" w:color="888B8D"/>
            </w:tcBorders>
          </w:tcPr>
          <w:p>
            <w:pPr>
              <w:ind w:left="20"/>
              <w:spacing w:after="0"/>
              <w:rPr>
                <w:sz w:val="20"/>
                <w:szCs w:val="20"/>
                <w:color w:val="auto"/>
              </w:rPr>
            </w:pPr>
            <w:r>
              <w:rPr>
                <w:rFonts w:ascii="Arial" w:cs="Arial" w:eastAsia="Arial" w:hAnsi="Arial"/>
                <w:sz w:val="18"/>
                <w:szCs w:val="18"/>
                <w:color w:val="auto"/>
              </w:rPr>
              <w:t>COM DEV Europe Limited</w:t>
            </w:r>
          </w:p>
        </w:tc>
        <w:tc>
          <w:tcPr>
            <w:tcW w:w="3540" w:type="dxa"/>
            <w:vAlign w:val="bottom"/>
            <w:tcBorders>
              <w:bottom w:val="single" w:sz="8" w:color="888B8D"/>
            </w:tcBorders>
          </w:tcPr>
          <w:p>
            <w:pPr>
              <w:jc w:val="center"/>
              <w:ind w:left="651"/>
              <w:spacing w:after="0"/>
              <w:rPr>
                <w:sz w:val="20"/>
                <w:szCs w:val="20"/>
                <w:color w:val="auto"/>
              </w:rPr>
            </w:pPr>
            <w:r>
              <w:rPr>
                <w:rFonts w:ascii="Arial" w:cs="Arial" w:eastAsia="Arial" w:hAnsi="Arial"/>
                <w:sz w:val="18"/>
                <w:szCs w:val="18"/>
                <w:color w:val="auto"/>
                <w:w w:val="99"/>
              </w:rPr>
              <w:t>United Kingdom</w:t>
            </w:r>
          </w:p>
        </w:tc>
        <w:tc>
          <w:tcPr>
            <w:tcW w:w="1700" w:type="dxa"/>
            <w:vAlign w:val="bottom"/>
            <w:tcBorders>
              <w:bottom w:val="single" w:sz="8" w:color="888B8D"/>
            </w:tcBorders>
          </w:tcPr>
          <w:p>
            <w:pPr>
              <w:jc w:val="right"/>
              <w:spacing w:after="0"/>
              <w:rPr>
                <w:sz w:val="20"/>
                <w:szCs w:val="20"/>
                <w:color w:val="auto"/>
              </w:rPr>
            </w:pPr>
            <w:r>
              <w:rPr>
                <w:rFonts w:ascii="Arial" w:cs="Arial" w:eastAsia="Arial" w:hAnsi="Arial"/>
                <w:sz w:val="18"/>
                <w:szCs w:val="18"/>
                <w:color w:val="auto"/>
              </w:rPr>
              <w:t>100 %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Borders>
              <w:bottom w:val="single" w:sz="8" w:color="888B8D"/>
            </w:tcBorders>
          </w:tcPr>
          <w:p>
            <w:pPr>
              <w:ind w:left="20"/>
              <w:spacing w:after="0"/>
              <w:rPr>
                <w:sz w:val="20"/>
                <w:szCs w:val="20"/>
                <w:color w:val="auto"/>
              </w:rPr>
            </w:pPr>
            <w:r>
              <w:rPr>
                <w:rFonts w:ascii="Arial" w:cs="Arial" w:eastAsia="Arial" w:hAnsi="Arial"/>
                <w:sz w:val="18"/>
                <w:szCs w:val="18"/>
                <w:color w:val="auto"/>
              </w:rPr>
              <w:t>ConverDyn</w:t>
            </w:r>
          </w:p>
        </w:tc>
        <w:tc>
          <w:tcPr>
            <w:tcW w:w="3540" w:type="dxa"/>
            <w:vAlign w:val="bottom"/>
            <w:tcBorders>
              <w:bottom w:val="single" w:sz="8" w:color="888B8D"/>
            </w:tcBorders>
          </w:tcPr>
          <w:p>
            <w:pPr>
              <w:jc w:val="center"/>
              <w:ind w:left="651"/>
              <w:spacing w:after="0"/>
              <w:rPr>
                <w:sz w:val="20"/>
                <w:szCs w:val="20"/>
                <w:color w:val="auto"/>
              </w:rPr>
            </w:pPr>
            <w:r>
              <w:rPr>
                <w:rFonts w:ascii="Arial" w:cs="Arial" w:eastAsia="Arial" w:hAnsi="Arial"/>
                <w:sz w:val="18"/>
                <w:szCs w:val="18"/>
                <w:color w:val="auto"/>
                <w:w w:val="99"/>
              </w:rPr>
              <w:t>Delaware</w:t>
            </w:r>
          </w:p>
        </w:tc>
        <w:tc>
          <w:tcPr>
            <w:tcW w:w="1700" w:type="dxa"/>
            <w:vAlign w:val="bottom"/>
            <w:tcBorders>
              <w:bottom w:val="single" w:sz="8" w:color="888B8D"/>
            </w:tcBorders>
          </w:tcPr>
          <w:p>
            <w:pPr>
              <w:jc w:val="right"/>
              <w:spacing w:after="0"/>
              <w:rPr>
                <w:sz w:val="20"/>
                <w:szCs w:val="20"/>
                <w:color w:val="auto"/>
              </w:rPr>
            </w:pPr>
            <w:r>
              <w:rPr>
                <w:rFonts w:ascii="Arial" w:cs="Arial" w:eastAsia="Arial" w:hAnsi="Arial"/>
                <w:sz w:val="18"/>
                <w:szCs w:val="18"/>
                <w:color w:val="auto"/>
              </w:rPr>
              <w:t>50 %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Borders>
              <w:bottom w:val="single" w:sz="8" w:color="888B8D"/>
            </w:tcBorders>
          </w:tcPr>
          <w:p>
            <w:pPr>
              <w:ind w:left="20"/>
              <w:spacing w:after="0"/>
              <w:rPr>
                <w:sz w:val="20"/>
                <w:szCs w:val="20"/>
                <w:color w:val="auto"/>
              </w:rPr>
            </w:pPr>
            <w:r>
              <w:rPr>
                <w:rFonts w:ascii="Arial" w:cs="Arial" w:eastAsia="Arial" w:hAnsi="Arial"/>
                <w:sz w:val="18"/>
                <w:szCs w:val="18"/>
                <w:color w:val="auto"/>
              </w:rPr>
              <w:t>Eclipse, Inc.</w:t>
            </w:r>
          </w:p>
        </w:tc>
        <w:tc>
          <w:tcPr>
            <w:tcW w:w="3540" w:type="dxa"/>
            <w:vAlign w:val="bottom"/>
            <w:tcBorders>
              <w:bottom w:val="single" w:sz="8" w:color="888B8D"/>
            </w:tcBorders>
          </w:tcPr>
          <w:p>
            <w:pPr>
              <w:jc w:val="center"/>
              <w:ind w:left="631"/>
              <w:spacing w:after="0"/>
              <w:rPr>
                <w:sz w:val="20"/>
                <w:szCs w:val="20"/>
                <w:color w:val="auto"/>
              </w:rPr>
            </w:pPr>
            <w:r>
              <w:rPr>
                <w:rFonts w:ascii="Arial" w:cs="Arial" w:eastAsia="Arial" w:hAnsi="Arial"/>
                <w:sz w:val="18"/>
                <w:szCs w:val="18"/>
                <w:color w:val="auto"/>
                <w:w w:val="99"/>
              </w:rPr>
              <w:t>Illinois</w:t>
            </w:r>
          </w:p>
        </w:tc>
        <w:tc>
          <w:tcPr>
            <w:tcW w:w="1700" w:type="dxa"/>
            <w:vAlign w:val="bottom"/>
            <w:tcBorders>
              <w:bottom w:val="single" w:sz="8" w:color="888B8D"/>
            </w:tcBorders>
          </w:tcPr>
          <w:p>
            <w:pPr>
              <w:jc w:val="right"/>
              <w:spacing w:after="0"/>
              <w:rPr>
                <w:sz w:val="20"/>
                <w:szCs w:val="20"/>
                <w:color w:val="auto"/>
              </w:rPr>
            </w:pPr>
            <w:r>
              <w:rPr>
                <w:rFonts w:ascii="Arial" w:cs="Arial" w:eastAsia="Arial" w:hAnsi="Arial"/>
                <w:sz w:val="18"/>
                <w:szCs w:val="18"/>
                <w:color w:val="auto"/>
              </w:rPr>
              <w:t>100 %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Borders>
              <w:bottom w:val="single" w:sz="8" w:color="888B8D"/>
            </w:tcBorders>
          </w:tcPr>
          <w:p>
            <w:pPr>
              <w:ind w:left="20"/>
              <w:spacing w:after="0"/>
              <w:rPr>
                <w:sz w:val="20"/>
                <w:szCs w:val="20"/>
                <w:color w:val="auto"/>
              </w:rPr>
            </w:pPr>
            <w:r>
              <w:rPr>
                <w:rFonts w:ascii="Arial" w:cs="Arial" w:eastAsia="Arial" w:hAnsi="Arial"/>
                <w:sz w:val="18"/>
                <w:szCs w:val="18"/>
                <w:color w:val="auto"/>
              </w:rPr>
              <w:t>Elster GmbH</w:t>
            </w:r>
          </w:p>
        </w:tc>
        <w:tc>
          <w:tcPr>
            <w:tcW w:w="3540" w:type="dxa"/>
            <w:vAlign w:val="bottom"/>
            <w:tcBorders>
              <w:bottom w:val="single" w:sz="8" w:color="888B8D"/>
            </w:tcBorders>
          </w:tcPr>
          <w:p>
            <w:pPr>
              <w:jc w:val="center"/>
              <w:ind w:left="631"/>
              <w:spacing w:after="0"/>
              <w:rPr>
                <w:sz w:val="20"/>
                <w:szCs w:val="20"/>
                <w:color w:val="auto"/>
              </w:rPr>
            </w:pPr>
            <w:r>
              <w:rPr>
                <w:rFonts w:ascii="Arial" w:cs="Arial" w:eastAsia="Arial" w:hAnsi="Arial"/>
                <w:sz w:val="18"/>
                <w:szCs w:val="18"/>
                <w:color w:val="auto"/>
                <w:w w:val="99"/>
              </w:rPr>
              <w:t>Germany</w:t>
            </w:r>
          </w:p>
        </w:tc>
        <w:tc>
          <w:tcPr>
            <w:tcW w:w="1700" w:type="dxa"/>
            <w:vAlign w:val="bottom"/>
            <w:tcBorders>
              <w:bottom w:val="single" w:sz="8" w:color="888B8D"/>
            </w:tcBorders>
          </w:tcPr>
          <w:p>
            <w:pPr>
              <w:jc w:val="right"/>
              <w:spacing w:after="0"/>
              <w:rPr>
                <w:sz w:val="20"/>
                <w:szCs w:val="20"/>
                <w:color w:val="auto"/>
              </w:rPr>
            </w:pPr>
            <w:r>
              <w:rPr>
                <w:rFonts w:ascii="Arial" w:cs="Arial" w:eastAsia="Arial" w:hAnsi="Arial"/>
                <w:sz w:val="18"/>
                <w:szCs w:val="18"/>
                <w:color w:val="auto"/>
              </w:rPr>
              <w:t>100 %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Borders>
              <w:bottom w:val="single" w:sz="8" w:color="888B8D"/>
            </w:tcBorders>
          </w:tcPr>
          <w:p>
            <w:pPr>
              <w:ind w:left="20"/>
              <w:spacing w:after="0"/>
              <w:rPr>
                <w:sz w:val="20"/>
                <w:szCs w:val="20"/>
                <w:color w:val="auto"/>
              </w:rPr>
            </w:pPr>
            <w:r>
              <w:rPr>
                <w:rFonts w:ascii="Arial" w:cs="Arial" w:eastAsia="Arial" w:hAnsi="Arial"/>
                <w:sz w:val="18"/>
                <w:szCs w:val="18"/>
                <w:color w:val="auto"/>
              </w:rPr>
              <w:t>Elster Group GmbH</w:t>
            </w:r>
          </w:p>
        </w:tc>
        <w:tc>
          <w:tcPr>
            <w:tcW w:w="3540" w:type="dxa"/>
            <w:vAlign w:val="bottom"/>
            <w:tcBorders>
              <w:bottom w:val="single" w:sz="8" w:color="888B8D"/>
            </w:tcBorders>
          </w:tcPr>
          <w:p>
            <w:pPr>
              <w:jc w:val="center"/>
              <w:ind w:left="631"/>
              <w:spacing w:after="0"/>
              <w:rPr>
                <w:sz w:val="20"/>
                <w:szCs w:val="20"/>
                <w:color w:val="auto"/>
              </w:rPr>
            </w:pPr>
            <w:r>
              <w:rPr>
                <w:rFonts w:ascii="Arial" w:cs="Arial" w:eastAsia="Arial" w:hAnsi="Arial"/>
                <w:sz w:val="18"/>
                <w:szCs w:val="18"/>
                <w:color w:val="auto"/>
                <w:w w:val="99"/>
              </w:rPr>
              <w:t>Germany</w:t>
            </w:r>
          </w:p>
        </w:tc>
        <w:tc>
          <w:tcPr>
            <w:tcW w:w="1700" w:type="dxa"/>
            <w:vAlign w:val="bottom"/>
            <w:tcBorders>
              <w:bottom w:val="single" w:sz="8" w:color="888B8D"/>
            </w:tcBorders>
          </w:tcPr>
          <w:p>
            <w:pPr>
              <w:jc w:val="right"/>
              <w:spacing w:after="0"/>
              <w:rPr>
                <w:sz w:val="20"/>
                <w:szCs w:val="20"/>
                <w:color w:val="auto"/>
              </w:rPr>
            </w:pPr>
            <w:r>
              <w:rPr>
                <w:rFonts w:ascii="Arial" w:cs="Arial" w:eastAsia="Arial" w:hAnsi="Arial"/>
                <w:sz w:val="18"/>
                <w:szCs w:val="18"/>
                <w:color w:val="auto"/>
              </w:rPr>
              <w:t>100 %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Borders>
              <w:bottom w:val="single" w:sz="8" w:color="888B8D"/>
            </w:tcBorders>
          </w:tcPr>
          <w:p>
            <w:pPr>
              <w:ind w:left="20"/>
              <w:spacing w:after="0"/>
              <w:rPr>
                <w:sz w:val="20"/>
                <w:szCs w:val="20"/>
                <w:color w:val="auto"/>
              </w:rPr>
            </w:pPr>
            <w:r>
              <w:rPr>
                <w:rFonts w:ascii="Arial" w:cs="Arial" w:eastAsia="Arial" w:hAnsi="Arial"/>
                <w:sz w:val="18"/>
                <w:szCs w:val="18"/>
                <w:color w:val="auto"/>
              </w:rPr>
              <w:t>ELSTER METERING LTD.</w:t>
            </w:r>
          </w:p>
        </w:tc>
        <w:tc>
          <w:tcPr>
            <w:tcW w:w="3540" w:type="dxa"/>
            <w:vAlign w:val="bottom"/>
            <w:tcBorders>
              <w:bottom w:val="single" w:sz="8" w:color="888B8D"/>
            </w:tcBorders>
          </w:tcPr>
          <w:p>
            <w:pPr>
              <w:jc w:val="center"/>
              <w:ind w:left="651"/>
              <w:spacing w:after="0"/>
              <w:rPr>
                <w:sz w:val="20"/>
                <w:szCs w:val="20"/>
                <w:color w:val="auto"/>
              </w:rPr>
            </w:pPr>
            <w:r>
              <w:rPr>
                <w:rFonts w:ascii="Arial" w:cs="Arial" w:eastAsia="Arial" w:hAnsi="Arial"/>
                <w:sz w:val="18"/>
                <w:szCs w:val="18"/>
                <w:color w:val="auto"/>
                <w:w w:val="99"/>
              </w:rPr>
              <w:t>United Kingdom</w:t>
            </w:r>
          </w:p>
        </w:tc>
        <w:tc>
          <w:tcPr>
            <w:tcW w:w="1700" w:type="dxa"/>
            <w:vAlign w:val="bottom"/>
            <w:tcBorders>
              <w:bottom w:val="single" w:sz="8" w:color="888B8D"/>
            </w:tcBorders>
          </w:tcPr>
          <w:p>
            <w:pPr>
              <w:jc w:val="right"/>
              <w:spacing w:after="0"/>
              <w:rPr>
                <w:sz w:val="20"/>
                <w:szCs w:val="20"/>
                <w:color w:val="auto"/>
              </w:rPr>
            </w:pPr>
            <w:r>
              <w:rPr>
                <w:rFonts w:ascii="Arial" w:cs="Arial" w:eastAsia="Arial" w:hAnsi="Arial"/>
                <w:sz w:val="18"/>
                <w:szCs w:val="18"/>
                <w:color w:val="auto"/>
              </w:rPr>
              <w:t>100 %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Borders>
              <w:bottom w:val="single" w:sz="8" w:color="888B8D"/>
            </w:tcBorders>
          </w:tcPr>
          <w:p>
            <w:pPr>
              <w:ind w:left="20"/>
              <w:spacing w:after="0"/>
              <w:rPr>
                <w:sz w:val="20"/>
                <w:szCs w:val="20"/>
                <w:color w:val="auto"/>
              </w:rPr>
            </w:pPr>
            <w:r>
              <w:rPr>
                <w:rFonts w:ascii="Arial" w:cs="Arial" w:eastAsia="Arial" w:hAnsi="Arial"/>
                <w:sz w:val="18"/>
                <w:szCs w:val="18"/>
                <w:color w:val="auto"/>
              </w:rPr>
              <w:t>Elster Metering Pty Ltd</w:t>
            </w:r>
          </w:p>
        </w:tc>
        <w:tc>
          <w:tcPr>
            <w:tcW w:w="3540" w:type="dxa"/>
            <w:vAlign w:val="bottom"/>
            <w:tcBorders>
              <w:bottom w:val="single" w:sz="8" w:color="888B8D"/>
            </w:tcBorders>
          </w:tcPr>
          <w:p>
            <w:pPr>
              <w:jc w:val="center"/>
              <w:ind w:left="631"/>
              <w:spacing w:after="0"/>
              <w:rPr>
                <w:sz w:val="20"/>
                <w:szCs w:val="20"/>
                <w:color w:val="auto"/>
              </w:rPr>
            </w:pPr>
            <w:r>
              <w:rPr>
                <w:rFonts w:ascii="Arial" w:cs="Arial" w:eastAsia="Arial" w:hAnsi="Arial"/>
                <w:sz w:val="18"/>
                <w:szCs w:val="18"/>
                <w:color w:val="auto"/>
                <w:w w:val="99"/>
              </w:rPr>
              <w:t>Australia</w:t>
            </w:r>
          </w:p>
        </w:tc>
        <w:tc>
          <w:tcPr>
            <w:tcW w:w="1700" w:type="dxa"/>
            <w:vAlign w:val="bottom"/>
            <w:tcBorders>
              <w:bottom w:val="single" w:sz="8" w:color="888B8D"/>
            </w:tcBorders>
          </w:tcPr>
          <w:p>
            <w:pPr>
              <w:jc w:val="right"/>
              <w:spacing w:after="0"/>
              <w:rPr>
                <w:sz w:val="20"/>
                <w:szCs w:val="20"/>
                <w:color w:val="auto"/>
              </w:rPr>
            </w:pPr>
            <w:r>
              <w:rPr>
                <w:rFonts w:ascii="Arial" w:cs="Arial" w:eastAsia="Arial" w:hAnsi="Arial"/>
                <w:sz w:val="18"/>
                <w:szCs w:val="18"/>
                <w:color w:val="auto"/>
              </w:rPr>
              <w:t>100 %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Borders>
              <w:bottom w:val="single" w:sz="8" w:color="888B8D"/>
            </w:tcBorders>
          </w:tcPr>
          <w:p>
            <w:pPr>
              <w:ind w:left="20"/>
              <w:spacing w:after="0"/>
              <w:rPr>
                <w:sz w:val="20"/>
                <w:szCs w:val="20"/>
                <w:color w:val="auto"/>
              </w:rPr>
            </w:pPr>
            <w:r>
              <w:rPr>
                <w:rFonts w:ascii="Arial" w:cs="Arial" w:eastAsia="Arial" w:hAnsi="Arial"/>
                <w:sz w:val="18"/>
                <w:szCs w:val="18"/>
                <w:color w:val="auto"/>
              </w:rPr>
              <w:t>Elster S.A.S.</w:t>
            </w:r>
          </w:p>
        </w:tc>
        <w:tc>
          <w:tcPr>
            <w:tcW w:w="3540" w:type="dxa"/>
            <w:vAlign w:val="bottom"/>
            <w:tcBorders>
              <w:bottom w:val="single" w:sz="8" w:color="888B8D"/>
            </w:tcBorders>
          </w:tcPr>
          <w:p>
            <w:pPr>
              <w:jc w:val="center"/>
              <w:ind w:left="651"/>
              <w:spacing w:after="0"/>
              <w:rPr>
                <w:sz w:val="20"/>
                <w:szCs w:val="20"/>
                <w:color w:val="auto"/>
              </w:rPr>
            </w:pPr>
            <w:r>
              <w:rPr>
                <w:rFonts w:ascii="Arial" w:cs="Arial" w:eastAsia="Arial" w:hAnsi="Arial"/>
                <w:sz w:val="18"/>
                <w:szCs w:val="18"/>
                <w:color w:val="auto"/>
                <w:w w:val="99"/>
              </w:rPr>
              <w:t>France</w:t>
            </w:r>
          </w:p>
        </w:tc>
        <w:tc>
          <w:tcPr>
            <w:tcW w:w="1700" w:type="dxa"/>
            <w:vAlign w:val="bottom"/>
            <w:tcBorders>
              <w:bottom w:val="single" w:sz="8" w:color="888B8D"/>
            </w:tcBorders>
          </w:tcPr>
          <w:p>
            <w:pPr>
              <w:jc w:val="right"/>
              <w:spacing w:after="0"/>
              <w:rPr>
                <w:sz w:val="20"/>
                <w:szCs w:val="20"/>
                <w:color w:val="auto"/>
              </w:rPr>
            </w:pPr>
            <w:r>
              <w:rPr>
                <w:rFonts w:ascii="Arial" w:cs="Arial" w:eastAsia="Arial" w:hAnsi="Arial"/>
                <w:sz w:val="18"/>
                <w:szCs w:val="18"/>
                <w:color w:val="auto"/>
              </w:rPr>
              <w:t>100 %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Borders>
              <w:bottom w:val="single" w:sz="8" w:color="888B8D"/>
            </w:tcBorders>
          </w:tcPr>
          <w:p>
            <w:pPr>
              <w:ind w:left="20"/>
              <w:spacing w:after="0"/>
              <w:rPr>
                <w:sz w:val="20"/>
                <w:szCs w:val="20"/>
                <w:color w:val="auto"/>
              </w:rPr>
            </w:pPr>
            <w:r>
              <w:rPr>
                <w:rFonts w:ascii="Arial" w:cs="Arial" w:eastAsia="Arial" w:hAnsi="Arial"/>
                <w:sz w:val="18"/>
                <w:szCs w:val="18"/>
                <w:color w:val="auto"/>
              </w:rPr>
              <w:t>Elster s.r.o.</w:t>
            </w:r>
          </w:p>
        </w:tc>
        <w:tc>
          <w:tcPr>
            <w:tcW w:w="3540" w:type="dxa"/>
            <w:vAlign w:val="bottom"/>
            <w:tcBorders>
              <w:bottom w:val="single" w:sz="8" w:color="888B8D"/>
            </w:tcBorders>
          </w:tcPr>
          <w:p>
            <w:pPr>
              <w:jc w:val="center"/>
              <w:ind w:left="651"/>
              <w:spacing w:after="0"/>
              <w:rPr>
                <w:sz w:val="20"/>
                <w:szCs w:val="20"/>
                <w:color w:val="auto"/>
              </w:rPr>
            </w:pPr>
            <w:r>
              <w:rPr>
                <w:rFonts w:ascii="Arial" w:cs="Arial" w:eastAsia="Arial" w:hAnsi="Arial"/>
                <w:sz w:val="18"/>
                <w:szCs w:val="18"/>
                <w:color w:val="auto"/>
                <w:w w:val="99"/>
              </w:rPr>
              <w:t>Slovakia</w:t>
            </w:r>
          </w:p>
        </w:tc>
        <w:tc>
          <w:tcPr>
            <w:tcW w:w="1700" w:type="dxa"/>
            <w:vAlign w:val="bottom"/>
            <w:tcBorders>
              <w:bottom w:val="single" w:sz="8" w:color="888B8D"/>
            </w:tcBorders>
          </w:tcPr>
          <w:p>
            <w:pPr>
              <w:jc w:val="right"/>
              <w:spacing w:after="0"/>
              <w:rPr>
                <w:sz w:val="20"/>
                <w:szCs w:val="20"/>
                <w:color w:val="auto"/>
              </w:rPr>
            </w:pPr>
            <w:r>
              <w:rPr>
                <w:rFonts w:ascii="Arial" w:cs="Arial" w:eastAsia="Arial" w:hAnsi="Arial"/>
                <w:sz w:val="18"/>
                <w:szCs w:val="18"/>
                <w:color w:val="auto"/>
              </w:rPr>
              <w:t>100 %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Borders>
              <w:bottom w:val="single" w:sz="8" w:color="888B8D"/>
            </w:tcBorders>
          </w:tcPr>
          <w:p>
            <w:pPr>
              <w:ind w:left="20"/>
              <w:spacing w:after="0"/>
              <w:rPr>
                <w:sz w:val="20"/>
                <w:szCs w:val="20"/>
                <w:color w:val="auto"/>
              </w:rPr>
            </w:pPr>
            <w:r>
              <w:rPr>
                <w:rFonts w:ascii="Arial" w:cs="Arial" w:eastAsia="Arial" w:hAnsi="Arial"/>
                <w:sz w:val="18"/>
                <w:szCs w:val="18"/>
                <w:color w:val="auto"/>
              </w:rPr>
              <w:t>EMS Defense Technologies, Inc.</w:t>
            </w:r>
          </w:p>
        </w:tc>
        <w:tc>
          <w:tcPr>
            <w:tcW w:w="3540" w:type="dxa"/>
            <w:vAlign w:val="bottom"/>
            <w:tcBorders>
              <w:bottom w:val="single" w:sz="8" w:color="888B8D"/>
            </w:tcBorders>
          </w:tcPr>
          <w:p>
            <w:pPr>
              <w:jc w:val="center"/>
              <w:ind w:left="651"/>
              <w:spacing w:after="0"/>
              <w:rPr>
                <w:sz w:val="20"/>
                <w:szCs w:val="20"/>
                <w:color w:val="auto"/>
              </w:rPr>
            </w:pPr>
            <w:r>
              <w:rPr>
                <w:rFonts w:ascii="Arial" w:cs="Arial" w:eastAsia="Arial" w:hAnsi="Arial"/>
                <w:sz w:val="18"/>
                <w:szCs w:val="18"/>
                <w:color w:val="auto"/>
                <w:w w:val="99"/>
              </w:rPr>
              <w:t>Georgia</w:t>
            </w:r>
          </w:p>
        </w:tc>
        <w:tc>
          <w:tcPr>
            <w:tcW w:w="1700" w:type="dxa"/>
            <w:vAlign w:val="bottom"/>
            <w:tcBorders>
              <w:bottom w:val="single" w:sz="8" w:color="888B8D"/>
            </w:tcBorders>
          </w:tcPr>
          <w:p>
            <w:pPr>
              <w:jc w:val="right"/>
              <w:spacing w:after="0"/>
              <w:rPr>
                <w:sz w:val="20"/>
                <w:szCs w:val="20"/>
                <w:color w:val="auto"/>
              </w:rPr>
            </w:pPr>
            <w:r>
              <w:rPr>
                <w:rFonts w:ascii="Arial" w:cs="Arial" w:eastAsia="Arial" w:hAnsi="Arial"/>
                <w:sz w:val="18"/>
                <w:szCs w:val="18"/>
                <w:color w:val="auto"/>
              </w:rPr>
              <w:t>100 %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Borders>
              <w:bottom w:val="single" w:sz="8" w:color="888B8D"/>
            </w:tcBorders>
          </w:tcPr>
          <w:p>
            <w:pPr>
              <w:ind w:left="20"/>
              <w:spacing w:after="0"/>
              <w:rPr>
                <w:sz w:val="20"/>
                <w:szCs w:val="20"/>
                <w:color w:val="auto"/>
              </w:rPr>
            </w:pPr>
            <w:r>
              <w:rPr>
                <w:rFonts w:ascii="Arial" w:cs="Arial" w:eastAsia="Arial" w:hAnsi="Arial"/>
                <w:sz w:val="18"/>
                <w:szCs w:val="18"/>
                <w:color w:val="auto"/>
              </w:rPr>
              <w:t>EMS Technologies Canada Ltd.</w:t>
            </w:r>
          </w:p>
        </w:tc>
        <w:tc>
          <w:tcPr>
            <w:tcW w:w="3540" w:type="dxa"/>
            <w:vAlign w:val="bottom"/>
            <w:tcBorders>
              <w:bottom w:val="single" w:sz="8" w:color="888B8D"/>
            </w:tcBorders>
          </w:tcPr>
          <w:p>
            <w:pPr>
              <w:jc w:val="center"/>
              <w:ind w:left="631"/>
              <w:spacing w:after="0"/>
              <w:rPr>
                <w:sz w:val="20"/>
                <w:szCs w:val="20"/>
                <w:color w:val="auto"/>
              </w:rPr>
            </w:pPr>
            <w:r>
              <w:rPr>
                <w:rFonts w:ascii="Arial" w:cs="Arial" w:eastAsia="Arial" w:hAnsi="Arial"/>
                <w:sz w:val="18"/>
                <w:szCs w:val="18"/>
                <w:color w:val="auto"/>
                <w:w w:val="98"/>
              </w:rPr>
              <w:t>Canada</w:t>
            </w:r>
          </w:p>
        </w:tc>
        <w:tc>
          <w:tcPr>
            <w:tcW w:w="1700" w:type="dxa"/>
            <w:vAlign w:val="bottom"/>
            <w:tcBorders>
              <w:bottom w:val="single" w:sz="8" w:color="888B8D"/>
            </w:tcBorders>
          </w:tcPr>
          <w:p>
            <w:pPr>
              <w:jc w:val="right"/>
              <w:spacing w:after="0"/>
              <w:rPr>
                <w:sz w:val="20"/>
                <w:szCs w:val="20"/>
                <w:color w:val="auto"/>
              </w:rPr>
            </w:pPr>
            <w:r>
              <w:rPr>
                <w:rFonts w:ascii="Arial" w:cs="Arial" w:eastAsia="Arial" w:hAnsi="Arial"/>
                <w:sz w:val="18"/>
                <w:szCs w:val="18"/>
                <w:color w:val="auto"/>
              </w:rPr>
              <w:t>100 %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Borders>
              <w:bottom w:val="single" w:sz="8" w:color="888B8D"/>
            </w:tcBorders>
          </w:tcPr>
          <w:p>
            <w:pPr>
              <w:ind w:left="20"/>
              <w:spacing w:after="0"/>
              <w:rPr>
                <w:sz w:val="20"/>
                <w:szCs w:val="20"/>
                <w:color w:val="auto"/>
              </w:rPr>
            </w:pPr>
            <w:r>
              <w:rPr>
                <w:rFonts w:ascii="Arial" w:cs="Arial" w:eastAsia="Arial" w:hAnsi="Arial"/>
                <w:sz w:val="18"/>
                <w:szCs w:val="18"/>
                <w:color w:val="auto"/>
              </w:rPr>
              <w:t>Friedland Doggart Group Limited</w:t>
            </w:r>
          </w:p>
        </w:tc>
        <w:tc>
          <w:tcPr>
            <w:tcW w:w="3540" w:type="dxa"/>
            <w:vAlign w:val="bottom"/>
            <w:tcBorders>
              <w:bottom w:val="single" w:sz="8" w:color="888B8D"/>
            </w:tcBorders>
          </w:tcPr>
          <w:p>
            <w:pPr>
              <w:jc w:val="center"/>
              <w:ind w:left="651"/>
              <w:spacing w:after="0"/>
              <w:rPr>
                <w:sz w:val="20"/>
                <w:szCs w:val="20"/>
                <w:color w:val="auto"/>
              </w:rPr>
            </w:pPr>
            <w:r>
              <w:rPr>
                <w:rFonts w:ascii="Arial" w:cs="Arial" w:eastAsia="Arial" w:hAnsi="Arial"/>
                <w:sz w:val="18"/>
                <w:szCs w:val="18"/>
                <w:color w:val="auto"/>
                <w:w w:val="99"/>
              </w:rPr>
              <w:t>United Kingdom</w:t>
            </w:r>
          </w:p>
        </w:tc>
        <w:tc>
          <w:tcPr>
            <w:tcW w:w="1700" w:type="dxa"/>
            <w:vAlign w:val="bottom"/>
            <w:tcBorders>
              <w:bottom w:val="single" w:sz="8" w:color="888B8D"/>
            </w:tcBorders>
          </w:tcPr>
          <w:p>
            <w:pPr>
              <w:jc w:val="right"/>
              <w:spacing w:after="0"/>
              <w:rPr>
                <w:sz w:val="20"/>
                <w:szCs w:val="20"/>
                <w:color w:val="auto"/>
              </w:rPr>
            </w:pPr>
            <w:r>
              <w:rPr>
                <w:rFonts w:ascii="Arial" w:cs="Arial" w:eastAsia="Arial" w:hAnsi="Arial"/>
                <w:sz w:val="18"/>
                <w:szCs w:val="18"/>
                <w:color w:val="auto"/>
              </w:rPr>
              <w:t>100 %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Borders>
              <w:bottom w:val="single" w:sz="8" w:color="888B8D"/>
            </w:tcBorders>
          </w:tcPr>
          <w:p>
            <w:pPr>
              <w:ind w:left="20"/>
              <w:spacing w:after="0"/>
              <w:rPr>
                <w:sz w:val="20"/>
                <w:szCs w:val="20"/>
                <w:color w:val="auto"/>
              </w:rPr>
            </w:pPr>
            <w:r>
              <w:rPr>
                <w:rFonts w:ascii="Arial" w:cs="Arial" w:eastAsia="Arial" w:hAnsi="Arial"/>
                <w:sz w:val="18"/>
                <w:szCs w:val="18"/>
                <w:color w:val="auto"/>
              </w:rPr>
              <w:t>Garrett Thermal Systems Limited</w:t>
            </w:r>
          </w:p>
        </w:tc>
        <w:tc>
          <w:tcPr>
            <w:tcW w:w="3540" w:type="dxa"/>
            <w:vAlign w:val="bottom"/>
            <w:tcBorders>
              <w:bottom w:val="single" w:sz="8" w:color="888B8D"/>
            </w:tcBorders>
          </w:tcPr>
          <w:p>
            <w:pPr>
              <w:jc w:val="center"/>
              <w:ind w:left="651"/>
              <w:spacing w:after="0"/>
              <w:rPr>
                <w:sz w:val="20"/>
                <w:szCs w:val="20"/>
                <w:color w:val="auto"/>
              </w:rPr>
            </w:pPr>
            <w:r>
              <w:rPr>
                <w:rFonts w:ascii="Arial" w:cs="Arial" w:eastAsia="Arial" w:hAnsi="Arial"/>
                <w:sz w:val="18"/>
                <w:szCs w:val="18"/>
                <w:color w:val="auto"/>
                <w:w w:val="99"/>
              </w:rPr>
              <w:t>United Kingdom</w:t>
            </w:r>
          </w:p>
        </w:tc>
        <w:tc>
          <w:tcPr>
            <w:tcW w:w="1700" w:type="dxa"/>
            <w:vAlign w:val="bottom"/>
            <w:tcBorders>
              <w:bottom w:val="single" w:sz="8" w:color="888B8D"/>
            </w:tcBorders>
          </w:tcPr>
          <w:p>
            <w:pPr>
              <w:jc w:val="right"/>
              <w:spacing w:after="0"/>
              <w:rPr>
                <w:sz w:val="20"/>
                <w:szCs w:val="20"/>
                <w:color w:val="auto"/>
              </w:rPr>
            </w:pPr>
            <w:r>
              <w:rPr>
                <w:rFonts w:ascii="Arial" w:cs="Arial" w:eastAsia="Arial" w:hAnsi="Arial"/>
                <w:sz w:val="18"/>
                <w:szCs w:val="18"/>
                <w:color w:val="auto"/>
              </w:rPr>
              <w:t>100 %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Borders>
              <w:bottom w:val="single" w:sz="8" w:color="888B8D"/>
            </w:tcBorders>
          </w:tcPr>
          <w:p>
            <w:pPr>
              <w:ind w:left="20"/>
              <w:spacing w:after="0"/>
              <w:rPr>
                <w:sz w:val="20"/>
                <w:szCs w:val="20"/>
                <w:color w:val="auto"/>
              </w:rPr>
            </w:pPr>
            <w:r>
              <w:rPr>
                <w:rFonts w:ascii="Arial" w:cs="Arial" w:eastAsia="Arial" w:hAnsi="Arial"/>
                <w:sz w:val="18"/>
                <w:szCs w:val="18"/>
                <w:color w:val="auto"/>
              </w:rPr>
              <w:t>Grimes Aerospace Company</w:t>
            </w:r>
          </w:p>
        </w:tc>
        <w:tc>
          <w:tcPr>
            <w:tcW w:w="3540" w:type="dxa"/>
            <w:vAlign w:val="bottom"/>
            <w:tcBorders>
              <w:bottom w:val="single" w:sz="8" w:color="888B8D"/>
            </w:tcBorders>
          </w:tcPr>
          <w:p>
            <w:pPr>
              <w:jc w:val="center"/>
              <w:ind w:left="651"/>
              <w:spacing w:after="0"/>
              <w:rPr>
                <w:sz w:val="20"/>
                <w:szCs w:val="20"/>
                <w:color w:val="auto"/>
              </w:rPr>
            </w:pPr>
            <w:r>
              <w:rPr>
                <w:rFonts w:ascii="Arial" w:cs="Arial" w:eastAsia="Arial" w:hAnsi="Arial"/>
                <w:sz w:val="18"/>
                <w:szCs w:val="18"/>
                <w:color w:val="auto"/>
                <w:w w:val="99"/>
              </w:rPr>
              <w:t>Delaware</w:t>
            </w:r>
          </w:p>
        </w:tc>
        <w:tc>
          <w:tcPr>
            <w:tcW w:w="1700" w:type="dxa"/>
            <w:vAlign w:val="bottom"/>
            <w:tcBorders>
              <w:bottom w:val="single" w:sz="8" w:color="888B8D"/>
            </w:tcBorders>
          </w:tcPr>
          <w:p>
            <w:pPr>
              <w:jc w:val="right"/>
              <w:spacing w:after="0"/>
              <w:rPr>
                <w:sz w:val="20"/>
                <w:szCs w:val="20"/>
                <w:color w:val="auto"/>
              </w:rPr>
            </w:pPr>
            <w:r>
              <w:rPr>
                <w:rFonts w:ascii="Arial" w:cs="Arial" w:eastAsia="Arial" w:hAnsi="Arial"/>
                <w:sz w:val="18"/>
                <w:szCs w:val="18"/>
                <w:color w:val="auto"/>
              </w:rPr>
              <w:t>100 %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Borders>
              <w:bottom w:val="single" w:sz="8" w:color="888B8D"/>
            </w:tcBorders>
          </w:tcPr>
          <w:p>
            <w:pPr>
              <w:ind w:left="20"/>
              <w:spacing w:after="0"/>
              <w:rPr>
                <w:sz w:val="20"/>
                <w:szCs w:val="20"/>
                <w:color w:val="auto"/>
              </w:rPr>
            </w:pPr>
            <w:r>
              <w:rPr>
                <w:rFonts w:ascii="Arial" w:cs="Arial" w:eastAsia="Arial" w:hAnsi="Arial"/>
                <w:sz w:val="18"/>
                <w:szCs w:val="18"/>
                <w:color w:val="auto"/>
              </w:rPr>
              <w:t>Hand Held Products, Inc.</w:t>
            </w:r>
          </w:p>
        </w:tc>
        <w:tc>
          <w:tcPr>
            <w:tcW w:w="3540" w:type="dxa"/>
            <w:vAlign w:val="bottom"/>
            <w:tcBorders>
              <w:bottom w:val="single" w:sz="8" w:color="888B8D"/>
            </w:tcBorders>
          </w:tcPr>
          <w:p>
            <w:pPr>
              <w:jc w:val="center"/>
              <w:ind w:left="651"/>
              <w:spacing w:after="0"/>
              <w:rPr>
                <w:sz w:val="20"/>
                <w:szCs w:val="20"/>
                <w:color w:val="auto"/>
              </w:rPr>
            </w:pPr>
            <w:r>
              <w:rPr>
                <w:rFonts w:ascii="Arial" w:cs="Arial" w:eastAsia="Arial" w:hAnsi="Arial"/>
                <w:sz w:val="18"/>
                <w:szCs w:val="18"/>
                <w:color w:val="auto"/>
                <w:w w:val="99"/>
              </w:rPr>
              <w:t>Delaware</w:t>
            </w:r>
          </w:p>
        </w:tc>
        <w:tc>
          <w:tcPr>
            <w:tcW w:w="1700" w:type="dxa"/>
            <w:vAlign w:val="bottom"/>
            <w:tcBorders>
              <w:bottom w:val="single" w:sz="8" w:color="888B8D"/>
            </w:tcBorders>
          </w:tcPr>
          <w:p>
            <w:pPr>
              <w:jc w:val="right"/>
              <w:spacing w:after="0"/>
              <w:rPr>
                <w:sz w:val="20"/>
                <w:szCs w:val="20"/>
                <w:color w:val="auto"/>
              </w:rPr>
            </w:pPr>
            <w:r>
              <w:rPr>
                <w:rFonts w:ascii="Arial" w:cs="Arial" w:eastAsia="Arial" w:hAnsi="Arial"/>
                <w:sz w:val="18"/>
                <w:szCs w:val="18"/>
                <w:color w:val="auto"/>
              </w:rPr>
              <w:t>100 %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Borders>
              <w:bottom w:val="single" w:sz="8" w:color="888B8D"/>
            </w:tcBorders>
          </w:tcPr>
          <w:p>
            <w:pPr>
              <w:ind w:left="20"/>
              <w:spacing w:after="0"/>
              <w:rPr>
                <w:sz w:val="20"/>
                <w:szCs w:val="20"/>
                <w:color w:val="auto"/>
              </w:rPr>
            </w:pPr>
            <w:r>
              <w:rPr>
                <w:rFonts w:ascii="Arial" w:cs="Arial" w:eastAsia="Arial" w:hAnsi="Arial"/>
                <w:sz w:val="18"/>
                <w:szCs w:val="18"/>
                <w:color w:val="auto"/>
              </w:rPr>
              <w:t>Honeywell (China) Co. Ltd.</w:t>
            </w:r>
          </w:p>
        </w:tc>
        <w:tc>
          <w:tcPr>
            <w:tcW w:w="3540" w:type="dxa"/>
            <w:vAlign w:val="bottom"/>
            <w:tcBorders>
              <w:bottom w:val="single" w:sz="8" w:color="888B8D"/>
            </w:tcBorders>
          </w:tcPr>
          <w:p>
            <w:pPr>
              <w:jc w:val="center"/>
              <w:ind w:left="631"/>
              <w:spacing w:after="0"/>
              <w:rPr>
                <w:sz w:val="20"/>
                <w:szCs w:val="20"/>
                <w:color w:val="auto"/>
              </w:rPr>
            </w:pPr>
            <w:r>
              <w:rPr>
                <w:rFonts w:ascii="Arial" w:cs="Arial" w:eastAsia="Arial" w:hAnsi="Arial"/>
                <w:sz w:val="18"/>
                <w:szCs w:val="18"/>
                <w:color w:val="auto"/>
                <w:w w:val="97"/>
              </w:rPr>
              <w:t>China</w:t>
            </w:r>
          </w:p>
        </w:tc>
        <w:tc>
          <w:tcPr>
            <w:tcW w:w="1700" w:type="dxa"/>
            <w:vAlign w:val="bottom"/>
            <w:tcBorders>
              <w:bottom w:val="single" w:sz="8" w:color="888B8D"/>
            </w:tcBorders>
          </w:tcPr>
          <w:p>
            <w:pPr>
              <w:jc w:val="right"/>
              <w:spacing w:after="0"/>
              <w:rPr>
                <w:sz w:val="20"/>
                <w:szCs w:val="20"/>
                <w:color w:val="auto"/>
              </w:rPr>
            </w:pPr>
            <w:r>
              <w:rPr>
                <w:rFonts w:ascii="Arial" w:cs="Arial" w:eastAsia="Arial" w:hAnsi="Arial"/>
                <w:sz w:val="18"/>
                <w:szCs w:val="18"/>
                <w:color w:val="auto"/>
              </w:rPr>
              <w:t>100 %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Borders>
              <w:bottom w:val="single" w:sz="8" w:color="888B8D"/>
            </w:tcBorders>
          </w:tcPr>
          <w:p>
            <w:pPr>
              <w:ind w:left="20"/>
              <w:spacing w:after="0"/>
              <w:rPr>
                <w:sz w:val="20"/>
                <w:szCs w:val="20"/>
                <w:color w:val="auto"/>
              </w:rPr>
            </w:pPr>
            <w:r>
              <w:rPr>
                <w:rFonts w:ascii="Arial" w:cs="Arial" w:eastAsia="Arial" w:hAnsi="Arial"/>
                <w:sz w:val="18"/>
                <w:szCs w:val="18"/>
                <w:color w:val="auto"/>
              </w:rPr>
              <w:t>Honeywell (Tianjin) Limited</w:t>
            </w:r>
          </w:p>
        </w:tc>
        <w:tc>
          <w:tcPr>
            <w:tcW w:w="3540" w:type="dxa"/>
            <w:vAlign w:val="bottom"/>
            <w:tcBorders>
              <w:bottom w:val="single" w:sz="8" w:color="888B8D"/>
            </w:tcBorders>
          </w:tcPr>
          <w:p>
            <w:pPr>
              <w:jc w:val="center"/>
              <w:ind w:left="631"/>
              <w:spacing w:after="0"/>
              <w:rPr>
                <w:sz w:val="20"/>
                <w:szCs w:val="20"/>
                <w:color w:val="auto"/>
              </w:rPr>
            </w:pPr>
            <w:r>
              <w:rPr>
                <w:rFonts w:ascii="Arial" w:cs="Arial" w:eastAsia="Arial" w:hAnsi="Arial"/>
                <w:sz w:val="18"/>
                <w:szCs w:val="18"/>
                <w:color w:val="auto"/>
                <w:w w:val="97"/>
              </w:rPr>
              <w:t>China</w:t>
            </w:r>
          </w:p>
        </w:tc>
        <w:tc>
          <w:tcPr>
            <w:tcW w:w="1700" w:type="dxa"/>
            <w:vAlign w:val="bottom"/>
            <w:tcBorders>
              <w:bottom w:val="single" w:sz="8" w:color="888B8D"/>
            </w:tcBorders>
          </w:tcPr>
          <w:p>
            <w:pPr>
              <w:jc w:val="right"/>
              <w:spacing w:after="0"/>
              <w:rPr>
                <w:sz w:val="20"/>
                <w:szCs w:val="20"/>
                <w:color w:val="auto"/>
              </w:rPr>
            </w:pPr>
            <w:r>
              <w:rPr>
                <w:rFonts w:ascii="Arial" w:cs="Arial" w:eastAsia="Arial" w:hAnsi="Arial"/>
                <w:sz w:val="18"/>
                <w:szCs w:val="18"/>
                <w:color w:val="auto"/>
              </w:rPr>
              <w:t>100 %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Borders>
              <w:bottom w:val="single" w:sz="8" w:color="888B8D"/>
            </w:tcBorders>
          </w:tcPr>
          <w:p>
            <w:pPr>
              <w:ind w:left="20"/>
              <w:spacing w:after="0"/>
              <w:rPr>
                <w:sz w:val="20"/>
                <w:szCs w:val="20"/>
                <w:color w:val="auto"/>
              </w:rPr>
            </w:pPr>
            <w:r>
              <w:rPr>
                <w:rFonts w:ascii="Arial" w:cs="Arial" w:eastAsia="Arial" w:hAnsi="Arial"/>
                <w:sz w:val="18"/>
                <w:szCs w:val="18"/>
                <w:color w:val="auto"/>
              </w:rPr>
              <w:t>Honeywell Advanced Limited</w:t>
            </w:r>
          </w:p>
        </w:tc>
        <w:tc>
          <w:tcPr>
            <w:tcW w:w="3540" w:type="dxa"/>
            <w:vAlign w:val="bottom"/>
            <w:tcBorders>
              <w:bottom w:val="single" w:sz="8" w:color="888B8D"/>
            </w:tcBorders>
          </w:tcPr>
          <w:p>
            <w:pPr>
              <w:jc w:val="center"/>
              <w:ind w:left="631"/>
              <w:spacing w:after="0"/>
              <w:rPr>
                <w:sz w:val="20"/>
                <w:szCs w:val="20"/>
                <w:color w:val="auto"/>
              </w:rPr>
            </w:pPr>
            <w:r>
              <w:rPr>
                <w:rFonts w:ascii="Arial" w:cs="Arial" w:eastAsia="Arial" w:hAnsi="Arial"/>
                <w:sz w:val="18"/>
                <w:szCs w:val="18"/>
                <w:color w:val="auto"/>
                <w:w w:val="98"/>
              </w:rPr>
              <w:t>Ireland</w:t>
            </w:r>
          </w:p>
        </w:tc>
        <w:tc>
          <w:tcPr>
            <w:tcW w:w="1700" w:type="dxa"/>
            <w:vAlign w:val="bottom"/>
            <w:tcBorders>
              <w:bottom w:val="single" w:sz="8" w:color="888B8D"/>
            </w:tcBorders>
          </w:tcPr>
          <w:p>
            <w:pPr>
              <w:jc w:val="right"/>
              <w:spacing w:after="0"/>
              <w:rPr>
                <w:sz w:val="20"/>
                <w:szCs w:val="20"/>
                <w:color w:val="auto"/>
              </w:rPr>
            </w:pPr>
            <w:r>
              <w:rPr>
                <w:rFonts w:ascii="Arial" w:cs="Arial" w:eastAsia="Arial" w:hAnsi="Arial"/>
                <w:sz w:val="18"/>
                <w:szCs w:val="18"/>
                <w:color w:val="auto"/>
              </w:rPr>
              <w:t>100 %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Borders>
              <w:bottom w:val="single" w:sz="8" w:color="888B8D"/>
            </w:tcBorders>
          </w:tcPr>
          <w:p>
            <w:pPr>
              <w:ind w:left="20"/>
              <w:spacing w:after="0"/>
              <w:rPr>
                <w:sz w:val="20"/>
                <w:szCs w:val="20"/>
                <w:color w:val="auto"/>
              </w:rPr>
            </w:pPr>
            <w:r>
              <w:rPr>
                <w:rFonts w:ascii="Arial" w:cs="Arial" w:eastAsia="Arial" w:hAnsi="Arial"/>
                <w:sz w:val="18"/>
                <w:szCs w:val="18"/>
                <w:color w:val="auto"/>
              </w:rPr>
              <w:t>Honeywell Advanced Materials (China) Co. Ltd.</w:t>
            </w:r>
          </w:p>
        </w:tc>
        <w:tc>
          <w:tcPr>
            <w:tcW w:w="3540" w:type="dxa"/>
            <w:vAlign w:val="bottom"/>
            <w:tcBorders>
              <w:bottom w:val="single" w:sz="8" w:color="888B8D"/>
            </w:tcBorders>
          </w:tcPr>
          <w:p>
            <w:pPr>
              <w:jc w:val="center"/>
              <w:ind w:left="631"/>
              <w:spacing w:after="0"/>
              <w:rPr>
                <w:sz w:val="20"/>
                <w:szCs w:val="20"/>
                <w:color w:val="auto"/>
              </w:rPr>
            </w:pPr>
            <w:r>
              <w:rPr>
                <w:rFonts w:ascii="Arial" w:cs="Arial" w:eastAsia="Arial" w:hAnsi="Arial"/>
                <w:sz w:val="18"/>
                <w:szCs w:val="18"/>
                <w:color w:val="auto"/>
                <w:w w:val="97"/>
              </w:rPr>
              <w:t>China</w:t>
            </w:r>
          </w:p>
        </w:tc>
        <w:tc>
          <w:tcPr>
            <w:tcW w:w="1700" w:type="dxa"/>
            <w:vAlign w:val="bottom"/>
            <w:tcBorders>
              <w:bottom w:val="single" w:sz="8" w:color="888B8D"/>
            </w:tcBorders>
          </w:tcPr>
          <w:p>
            <w:pPr>
              <w:jc w:val="right"/>
              <w:spacing w:after="0"/>
              <w:rPr>
                <w:sz w:val="20"/>
                <w:szCs w:val="20"/>
                <w:color w:val="auto"/>
              </w:rPr>
            </w:pPr>
            <w:r>
              <w:rPr>
                <w:rFonts w:ascii="Arial" w:cs="Arial" w:eastAsia="Arial" w:hAnsi="Arial"/>
                <w:sz w:val="18"/>
                <w:szCs w:val="18"/>
                <w:color w:val="auto"/>
              </w:rPr>
              <w:t>100 %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Borders>
              <w:bottom w:val="single" w:sz="8" w:color="888B8D"/>
            </w:tcBorders>
          </w:tcPr>
          <w:p>
            <w:pPr>
              <w:ind w:left="20"/>
              <w:spacing w:after="0"/>
              <w:rPr>
                <w:sz w:val="20"/>
                <w:szCs w:val="20"/>
                <w:color w:val="auto"/>
              </w:rPr>
            </w:pPr>
            <w:r>
              <w:rPr>
                <w:rFonts w:ascii="Arial" w:cs="Arial" w:eastAsia="Arial" w:hAnsi="Arial"/>
                <w:sz w:val="18"/>
                <w:szCs w:val="18"/>
                <w:color w:val="auto"/>
              </w:rPr>
              <w:t>Honeywell Aerospace Avionics Malaysia Sdn Bhd</w:t>
            </w:r>
          </w:p>
        </w:tc>
        <w:tc>
          <w:tcPr>
            <w:tcW w:w="3540" w:type="dxa"/>
            <w:vAlign w:val="bottom"/>
            <w:tcBorders>
              <w:bottom w:val="single" w:sz="8" w:color="888B8D"/>
            </w:tcBorders>
          </w:tcPr>
          <w:p>
            <w:pPr>
              <w:jc w:val="center"/>
              <w:ind w:left="631"/>
              <w:spacing w:after="0"/>
              <w:rPr>
                <w:sz w:val="20"/>
                <w:szCs w:val="20"/>
                <w:color w:val="auto"/>
              </w:rPr>
            </w:pPr>
            <w:r>
              <w:rPr>
                <w:rFonts w:ascii="Arial" w:cs="Arial" w:eastAsia="Arial" w:hAnsi="Arial"/>
                <w:sz w:val="18"/>
                <w:szCs w:val="18"/>
                <w:color w:val="auto"/>
                <w:w w:val="98"/>
              </w:rPr>
              <w:t>Malaysia</w:t>
            </w:r>
          </w:p>
        </w:tc>
        <w:tc>
          <w:tcPr>
            <w:tcW w:w="1700" w:type="dxa"/>
            <w:vAlign w:val="bottom"/>
            <w:tcBorders>
              <w:bottom w:val="single" w:sz="8" w:color="888B8D"/>
            </w:tcBorders>
          </w:tcPr>
          <w:p>
            <w:pPr>
              <w:jc w:val="right"/>
              <w:spacing w:after="0"/>
              <w:rPr>
                <w:sz w:val="20"/>
                <w:szCs w:val="20"/>
                <w:color w:val="auto"/>
              </w:rPr>
            </w:pPr>
            <w:r>
              <w:rPr>
                <w:rFonts w:ascii="Arial" w:cs="Arial" w:eastAsia="Arial" w:hAnsi="Arial"/>
                <w:sz w:val="18"/>
                <w:szCs w:val="18"/>
                <w:color w:val="auto"/>
              </w:rPr>
              <w:t>100 %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Borders>
              <w:bottom w:val="single" w:sz="8" w:color="888B8D"/>
            </w:tcBorders>
          </w:tcPr>
          <w:p>
            <w:pPr>
              <w:ind w:left="20"/>
              <w:spacing w:after="0"/>
              <w:rPr>
                <w:sz w:val="20"/>
                <w:szCs w:val="20"/>
                <w:color w:val="auto"/>
              </w:rPr>
            </w:pPr>
            <w:r>
              <w:rPr>
                <w:rFonts w:ascii="Arial" w:cs="Arial" w:eastAsia="Arial" w:hAnsi="Arial"/>
                <w:sz w:val="18"/>
                <w:szCs w:val="18"/>
                <w:color w:val="auto"/>
              </w:rPr>
              <w:t>Honeywell Aerospace de Mexico, S.de R.L. de C.V.</w:t>
            </w:r>
          </w:p>
        </w:tc>
        <w:tc>
          <w:tcPr>
            <w:tcW w:w="3540" w:type="dxa"/>
            <w:vAlign w:val="bottom"/>
            <w:tcBorders>
              <w:bottom w:val="single" w:sz="8" w:color="888B8D"/>
            </w:tcBorders>
          </w:tcPr>
          <w:p>
            <w:pPr>
              <w:jc w:val="center"/>
              <w:ind w:left="631"/>
              <w:spacing w:after="0"/>
              <w:rPr>
                <w:sz w:val="20"/>
                <w:szCs w:val="20"/>
                <w:color w:val="auto"/>
              </w:rPr>
            </w:pPr>
            <w:r>
              <w:rPr>
                <w:rFonts w:ascii="Arial" w:cs="Arial" w:eastAsia="Arial" w:hAnsi="Arial"/>
                <w:sz w:val="18"/>
                <w:szCs w:val="18"/>
                <w:color w:val="auto"/>
              </w:rPr>
              <w:t>Mexico</w:t>
            </w:r>
          </w:p>
        </w:tc>
        <w:tc>
          <w:tcPr>
            <w:tcW w:w="1700" w:type="dxa"/>
            <w:vAlign w:val="bottom"/>
            <w:tcBorders>
              <w:bottom w:val="single" w:sz="8" w:color="888B8D"/>
            </w:tcBorders>
          </w:tcPr>
          <w:p>
            <w:pPr>
              <w:jc w:val="right"/>
              <w:spacing w:after="0"/>
              <w:rPr>
                <w:sz w:val="20"/>
                <w:szCs w:val="20"/>
                <w:color w:val="auto"/>
              </w:rPr>
            </w:pPr>
            <w:r>
              <w:rPr>
                <w:rFonts w:ascii="Arial" w:cs="Arial" w:eastAsia="Arial" w:hAnsi="Arial"/>
                <w:sz w:val="18"/>
                <w:szCs w:val="18"/>
                <w:color w:val="auto"/>
              </w:rPr>
              <w:t>100 %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Borders>
              <w:bottom w:val="single" w:sz="8" w:color="888B8D"/>
            </w:tcBorders>
          </w:tcPr>
          <w:p>
            <w:pPr>
              <w:ind w:left="20"/>
              <w:spacing w:after="0"/>
              <w:rPr>
                <w:sz w:val="20"/>
                <w:szCs w:val="20"/>
                <w:color w:val="auto"/>
              </w:rPr>
            </w:pPr>
            <w:r>
              <w:rPr>
                <w:rFonts w:ascii="Arial" w:cs="Arial" w:eastAsia="Arial" w:hAnsi="Arial"/>
                <w:sz w:val="18"/>
                <w:szCs w:val="18"/>
                <w:color w:val="auto"/>
              </w:rPr>
              <w:t>Honeywell Aerospace De Puerto Rico, Inc.</w:t>
            </w:r>
          </w:p>
        </w:tc>
        <w:tc>
          <w:tcPr>
            <w:tcW w:w="3540" w:type="dxa"/>
            <w:vAlign w:val="bottom"/>
            <w:tcBorders>
              <w:bottom w:val="single" w:sz="8" w:color="888B8D"/>
            </w:tcBorders>
          </w:tcPr>
          <w:p>
            <w:pPr>
              <w:jc w:val="center"/>
              <w:ind w:left="631"/>
              <w:spacing w:after="0"/>
              <w:rPr>
                <w:sz w:val="20"/>
                <w:szCs w:val="20"/>
                <w:color w:val="auto"/>
              </w:rPr>
            </w:pPr>
            <w:r>
              <w:rPr>
                <w:rFonts w:ascii="Arial" w:cs="Arial" w:eastAsia="Arial" w:hAnsi="Arial"/>
                <w:sz w:val="18"/>
                <w:szCs w:val="18"/>
                <w:color w:val="auto"/>
                <w:w w:val="99"/>
              </w:rPr>
              <w:t>Puerto Rico</w:t>
            </w:r>
          </w:p>
        </w:tc>
        <w:tc>
          <w:tcPr>
            <w:tcW w:w="1700" w:type="dxa"/>
            <w:vAlign w:val="bottom"/>
            <w:tcBorders>
              <w:bottom w:val="single" w:sz="8" w:color="888B8D"/>
            </w:tcBorders>
          </w:tcPr>
          <w:p>
            <w:pPr>
              <w:jc w:val="right"/>
              <w:spacing w:after="0"/>
              <w:rPr>
                <w:sz w:val="20"/>
                <w:szCs w:val="20"/>
                <w:color w:val="auto"/>
              </w:rPr>
            </w:pPr>
            <w:r>
              <w:rPr>
                <w:rFonts w:ascii="Arial" w:cs="Arial" w:eastAsia="Arial" w:hAnsi="Arial"/>
                <w:sz w:val="18"/>
                <w:szCs w:val="18"/>
                <w:color w:val="auto"/>
              </w:rPr>
              <w:t>100 %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Borders>
              <w:bottom w:val="single" w:sz="8" w:color="888B8D"/>
            </w:tcBorders>
          </w:tcPr>
          <w:p>
            <w:pPr>
              <w:ind w:left="20"/>
              <w:spacing w:after="0"/>
              <w:rPr>
                <w:sz w:val="20"/>
                <w:szCs w:val="20"/>
                <w:color w:val="auto"/>
              </w:rPr>
            </w:pPr>
            <w:r>
              <w:rPr>
                <w:rFonts w:ascii="Arial" w:cs="Arial" w:eastAsia="Arial" w:hAnsi="Arial"/>
                <w:sz w:val="18"/>
                <w:szCs w:val="18"/>
                <w:color w:val="auto"/>
              </w:rPr>
              <w:t>Honeywell Aerospace GmbH</w:t>
            </w:r>
          </w:p>
        </w:tc>
        <w:tc>
          <w:tcPr>
            <w:tcW w:w="3540" w:type="dxa"/>
            <w:vAlign w:val="bottom"/>
            <w:tcBorders>
              <w:bottom w:val="single" w:sz="8" w:color="888B8D"/>
            </w:tcBorders>
          </w:tcPr>
          <w:p>
            <w:pPr>
              <w:jc w:val="center"/>
              <w:ind w:left="631"/>
              <w:spacing w:after="0"/>
              <w:rPr>
                <w:sz w:val="20"/>
                <w:szCs w:val="20"/>
                <w:color w:val="auto"/>
              </w:rPr>
            </w:pPr>
            <w:r>
              <w:rPr>
                <w:rFonts w:ascii="Arial" w:cs="Arial" w:eastAsia="Arial" w:hAnsi="Arial"/>
                <w:sz w:val="18"/>
                <w:szCs w:val="18"/>
                <w:color w:val="auto"/>
                <w:w w:val="99"/>
              </w:rPr>
              <w:t>Germany</w:t>
            </w:r>
          </w:p>
        </w:tc>
        <w:tc>
          <w:tcPr>
            <w:tcW w:w="1700" w:type="dxa"/>
            <w:vAlign w:val="bottom"/>
            <w:tcBorders>
              <w:bottom w:val="single" w:sz="8" w:color="888B8D"/>
            </w:tcBorders>
          </w:tcPr>
          <w:p>
            <w:pPr>
              <w:jc w:val="right"/>
              <w:spacing w:after="0"/>
              <w:rPr>
                <w:sz w:val="20"/>
                <w:szCs w:val="20"/>
                <w:color w:val="auto"/>
              </w:rPr>
            </w:pPr>
            <w:r>
              <w:rPr>
                <w:rFonts w:ascii="Arial" w:cs="Arial" w:eastAsia="Arial" w:hAnsi="Arial"/>
                <w:sz w:val="18"/>
                <w:szCs w:val="18"/>
                <w:color w:val="auto"/>
              </w:rPr>
              <w:t>100 %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Borders>
              <w:bottom w:val="single" w:sz="8" w:color="888B8D"/>
            </w:tcBorders>
          </w:tcPr>
          <w:p>
            <w:pPr>
              <w:ind w:left="20"/>
              <w:spacing w:after="0"/>
              <w:rPr>
                <w:sz w:val="20"/>
                <w:szCs w:val="20"/>
                <w:color w:val="auto"/>
              </w:rPr>
            </w:pPr>
            <w:r>
              <w:rPr>
                <w:rFonts w:ascii="Arial" w:cs="Arial" w:eastAsia="Arial" w:hAnsi="Arial"/>
                <w:sz w:val="18"/>
                <w:szCs w:val="18"/>
                <w:color w:val="auto"/>
              </w:rPr>
              <w:t>Honeywell Aerospace Olomouc s.r.o</w:t>
            </w:r>
          </w:p>
        </w:tc>
        <w:tc>
          <w:tcPr>
            <w:tcW w:w="3540" w:type="dxa"/>
            <w:vAlign w:val="bottom"/>
            <w:tcBorders>
              <w:bottom w:val="single" w:sz="8" w:color="888B8D"/>
            </w:tcBorders>
          </w:tcPr>
          <w:p>
            <w:pPr>
              <w:jc w:val="center"/>
              <w:ind w:left="631"/>
              <w:spacing w:after="0"/>
              <w:rPr>
                <w:sz w:val="20"/>
                <w:szCs w:val="20"/>
                <w:color w:val="auto"/>
              </w:rPr>
            </w:pPr>
            <w:r>
              <w:rPr>
                <w:rFonts w:ascii="Arial" w:cs="Arial" w:eastAsia="Arial" w:hAnsi="Arial"/>
                <w:sz w:val="18"/>
                <w:szCs w:val="18"/>
                <w:color w:val="auto"/>
                <w:w w:val="99"/>
              </w:rPr>
              <w:t>Czech Republic</w:t>
            </w:r>
          </w:p>
        </w:tc>
        <w:tc>
          <w:tcPr>
            <w:tcW w:w="1700" w:type="dxa"/>
            <w:vAlign w:val="bottom"/>
            <w:tcBorders>
              <w:bottom w:val="single" w:sz="8" w:color="888B8D"/>
            </w:tcBorders>
          </w:tcPr>
          <w:p>
            <w:pPr>
              <w:jc w:val="right"/>
              <w:spacing w:after="0"/>
              <w:rPr>
                <w:sz w:val="20"/>
                <w:szCs w:val="20"/>
                <w:color w:val="auto"/>
              </w:rPr>
            </w:pPr>
            <w:r>
              <w:rPr>
                <w:rFonts w:ascii="Arial" w:cs="Arial" w:eastAsia="Arial" w:hAnsi="Arial"/>
                <w:sz w:val="18"/>
                <w:szCs w:val="18"/>
                <w:color w:val="auto"/>
              </w:rPr>
              <w:t>100 %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Borders>
              <w:bottom w:val="single" w:sz="8" w:color="888B8D"/>
            </w:tcBorders>
          </w:tcPr>
          <w:p>
            <w:pPr>
              <w:ind w:left="20"/>
              <w:spacing w:after="0"/>
              <w:rPr>
                <w:sz w:val="20"/>
                <w:szCs w:val="20"/>
                <w:color w:val="auto"/>
              </w:rPr>
            </w:pPr>
            <w:r>
              <w:rPr>
                <w:rFonts w:ascii="Arial" w:cs="Arial" w:eastAsia="Arial" w:hAnsi="Arial"/>
                <w:sz w:val="18"/>
                <w:szCs w:val="18"/>
                <w:color w:val="auto"/>
              </w:rPr>
              <w:t>Honeywell Aerospace Singapore Pte. Ltd.</w:t>
            </w:r>
          </w:p>
        </w:tc>
        <w:tc>
          <w:tcPr>
            <w:tcW w:w="3540" w:type="dxa"/>
            <w:vAlign w:val="bottom"/>
            <w:tcBorders>
              <w:bottom w:val="single" w:sz="8" w:color="888B8D"/>
            </w:tcBorders>
          </w:tcPr>
          <w:p>
            <w:pPr>
              <w:jc w:val="center"/>
              <w:ind w:left="631"/>
              <w:spacing w:after="0"/>
              <w:rPr>
                <w:sz w:val="20"/>
                <w:szCs w:val="20"/>
                <w:color w:val="auto"/>
              </w:rPr>
            </w:pPr>
            <w:r>
              <w:rPr>
                <w:rFonts w:ascii="Arial" w:cs="Arial" w:eastAsia="Arial" w:hAnsi="Arial"/>
                <w:sz w:val="18"/>
                <w:szCs w:val="18"/>
                <w:color w:val="auto"/>
                <w:w w:val="99"/>
              </w:rPr>
              <w:t>Singapore</w:t>
            </w:r>
          </w:p>
        </w:tc>
        <w:tc>
          <w:tcPr>
            <w:tcW w:w="1700" w:type="dxa"/>
            <w:vAlign w:val="bottom"/>
            <w:tcBorders>
              <w:bottom w:val="single" w:sz="8" w:color="888B8D"/>
            </w:tcBorders>
          </w:tcPr>
          <w:p>
            <w:pPr>
              <w:jc w:val="right"/>
              <w:spacing w:after="0"/>
              <w:rPr>
                <w:sz w:val="20"/>
                <w:szCs w:val="20"/>
                <w:color w:val="auto"/>
              </w:rPr>
            </w:pPr>
            <w:r>
              <w:rPr>
                <w:rFonts w:ascii="Arial" w:cs="Arial" w:eastAsia="Arial" w:hAnsi="Arial"/>
                <w:sz w:val="18"/>
                <w:szCs w:val="18"/>
                <w:color w:val="auto"/>
              </w:rPr>
              <w:t>100 %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Borders>
              <w:bottom w:val="single" w:sz="8" w:color="888B8D"/>
            </w:tcBorders>
          </w:tcPr>
          <w:p>
            <w:pPr>
              <w:ind w:left="20"/>
              <w:spacing w:after="0"/>
              <w:rPr>
                <w:sz w:val="20"/>
                <w:szCs w:val="20"/>
                <w:color w:val="auto"/>
              </w:rPr>
            </w:pPr>
            <w:r>
              <w:rPr>
                <w:rFonts w:ascii="Arial" w:cs="Arial" w:eastAsia="Arial" w:hAnsi="Arial"/>
                <w:sz w:val="18"/>
                <w:szCs w:val="18"/>
                <w:color w:val="auto"/>
              </w:rPr>
              <w:t>Honeywell Aerospace UK</w:t>
            </w:r>
          </w:p>
        </w:tc>
        <w:tc>
          <w:tcPr>
            <w:tcW w:w="3540" w:type="dxa"/>
            <w:vAlign w:val="bottom"/>
            <w:tcBorders>
              <w:bottom w:val="single" w:sz="8" w:color="888B8D"/>
            </w:tcBorders>
          </w:tcPr>
          <w:p>
            <w:pPr>
              <w:jc w:val="center"/>
              <w:ind w:left="651"/>
              <w:spacing w:after="0"/>
              <w:rPr>
                <w:sz w:val="20"/>
                <w:szCs w:val="20"/>
                <w:color w:val="auto"/>
              </w:rPr>
            </w:pPr>
            <w:r>
              <w:rPr>
                <w:rFonts w:ascii="Arial" w:cs="Arial" w:eastAsia="Arial" w:hAnsi="Arial"/>
                <w:sz w:val="18"/>
                <w:szCs w:val="18"/>
                <w:color w:val="auto"/>
                <w:w w:val="99"/>
              </w:rPr>
              <w:t>United Kingdom</w:t>
            </w:r>
          </w:p>
        </w:tc>
        <w:tc>
          <w:tcPr>
            <w:tcW w:w="1700" w:type="dxa"/>
            <w:vAlign w:val="bottom"/>
            <w:tcBorders>
              <w:bottom w:val="single" w:sz="8" w:color="888B8D"/>
            </w:tcBorders>
          </w:tcPr>
          <w:p>
            <w:pPr>
              <w:jc w:val="right"/>
              <w:spacing w:after="0"/>
              <w:rPr>
                <w:sz w:val="20"/>
                <w:szCs w:val="20"/>
                <w:color w:val="auto"/>
              </w:rPr>
            </w:pPr>
            <w:r>
              <w:rPr>
                <w:rFonts w:ascii="Arial" w:cs="Arial" w:eastAsia="Arial" w:hAnsi="Arial"/>
                <w:sz w:val="18"/>
                <w:szCs w:val="18"/>
                <w:color w:val="auto"/>
              </w:rPr>
              <w:t>100 %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Borders>
              <w:bottom w:val="single" w:sz="8" w:color="888B8D"/>
            </w:tcBorders>
          </w:tcPr>
          <w:p>
            <w:pPr>
              <w:ind w:left="20"/>
              <w:spacing w:after="0"/>
              <w:rPr>
                <w:sz w:val="20"/>
                <w:szCs w:val="20"/>
                <w:color w:val="auto"/>
              </w:rPr>
            </w:pPr>
            <w:r>
              <w:rPr>
                <w:rFonts w:ascii="Arial" w:cs="Arial" w:eastAsia="Arial" w:hAnsi="Arial"/>
                <w:sz w:val="18"/>
                <w:szCs w:val="18"/>
                <w:color w:val="auto"/>
              </w:rPr>
              <w:t>Honeywell Analytics Inc.</w:t>
            </w:r>
          </w:p>
        </w:tc>
        <w:tc>
          <w:tcPr>
            <w:tcW w:w="3540" w:type="dxa"/>
            <w:vAlign w:val="bottom"/>
            <w:tcBorders>
              <w:bottom w:val="single" w:sz="8" w:color="888B8D"/>
            </w:tcBorders>
          </w:tcPr>
          <w:p>
            <w:pPr>
              <w:jc w:val="center"/>
              <w:ind w:left="631"/>
              <w:spacing w:after="0"/>
              <w:rPr>
                <w:sz w:val="20"/>
                <w:szCs w:val="20"/>
                <w:color w:val="auto"/>
              </w:rPr>
            </w:pPr>
            <w:r>
              <w:rPr>
                <w:rFonts w:ascii="Arial" w:cs="Arial" w:eastAsia="Arial" w:hAnsi="Arial"/>
                <w:sz w:val="18"/>
                <w:szCs w:val="18"/>
                <w:color w:val="auto"/>
                <w:w w:val="93"/>
              </w:rPr>
              <w:t>Texas</w:t>
            </w:r>
          </w:p>
        </w:tc>
        <w:tc>
          <w:tcPr>
            <w:tcW w:w="1700" w:type="dxa"/>
            <w:vAlign w:val="bottom"/>
            <w:tcBorders>
              <w:bottom w:val="single" w:sz="8" w:color="888B8D"/>
            </w:tcBorders>
          </w:tcPr>
          <w:p>
            <w:pPr>
              <w:jc w:val="right"/>
              <w:spacing w:after="0"/>
              <w:rPr>
                <w:sz w:val="20"/>
                <w:szCs w:val="20"/>
                <w:color w:val="auto"/>
              </w:rPr>
            </w:pPr>
            <w:r>
              <w:rPr>
                <w:rFonts w:ascii="Arial" w:cs="Arial" w:eastAsia="Arial" w:hAnsi="Arial"/>
                <w:sz w:val="18"/>
                <w:szCs w:val="18"/>
                <w:color w:val="auto"/>
              </w:rPr>
              <w:t>100 %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Borders>
              <w:bottom w:val="single" w:sz="8" w:color="888B8D"/>
            </w:tcBorders>
          </w:tcPr>
          <w:p>
            <w:pPr>
              <w:ind w:left="20"/>
              <w:spacing w:after="0"/>
              <w:rPr>
                <w:sz w:val="20"/>
                <w:szCs w:val="20"/>
                <w:color w:val="auto"/>
              </w:rPr>
            </w:pPr>
            <w:r>
              <w:rPr>
                <w:rFonts w:ascii="Arial" w:cs="Arial" w:eastAsia="Arial" w:hAnsi="Arial"/>
                <w:sz w:val="18"/>
                <w:szCs w:val="18"/>
                <w:color w:val="auto"/>
              </w:rPr>
              <w:t>Honeywell Automation and Control Products Ltd.</w:t>
            </w:r>
          </w:p>
        </w:tc>
        <w:tc>
          <w:tcPr>
            <w:tcW w:w="3540" w:type="dxa"/>
            <w:vAlign w:val="bottom"/>
            <w:tcBorders>
              <w:bottom w:val="single" w:sz="8" w:color="888B8D"/>
            </w:tcBorders>
          </w:tcPr>
          <w:p>
            <w:pPr>
              <w:jc w:val="center"/>
              <w:ind w:left="631"/>
              <w:spacing w:after="0"/>
              <w:rPr>
                <w:sz w:val="20"/>
                <w:szCs w:val="20"/>
                <w:color w:val="auto"/>
              </w:rPr>
            </w:pPr>
            <w:r>
              <w:rPr>
                <w:rFonts w:ascii="Arial" w:cs="Arial" w:eastAsia="Arial" w:hAnsi="Arial"/>
                <w:sz w:val="18"/>
                <w:szCs w:val="18"/>
                <w:color w:val="auto"/>
                <w:w w:val="98"/>
              </w:rPr>
              <w:t>Saudi Arabia</w:t>
            </w:r>
          </w:p>
        </w:tc>
        <w:tc>
          <w:tcPr>
            <w:tcW w:w="1700" w:type="dxa"/>
            <w:vAlign w:val="bottom"/>
            <w:tcBorders>
              <w:bottom w:val="single" w:sz="8" w:color="888B8D"/>
            </w:tcBorders>
          </w:tcPr>
          <w:p>
            <w:pPr>
              <w:jc w:val="right"/>
              <w:spacing w:after="0"/>
              <w:rPr>
                <w:sz w:val="20"/>
                <w:szCs w:val="20"/>
                <w:color w:val="auto"/>
              </w:rPr>
            </w:pPr>
            <w:r>
              <w:rPr>
                <w:rFonts w:ascii="Arial" w:cs="Arial" w:eastAsia="Arial" w:hAnsi="Arial"/>
                <w:sz w:val="18"/>
                <w:szCs w:val="18"/>
                <w:color w:val="auto"/>
              </w:rPr>
              <w:t>100 %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Borders>
              <w:bottom w:val="single" w:sz="8" w:color="888B8D"/>
            </w:tcBorders>
          </w:tcPr>
          <w:p>
            <w:pPr>
              <w:ind w:left="20"/>
              <w:spacing w:after="0"/>
              <w:rPr>
                <w:sz w:val="20"/>
                <w:szCs w:val="20"/>
                <w:color w:val="auto"/>
              </w:rPr>
            </w:pPr>
            <w:r>
              <w:rPr>
                <w:rFonts w:ascii="Arial" w:cs="Arial" w:eastAsia="Arial" w:hAnsi="Arial"/>
                <w:sz w:val="18"/>
                <w:szCs w:val="18"/>
                <w:color w:val="auto"/>
              </w:rPr>
              <w:t>Honeywell Automation Control Solutions (China) Co. Ltd.</w:t>
            </w:r>
          </w:p>
        </w:tc>
        <w:tc>
          <w:tcPr>
            <w:tcW w:w="3540" w:type="dxa"/>
            <w:vAlign w:val="bottom"/>
            <w:tcBorders>
              <w:bottom w:val="single" w:sz="8" w:color="888B8D"/>
            </w:tcBorders>
          </w:tcPr>
          <w:p>
            <w:pPr>
              <w:jc w:val="center"/>
              <w:ind w:left="631"/>
              <w:spacing w:after="0"/>
              <w:rPr>
                <w:sz w:val="20"/>
                <w:szCs w:val="20"/>
                <w:color w:val="auto"/>
              </w:rPr>
            </w:pPr>
            <w:r>
              <w:rPr>
                <w:rFonts w:ascii="Arial" w:cs="Arial" w:eastAsia="Arial" w:hAnsi="Arial"/>
                <w:sz w:val="18"/>
                <w:szCs w:val="18"/>
                <w:color w:val="auto"/>
                <w:w w:val="97"/>
              </w:rPr>
              <w:t>China</w:t>
            </w:r>
          </w:p>
        </w:tc>
        <w:tc>
          <w:tcPr>
            <w:tcW w:w="1700" w:type="dxa"/>
            <w:vAlign w:val="bottom"/>
            <w:tcBorders>
              <w:bottom w:val="single" w:sz="8" w:color="888B8D"/>
            </w:tcBorders>
          </w:tcPr>
          <w:p>
            <w:pPr>
              <w:jc w:val="right"/>
              <w:spacing w:after="0"/>
              <w:rPr>
                <w:sz w:val="20"/>
                <w:szCs w:val="20"/>
                <w:color w:val="auto"/>
              </w:rPr>
            </w:pPr>
            <w:r>
              <w:rPr>
                <w:rFonts w:ascii="Arial" w:cs="Arial" w:eastAsia="Arial" w:hAnsi="Arial"/>
                <w:sz w:val="18"/>
                <w:szCs w:val="18"/>
                <w:color w:val="auto"/>
              </w:rPr>
              <w:t>100 %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Borders>
              <w:bottom w:val="single" w:sz="8" w:color="888B8D"/>
            </w:tcBorders>
          </w:tcPr>
          <w:p>
            <w:pPr>
              <w:ind w:left="20"/>
              <w:spacing w:after="0"/>
              <w:rPr>
                <w:sz w:val="20"/>
                <w:szCs w:val="20"/>
                <w:color w:val="auto"/>
              </w:rPr>
            </w:pPr>
            <w:r>
              <w:rPr>
                <w:rFonts w:ascii="Arial" w:cs="Arial" w:eastAsia="Arial" w:hAnsi="Arial"/>
                <w:sz w:val="18"/>
                <w:szCs w:val="18"/>
                <w:color w:val="auto"/>
              </w:rPr>
              <w:t>Honeywell Automation India Limited</w:t>
            </w:r>
          </w:p>
        </w:tc>
        <w:tc>
          <w:tcPr>
            <w:tcW w:w="3540" w:type="dxa"/>
            <w:vAlign w:val="bottom"/>
            <w:tcBorders>
              <w:bottom w:val="single" w:sz="8" w:color="888B8D"/>
            </w:tcBorders>
          </w:tcPr>
          <w:p>
            <w:pPr>
              <w:jc w:val="center"/>
              <w:ind w:left="631"/>
              <w:spacing w:after="0"/>
              <w:rPr>
                <w:sz w:val="20"/>
                <w:szCs w:val="20"/>
                <w:color w:val="auto"/>
              </w:rPr>
            </w:pPr>
            <w:r>
              <w:rPr>
                <w:rFonts w:ascii="Arial" w:cs="Arial" w:eastAsia="Arial" w:hAnsi="Arial"/>
                <w:sz w:val="18"/>
                <w:szCs w:val="18"/>
                <w:color w:val="auto"/>
                <w:w w:val="97"/>
              </w:rPr>
              <w:t>India</w:t>
            </w:r>
          </w:p>
        </w:tc>
        <w:tc>
          <w:tcPr>
            <w:tcW w:w="1700" w:type="dxa"/>
            <w:vAlign w:val="bottom"/>
            <w:tcBorders>
              <w:bottom w:val="single" w:sz="8" w:color="888B8D"/>
            </w:tcBorders>
          </w:tcPr>
          <w:p>
            <w:pPr>
              <w:jc w:val="right"/>
              <w:spacing w:after="0"/>
              <w:rPr>
                <w:sz w:val="20"/>
                <w:szCs w:val="20"/>
                <w:color w:val="auto"/>
              </w:rPr>
            </w:pPr>
            <w:r>
              <w:rPr>
                <w:rFonts w:ascii="Arial" w:cs="Arial" w:eastAsia="Arial" w:hAnsi="Arial"/>
                <w:sz w:val="18"/>
                <w:szCs w:val="18"/>
                <w:color w:val="auto"/>
              </w:rPr>
              <w:t>75 %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Borders>
              <w:bottom w:val="single" w:sz="8" w:color="888B8D"/>
            </w:tcBorders>
          </w:tcPr>
          <w:p>
            <w:pPr>
              <w:ind w:left="20"/>
              <w:spacing w:after="0"/>
              <w:rPr>
                <w:sz w:val="20"/>
                <w:szCs w:val="20"/>
                <w:color w:val="auto"/>
              </w:rPr>
            </w:pPr>
            <w:r>
              <w:rPr>
                <w:rFonts w:ascii="Arial" w:cs="Arial" w:eastAsia="Arial" w:hAnsi="Arial"/>
                <w:sz w:val="18"/>
                <w:szCs w:val="18"/>
                <w:color w:val="auto"/>
              </w:rPr>
              <w:t>Honeywell Automation Technology (China) Co. Ltd.</w:t>
            </w:r>
          </w:p>
        </w:tc>
        <w:tc>
          <w:tcPr>
            <w:tcW w:w="3540" w:type="dxa"/>
            <w:vAlign w:val="bottom"/>
            <w:tcBorders>
              <w:bottom w:val="single" w:sz="8" w:color="888B8D"/>
            </w:tcBorders>
          </w:tcPr>
          <w:p>
            <w:pPr>
              <w:jc w:val="center"/>
              <w:ind w:left="631"/>
              <w:spacing w:after="0"/>
              <w:rPr>
                <w:sz w:val="20"/>
                <w:szCs w:val="20"/>
                <w:color w:val="auto"/>
              </w:rPr>
            </w:pPr>
            <w:r>
              <w:rPr>
                <w:rFonts w:ascii="Arial" w:cs="Arial" w:eastAsia="Arial" w:hAnsi="Arial"/>
                <w:sz w:val="18"/>
                <w:szCs w:val="18"/>
                <w:color w:val="auto"/>
                <w:w w:val="97"/>
              </w:rPr>
              <w:t>China</w:t>
            </w:r>
          </w:p>
        </w:tc>
        <w:tc>
          <w:tcPr>
            <w:tcW w:w="1700" w:type="dxa"/>
            <w:vAlign w:val="bottom"/>
            <w:tcBorders>
              <w:bottom w:val="single" w:sz="8" w:color="888B8D"/>
            </w:tcBorders>
          </w:tcPr>
          <w:p>
            <w:pPr>
              <w:jc w:val="right"/>
              <w:spacing w:after="0"/>
              <w:rPr>
                <w:sz w:val="20"/>
                <w:szCs w:val="20"/>
                <w:color w:val="auto"/>
              </w:rPr>
            </w:pPr>
            <w:r>
              <w:rPr>
                <w:rFonts w:ascii="Arial" w:cs="Arial" w:eastAsia="Arial" w:hAnsi="Arial"/>
                <w:sz w:val="18"/>
                <w:szCs w:val="18"/>
                <w:color w:val="auto"/>
              </w:rPr>
              <w:t>100 %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Borders>
              <w:bottom w:val="single" w:sz="8" w:color="888B8D"/>
            </w:tcBorders>
          </w:tcPr>
          <w:p>
            <w:pPr>
              <w:ind w:left="20"/>
              <w:spacing w:after="0"/>
              <w:rPr>
                <w:sz w:val="20"/>
                <w:szCs w:val="20"/>
                <w:color w:val="auto"/>
              </w:rPr>
            </w:pPr>
            <w:r>
              <w:rPr>
                <w:rFonts w:ascii="Arial" w:cs="Arial" w:eastAsia="Arial" w:hAnsi="Arial"/>
                <w:sz w:val="18"/>
                <w:szCs w:val="18"/>
                <w:color w:val="auto"/>
              </w:rPr>
              <w:t>Honeywell Automotive de Mexico S. de R.L. de C.V.</w:t>
            </w:r>
          </w:p>
        </w:tc>
        <w:tc>
          <w:tcPr>
            <w:tcW w:w="3540" w:type="dxa"/>
            <w:vAlign w:val="bottom"/>
            <w:tcBorders>
              <w:bottom w:val="single" w:sz="8" w:color="888B8D"/>
            </w:tcBorders>
          </w:tcPr>
          <w:p>
            <w:pPr>
              <w:jc w:val="center"/>
              <w:ind w:left="631"/>
              <w:spacing w:after="0"/>
              <w:rPr>
                <w:sz w:val="20"/>
                <w:szCs w:val="20"/>
                <w:color w:val="auto"/>
              </w:rPr>
            </w:pPr>
            <w:r>
              <w:rPr>
                <w:rFonts w:ascii="Arial" w:cs="Arial" w:eastAsia="Arial" w:hAnsi="Arial"/>
                <w:sz w:val="18"/>
                <w:szCs w:val="18"/>
                <w:color w:val="auto"/>
              </w:rPr>
              <w:t>Mexico</w:t>
            </w:r>
          </w:p>
        </w:tc>
        <w:tc>
          <w:tcPr>
            <w:tcW w:w="1700" w:type="dxa"/>
            <w:vAlign w:val="bottom"/>
            <w:tcBorders>
              <w:bottom w:val="single" w:sz="8" w:color="888B8D"/>
            </w:tcBorders>
          </w:tcPr>
          <w:p>
            <w:pPr>
              <w:jc w:val="right"/>
              <w:spacing w:after="0"/>
              <w:rPr>
                <w:sz w:val="20"/>
                <w:szCs w:val="20"/>
                <w:color w:val="auto"/>
              </w:rPr>
            </w:pPr>
            <w:r>
              <w:rPr>
                <w:rFonts w:ascii="Arial" w:cs="Arial" w:eastAsia="Arial" w:hAnsi="Arial"/>
                <w:sz w:val="18"/>
                <w:szCs w:val="18"/>
                <w:color w:val="auto"/>
              </w:rPr>
              <w:t>100 %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Borders>
              <w:bottom w:val="single" w:sz="8" w:color="888B8D"/>
            </w:tcBorders>
          </w:tcPr>
          <w:p>
            <w:pPr>
              <w:ind w:left="20"/>
              <w:spacing w:after="0"/>
              <w:rPr>
                <w:sz w:val="20"/>
                <w:szCs w:val="20"/>
                <w:color w:val="auto"/>
              </w:rPr>
            </w:pPr>
            <w:r>
              <w:rPr>
                <w:rFonts w:ascii="Arial" w:cs="Arial" w:eastAsia="Arial" w:hAnsi="Arial"/>
                <w:sz w:val="18"/>
                <w:szCs w:val="18"/>
                <w:color w:val="auto"/>
              </w:rPr>
              <w:t>Honeywell Avionics (Shanghai) Co., Ltd.</w:t>
            </w:r>
          </w:p>
        </w:tc>
        <w:tc>
          <w:tcPr>
            <w:tcW w:w="3540" w:type="dxa"/>
            <w:vAlign w:val="bottom"/>
            <w:tcBorders>
              <w:bottom w:val="single" w:sz="8" w:color="888B8D"/>
            </w:tcBorders>
          </w:tcPr>
          <w:p>
            <w:pPr>
              <w:jc w:val="center"/>
              <w:ind w:left="631"/>
              <w:spacing w:after="0"/>
              <w:rPr>
                <w:sz w:val="20"/>
                <w:szCs w:val="20"/>
                <w:color w:val="auto"/>
              </w:rPr>
            </w:pPr>
            <w:r>
              <w:rPr>
                <w:rFonts w:ascii="Arial" w:cs="Arial" w:eastAsia="Arial" w:hAnsi="Arial"/>
                <w:sz w:val="18"/>
                <w:szCs w:val="18"/>
                <w:color w:val="auto"/>
                <w:w w:val="97"/>
              </w:rPr>
              <w:t>China</w:t>
            </w:r>
          </w:p>
        </w:tc>
        <w:tc>
          <w:tcPr>
            <w:tcW w:w="1700" w:type="dxa"/>
            <w:vAlign w:val="bottom"/>
            <w:tcBorders>
              <w:bottom w:val="single" w:sz="8" w:color="888B8D"/>
            </w:tcBorders>
          </w:tcPr>
          <w:p>
            <w:pPr>
              <w:jc w:val="right"/>
              <w:spacing w:after="0"/>
              <w:rPr>
                <w:sz w:val="20"/>
                <w:szCs w:val="20"/>
                <w:color w:val="auto"/>
              </w:rPr>
            </w:pPr>
            <w:r>
              <w:rPr>
                <w:rFonts w:ascii="Arial" w:cs="Arial" w:eastAsia="Arial" w:hAnsi="Arial"/>
                <w:sz w:val="18"/>
                <w:szCs w:val="18"/>
                <w:color w:val="auto"/>
              </w:rPr>
              <w:t>100 %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Borders>
              <w:bottom w:val="single" w:sz="8" w:color="888B8D"/>
            </w:tcBorders>
          </w:tcPr>
          <w:p>
            <w:pPr>
              <w:ind w:left="20"/>
              <w:spacing w:after="0"/>
              <w:rPr>
                <w:sz w:val="20"/>
                <w:szCs w:val="20"/>
                <w:color w:val="auto"/>
              </w:rPr>
            </w:pPr>
            <w:r>
              <w:rPr>
                <w:rFonts w:ascii="Arial" w:cs="Arial" w:eastAsia="Arial" w:hAnsi="Arial"/>
                <w:sz w:val="18"/>
                <w:szCs w:val="18"/>
                <w:color w:val="auto"/>
              </w:rPr>
              <w:t>Honeywell B.V.</w:t>
            </w:r>
          </w:p>
        </w:tc>
        <w:tc>
          <w:tcPr>
            <w:tcW w:w="3540" w:type="dxa"/>
            <w:vAlign w:val="bottom"/>
            <w:tcBorders>
              <w:bottom w:val="single" w:sz="8" w:color="888B8D"/>
            </w:tcBorders>
          </w:tcPr>
          <w:p>
            <w:pPr>
              <w:jc w:val="center"/>
              <w:ind w:left="631"/>
              <w:spacing w:after="0"/>
              <w:rPr>
                <w:sz w:val="20"/>
                <w:szCs w:val="20"/>
                <w:color w:val="auto"/>
              </w:rPr>
            </w:pPr>
            <w:r>
              <w:rPr>
                <w:rFonts w:ascii="Arial" w:cs="Arial" w:eastAsia="Arial" w:hAnsi="Arial"/>
                <w:sz w:val="18"/>
                <w:szCs w:val="18"/>
                <w:color w:val="auto"/>
              </w:rPr>
              <w:t>Netherlands</w:t>
            </w:r>
          </w:p>
        </w:tc>
        <w:tc>
          <w:tcPr>
            <w:tcW w:w="1700" w:type="dxa"/>
            <w:vAlign w:val="bottom"/>
            <w:tcBorders>
              <w:bottom w:val="single" w:sz="8" w:color="888B8D"/>
            </w:tcBorders>
          </w:tcPr>
          <w:p>
            <w:pPr>
              <w:jc w:val="right"/>
              <w:spacing w:after="0"/>
              <w:rPr>
                <w:sz w:val="20"/>
                <w:szCs w:val="20"/>
                <w:color w:val="auto"/>
              </w:rPr>
            </w:pPr>
            <w:r>
              <w:rPr>
                <w:rFonts w:ascii="Arial" w:cs="Arial" w:eastAsia="Arial" w:hAnsi="Arial"/>
                <w:sz w:val="18"/>
                <w:szCs w:val="18"/>
                <w:color w:val="auto"/>
              </w:rPr>
              <w:t>100 %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Borders>
              <w:bottom w:val="single" w:sz="8" w:color="888B8D"/>
            </w:tcBorders>
          </w:tcPr>
          <w:p>
            <w:pPr>
              <w:ind w:left="20"/>
              <w:spacing w:after="0"/>
              <w:rPr>
                <w:sz w:val="20"/>
                <w:szCs w:val="20"/>
                <w:color w:val="auto"/>
              </w:rPr>
            </w:pPr>
            <w:r>
              <w:rPr>
                <w:rFonts w:ascii="Arial" w:cs="Arial" w:eastAsia="Arial" w:hAnsi="Arial"/>
                <w:sz w:val="18"/>
                <w:szCs w:val="18"/>
                <w:color w:val="auto"/>
              </w:rPr>
              <w:t>Honeywell Building Solutions GmbH</w:t>
            </w:r>
          </w:p>
        </w:tc>
        <w:tc>
          <w:tcPr>
            <w:tcW w:w="3540" w:type="dxa"/>
            <w:vAlign w:val="bottom"/>
            <w:tcBorders>
              <w:bottom w:val="single" w:sz="8" w:color="888B8D"/>
            </w:tcBorders>
          </w:tcPr>
          <w:p>
            <w:pPr>
              <w:jc w:val="center"/>
              <w:ind w:left="631"/>
              <w:spacing w:after="0"/>
              <w:rPr>
                <w:sz w:val="20"/>
                <w:szCs w:val="20"/>
                <w:color w:val="auto"/>
              </w:rPr>
            </w:pPr>
            <w:r>
              <w:rPr>
                <w:rFonts w:ascii="Arial" w:cs="Arial" w:eastAsia="Arial" w:hAnsi="Arial"/>
                <w:sz w:val="18"/>
                <w:szCs w:val="18"/>
                <w:color w:val="auto"/>
                <w:w w:val="99"/>
              </w:rPr>
              <w:t>Germany</w:t>
            </w:r>
          </w:p>
        </w:tc>
        <w:tc>
          <w:tcPr>
            <w:tcW w:w="1700" w:type="dxa"/>
            <w:vAlign w:val="bottom"/>
            <w:tcBorders>
              <w:bottom w:val="single" w:sz="8" w:color="888B8D"/>
            </w:tcBorders>
          </w:tcPr>
          <w:p>
            <w:pPr>
              <w:jc w:val="right"/>
              <w:spacing w:after="0"/>
              <w:rPr>
                <w:sz w:val="20"/>
                <w:szCs w:val="20"/>
                <w:color w:val="auto"/>
              </w:rPr>
            </w:pPr>
            <w:r>
              <w:rPr>
                <w:rFonts w:ascii="Arial" w:cs="Arial" w:eastAsia="Arial" w:hAnsi="Arial"/>
                <w:sz w:val="18"/>
                <w:szCs w:val="18"/>
                <w:color w:val="auto"/>
              </w:rPr>
              <w:t>100 %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Borders>
              <w:bottom w:val="single" w:sz="8" w:color="888B8D"/>
            </w:tcBorders>
          </w:tcPr>
          <w:p>
            <w:pPr>
              <w:ind w:left="20"/>
              <w:spacing w:after="0"/>
              <w:rPr>
                <w:sz w:val="20"/>
                <w:szCs w:val="20"/>
                <w:color w:val="auto"/>
              </w:rPr>
            </w:pPr>
            <w:r>
              <w:rPr>
                <w:rFonts w:ascii="Arial" w:cs="Arial" w:eastAsia="Arial" w:hAnsi="Arial"/>
                <w:sz w:val="18"/>
                <w:szCs w:val="18"/>
                <w:color w:val="auto"/>
              </w:rPr>
              <w:t>Honeywell Chile S.A.</w:t>
            </w:r>
          </w:p>
        </w:tc>
        <w:tc>
          <w:tcPr>
            <w:tcW w:w="3540" w:type="dxa"/>
            <w:vAlign w:val="bottom"/>
            <w:tcBorders>
              <w:bottom w:val="single" w:sz="8" w:color="888B8D"/>
            </w:tcBorders>
          </w:tcPr>
          <w:p>
            <w:pPr>
              <w:jc w:val="center"/>
              <w:ind w:left="631"/>
              <w:spacing w:after="0"/>
              <w:rPr>
                <w:sz w:val="20"/>
                <w:szCs w:val="20"/>
                <w:color w:val="auto"/>
              </w:rPr>
            </w:pPr>
            <w:r>
              <w:rPr>
                <w:rFonts w:ascii="Arial" w:cs="Arial" w:eastAsia="Arial" w:hAnsi="Arial"/>
                <w:sz w:val="18"/>
                <w:szCs w:val="18"/>
                <w:color w:val="auto"/>
              </w:rPr>
              <w:t>Chile</w:t>
            </w:r>
          </w:p>
        </w:tc>
        <w:tc>
          <w:tcPr>
            <w:tcW w:w="1700" w:type="dxa"/>
            <w:vAlign w:val="bottom"/>
            <w:tcBorders>
              <w:bottom w:val="single" w:sz="8" w:color="888B8D"/>
            </w:tcBorders>
          </w:tcPr>
          <w:p>
            <w:pPr>
              <w:jc w:val="right"/>
              <w:spacing w:after="0"/>
              <w:rPr>
                <w:sz w:val="20"/>
                <w:szCs w:val="20"/>
                <w:color w:val="auto"/>
              </w:rPr>
            </w:pPr>
            <w:r>
              <w:rPr>
                <w:rFonts w:ascii="Arial" w:cs="Arial" w:eastAsia="Arial" w:hAnsi="Arial"/>
                <w:sz w:val="18"/>
                <w:szCs w:val="18"/>
                <w:color w:val="auto"/>
              </w:rPr>
              <w:t>100 %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Borders>
              <w:bottom w:val="single" w:sz="8" w:color="888B8D"/>
            </w:tcBorders>
          </w:tcPr>
          <w:p>
            <w:pPr>
              <w:ind w:left="20"/>
              <w:spacing w:after="0"/>
              <w:rPr>
                <w:sz w:val="20"/>
                <w:szCs w:val="20"/>
                <w:color w:val="auto"/>
              </w:rPr>
            </w:pPr>
            <w:r>
              <w:rPr>
                <w:rFonts w:ascii="Arial" w:cs="Arial" w:eastAsia="Arial" w:hAnsi="Arial"/>
                <w:sz w:val="18"/>
                <w:szCs w:val="18"/>
                <w:color w:val="auto"/>
              </w:rPr>
              <w:t>Honeywell Co., Ltd.</w:t>
            </w:r>
          </w:p>
        </w:tc>
        <w:tc>
          <w:tcPr>
            <w:tcW w:w="3540" w:type="dxa"/>
            <w:vAlign w:val="bottom"/>
            <w:tcBorders>
              <w:bottom w:val="single" w:sz="8" w:color="888B8D"/>
            </w:tcBorders>
          </w:tcPr>
          <w:p>
            <w:pPr>
              <w:jc w:val="center"/>
              <w:ind w:left="651"/>
              <w:spacing w:after="0"/>
              <w:rPr>
                <w:sz w:val="20"/>
                <w:szCs w:val="20"/>
                <w:color w:val="auto"/>
              </w:rPr>
            </w:pPr>
            <w:r>
              <w:rPr>
                <w:rFonts w:ascii="Arial" w:cs="Arial" w:eastAsia="Arial" w:hAnsi="Arial"/>
                <w:sz w:val="18"/>
                <w:szCs w:val="18"/>
                <w:color w:val="auto"/>
                <w:w w:val="99"/>
              </w:rPr>
              <w:t>Korea, Republic of</w:t>
            </w:r>
          </w:p>
        </w:tc>
        <w:tc>
          <w:tcPr>
            <w:tcW w:w="1700" w:type="dxa"/>
            <w:vAlign w:val="bottom"/>
            <w:tcBorders>
              <w:bottom w:val="single" w:sz="8" w:color="888B8D"/>
            </w:tcBorders>
          </w:tcPr>
          <w:p>
            <w:pPr>
              <w:jc w:val="right"/>
              <w:spacing w:after="0"/>
              <w:rPr>
                <w:sz w:val="20"/>
                <w:szCs w:val="20"/>
                <w:color w:val="auto"/>
              </w:rPr>
            </w:pPr>
            <w:r>
              <w:rPr>
                <w:rFonts w:ascii="Arial" w:cs="Arial" w:eastAsia="Arial" w:hAnsi="Arial"/>
                <w:sz w:val="18"/>
                <w:szCs w:val="18"/>
                <w:color w:val="auto"/>
              </w:rPr>
              <w:t>100 %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5960" w:type="dxa"/>
            <w:vAlign w:val="bottom"/>
          </w:tcPr>
          <w:p>
            <w:pPr>
              <w:ind w:left="20"/>
              <w:spacing w:after="0"/>
              <w:rPr>
                <w:sz w:val="20"/>
                <w:szCs w:val="20"/>
                <w:color w:val="auto"/>
              </w:rPr>
            </w:pPr>
            <w:r>
              <w:rPr>
                <w:rFonts w:ascii="Arial" w:cs="Arial" w:eastAsia="Arial" w:hAnsi="Arial"/>
                <w:sz w:val="18"/>
                <w:szCs w:val="18"/>
                <w:color w:val="auto"/>
              </w:rPr>
              <w:t>Honeywell Control Systems Limited</w:t>
            </w:r>
          </w:p>
        </w:tc>
        <w:tc>
          <w:tcPr>
            <w:tcW w:w="3540" w:type="dxa"/>
            <w:vAlign w:val="bottom"/>
          </w:tcPr>
          <w:p>
            <w:pPr>
              <w:jc w:val="center"/>
              <w:ind w:left="651"/>
              <w:spacing w:after="0"/>
              <w:rPr>
                <w:sz w:val="20"/>
                <w:szCs w:val="20"/>
                <w:color w:val="auto"/>
              </w:rPr>
            </w:pPr>
            <w:r>
              <w:rPr>
                <w:rFonts w:ascii="Arial" w:cs="Arial" w:eastAsia="Arial" w:hAnsi="Arial"/>
                <w:sz w:val="18"/>
                <w:szCs w:val="18"/>
                <w:color w:val="auto"/>
                <w:w w:val="99"/>
              </w:rPr>
              <w:t>United Kingdom</w:t>
            </w:r>
          </w:p>
        </w:tc>
        <w:tc>
          <w:tcPr>
            <w:tcW w:w="1700" w:type="dxa"/>
            <w:vAlign w:val="bottom"/>
          </w:tcPr>
          <w:p>
            <w:pPr>
              <w:jc w:val="right"/>
              <w:spacing w:after="0"/>
              <w:rPr>
                <w:sz w:val="20"/>
                <w:szCs w:val="20"/>
                <w:color w:val="auto"/>
              </w:rPr>
            </w:pPr>
            <w:r>
              <w:rPr>
                <w:rFonts w:ascii="Arial" w:cs="Arial" w:eastAsia="Arial" w:hAnsi="Arial"/>
                <w:sz w:val="18"/>
                <w:szCs w:val="18"/>
                <w:color w:val="auto"/>
              </w:rPr>
              <w:t>100 %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40" w:top="886" w:right="339" w:bottom="1440" w:gutter="0" w:footer="0" w:header="0"/>
        </w:sectPr>
      </w:pPr>
    </w:p>
    <w:bookmarkStart w:id="204" w:name="page205"/>
    <w:bookmarkEnd w:id="20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3880" w:type="dxa"/>
            <w:vAlign w:val="bottom"/>
          </w:tcPr>
          <w:p>
            <w:pPr>
              <w:jc w:val="center"/>
              <w:ind w:left="371"/>
              <w:spacing w:after="0"/>
              <w:rPr>
                <w:sz w:val="20"/>
                <w:szCs w:val="20"/>
                <w:color w:val="auto"/>
              </w:rPr>
            </w:pPr>
            <w:r>
              <w:rPr>
                <w:rFonts w:ascii="Arial" w:cs="Arial" w:eastAsia="Arial" w:hAnsi="Arial"/>
                <w:sz w:val="14"/>
                <w:szCs w:val="14"/>
                <w:b w:val="1"/>
                <w:bCs w:val="1"/>
                <w:color w:val="auto"/>
              </w:rPr>
              <w:t>Country or State</w:t>
            </w: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85"/>
        </w:trPr>
        <w:tc>
          <w:tcPr>
            <w:tcW w:w="5920" w:type="dxa"/>
            <w:vAlign w:val="bottom"/>
            <w:tcBorders>
              <w:bottom w:val="single" w:sz="8" w:color="DC202E"/>
            </w:tcBorders>
            <w:vMerge w:val="continue"/>
          </w:tcPr>
          <w:p>
            <w:pPr>
              <w:spacing w:after="0"/>
              <w:rPr>
                <w:sz w:val="16"/>
                <w:szCs w:val="16"/>
                <w:color w:val="auto"/>
              </w:rPr>
            </w:pPr>
          </w:p>
        </w:tc>
        <w:tc>
          <w:tcPr>
            <w:tcW w:w="3880" w:type="dxa"/>
            <w:vAlign w:val="bottom"/>
            <w:tcBorders>
              <w:bottom w:val="single" w:sz="8" w:color="DC202E"/>
            </w:tcBorders>
          </w:tcPr>
          <w:p>
            <w:pPr>
              <w:jc w:val="center"/>
              <w:ind w:left="371"/>
              <w:spacing w:after="0"/>
              <w:rPr>
                <w:sz w:val="20"/>
                <w:szCs w:val="20"/>
                <w:color w:val="auto"/>
              </w:rPr>
            </w:pPr>
            <w:r>
              <w:rPr>
                <w:rFonts w:ascii="Arial" w:cs="Arial" w:eastAsia="Arial" w:hAnsi="Arial"/>
                <w:sz w:val="14"/>
                <w:szCs w:val="14"/>
                <w:b w:val="1"/>
                <w:bCs w:val="1"/>
                <w:color w:val="auto"/>
              </w:rPr>
              <w:t>of Incorporation</w:t>
            </w:r>
          </w:p>
        </w:tc>
        <w:tc>
          <w:tcPr>
            <w:tcW w:w="1400" w:type="dxa"/>
            <w:vAlign w:val="bottom"/>
            <w:tcBorders>
              <w:bottom w:val="single" w:sz="8" w:color="DC202E"/>
            </w:tcBorders>
          </w:tcPr>
          <w:p>
            <w:pPr>
              <w:jc w:val="right"/>
              <w:spacing w:after="0"/>
              <w:rPr>
                <w:sz w:val="20"/>
                <w:szCs w:val="20"/>
                <w:color w:val="auto"/>
              </w:rPr>
            </w:pPr>
            <w:r>
              <w:rPr>
                <w:rFonts w:ascii="Arial" w:cs="Arial" w:eastAsia="Arial" w:hAnsi="Arial"/>
                <w:sz w:val="14"/>
                <w:szCs w:val="14"/>
                <w:b w:val="1"/>
                <w:bCs w:val="1"/>
                <w:color w:val="auto"/>
              </w:rPr>
              <w:t>Ownership</w:t>
            </w:r>
          </w:p>
        </w:tc>
        <w:tc>
          <w:tcPr>
            <w:tcW w:w="0" w:type="dxa"/>
            <w:vAlign w:val="bottom"/>
          </w:tcPr>
          <w:p>
            <w:pPr>
              <w:spacing w:after="0"/>
              <w:rPr>
                <w:sz w:val="1"/>
                <w:szCs w:val="1"/>
                <w:color w:val="auto"/>
              </w:rPr>
            </w:pPr>
          </w:p>
        </w:tc>
      </w:tr>
      <w:tr>
        <w:trPr>
          <w:trHeight w:val="223"/>
        </w:trPr>
        <w:tc>
          <w:tcPr>
            <w:tcW w:w="5920" w:type="dxa"/>
            <w:vAlign w:val="bottom"/>
            <w:tcBorders>
              <w:bottom w:val="single" w:sz="8" w:color="888B8D"/>
            </w:tcBorders>
          </w:tcPr>
          <w:p>
            <w:pPr>
              <w:ind w:left="20"/>
              <w:spacing w:after="0"/>
              <w:rPr>
                <w:sz w:val="20"/>
                <w:szCs w:val="20"/>
                <w:color w:val="auto"/>
              </w:rPr>
            </w:pPr>
            <w:r>
              <w:rPr>
                <w:rFonts w:ascii="Arial" w:cs="Arial" w:eastAsia="Arial" w:hAnsi="Arial"/>
                <w:sz w:val="18"/>
                <w:szCs w:val="18"/>
                <w:color w:val="auto"/>
              </w:rPr>
              <w:t>Honeywell Deutschland Holding GmbH</w:t>
            </w:r>
          </w:p>
        </w:tc>
        <w:tc>
          <w:tcPr>
            <w:tcW w:w="3880" w:type="dxa"/>
            <w:vAlign w:val="bottom"/>
            <w:tcBorders>
              <w:bottom w:val="single" w:sz="8" w:color="888B8D"/>
            </w:tcBorders>
          </w:tcPr>
          <w:p>
            <w:pPr>
              <w:jc w:val="center"/>
              <w:ind w:left="371"/>
              <w:spacing w:after="0"/>
              <w:rPr>
                <w:sz w:val="20"/>
                <w:szCs w:val="20"/>
                <w:color w:val="auto"/>
              </w:rPr>
            </w:pPr>
            <w:r>
              <w:rPr>
                <w:rFonts w:ascii="Arial" w:cs="Arial" w:eastAsia="Arial" w:hAnsi="Arial"/>
                <w:sz w:val="18"/>
                <w:szCs w:val="18"/>
                <w:color w:val="auto"/>
                <w:w w:val="99"/>
              </w:rPr>
              <w:t>Germany</w:t>
            </w:r>
          </w:p>
        </w:tc>
        <w:tc>
          <w:tcPr>
            <w:tcW w:w="1400" w:type="dxa"/>
            <w:vAlign w:val="bottom"/>
            <w:tcBorders>
              <w:bottom w:val="single" w:sz="8" w:color="888B8D"/>
            </w:tcBorders>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23"/>
        </w:trPr>
        <w:tc>
          <w:tcPr>
            <w:tcW w:w="5920" w:type="dxa"/>
            <w:vAlign w:val="bottom"/>
            <w:tcBorders>
              <w:bottom w:val="single" w:sz="8" w:color="888B8D"/>
            </w:tcBorders>
          </w:tcPr>
          <w:p>
            <w:pPr>
              <w:ind w:left="20"/>
              <w:spacing w:after="0"/>
              <w:rPr>
                <w:sz w:val="20"/>
                <w:szCs w:val="20"/>
                <w:color w:val="auto"/>
              </w:rPr>
            </w:pPr>
            <w:r>
              <w:rPr>
                <w:rFonts w:ascii="Arial" w:cs="Arial" w:eastAsia="Arial" w:hAnsi="Arial"/>
                <w:sz w:val="18"/>
                <w:szCs w:val="18"/>
                <w:color w:val="auto"/>
              </w:rPr>
              <w:t>Honeywell Electronic Materials Taiwan Co. Ltd.</w:t>
            </w:r>
          </w:p>
        </w:tc>
        <w:tc>
          <w:tcPr>
            <w:tcW w:w="3880" w:type="dxa"/>
            <w:vAlign w:val="bottom"/>
            <w:tcBorders>
              <w:bottom w:val="single" w:sz="8" w:color="888B8D"/>
            </w:tcBorders>
          </w:tcPr>
          <w:p>
            <w:pPr>
              <w:jc w:val="center"/>
              <w:ind w:left="371"/>
              <w:spacing w:after="0"/>
              <w:rPr>
                <w:sz w:val="20"/>
                <w:szCs w:val="20"/>
                <w:color w:val="auto"/>
              </w:rPr>
            </w:pPr>
            <w:r>
              <w:rPr>
                <w:rFonts w:ascii="Arial" w:cs="Arial" w:eastAsia="Arial" w:hAnsi="Arial"/>
                <w:sz w:val="18"/>
                <w:szCs w:val="18"/>
                <w:color w:val="auto"/>
                <w:w w:val="98"/>
              </w:rPr>
              <w:t>Taiwan (Province of China)</w:t>
            </w:r>
          </w:p>
        </w:tc>
        <w:tc>
          <w:tcPr>
            <w:tcW w:w="1400" w:type="dxa"/>
            <w:vAlign w:val="bottom"/>
            <w:tcBorders>
              <w:bottom w:val="single" w:sz="8" w:color="888B8D"/>
            </w:tcBorders>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23"/>
        </w:trPr>
        <w:tc>
          <w:tcPr>
            <w:tcW w:w="5920" w:type="dxa"/>
            <w:vAlign w:val="bottom"/>
            <w:tcBorders>
              <w:bottom w:val="single" w:sz="8" w:color="888B8D"/>
            </w:tcBorders>
          </w:tcPr>
          <w:p>
            <w:pPr>
              <w:ind w:left="20"/>
              <w:spacing w:after="0"/>
              <w:rPr>
                <w:sz w:val="20"/>
                <w:szCs w:val="20"/>
                <w:color w:val="auto"/>
              </w:rPr>
            </w:pPr>
            <w:r>
              <w:rPr>
                <w:rFonts w:ascii="Arial" w:cs="Arial" w:eastAsia="Arial" w:hAnsi="Arial"/>
                <w:sz w:val="18"/>
                <w:szCs w:val="18"/>
                <w:color w:val="auto"/>
              </w:rPr>
              <w:t>Honeywell Electronic Materials Thailand Limited</w:t>
            </w:r>
          </w:p>
        </w:tc>
        <w:tc>
          <w:tcPr>
            <w:tcW w:w="3880" w:type="dxa"/>
            <w:vAlign w:val="bottom"/>
            <w:tcBorders>
              <w:bottom w:val="single" w:sz="8" w:color="888B8D"/>
            </w:tcBorders>
          </w:tcPr>
          <w:p>
            <w:pPr>
              <w:jc w:val="center"/>
              <w:ind w:left="371"/>
              <w:spacing w:after="0"/>
              <w:rPr>
                <w:sz w:val="20"/>
                <w:szCs w:val="20"/>
                <w:color w:val="auto"/>
              </w:rPr>
            </w:pPr>
            <w:r>
              <w:rPr>
                <w:rFonts w:ascii="Arial" w:cs="Arial" w:eastAsia="Arial" w:hAnsi="Arial"/>
                <w:sz w:val="18"/>
                <w:szCs w:val="18"/>
                <w:color w:val="auto"/>
              </w:rPr>
              <w:t>Thailand</w:t>
            </w:r>
          </w:p>
        </w:tc>
        <w:tc>
          <w:tcPr>
            <w:tcW w:w="1400" w:type="dxa"/>
            <w:vAlign w:val="bottom"/>
            <w:tcBorders>
              <w:bottom w:val="single" w:sz="8" w:color="888B8D"/>
            </w:tcBorders>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23"/>
        </w:trPr>
        <w:tc>
          <w:tcPr>
            <w:tcW w:w="5920" w:type="dxa"/>
            <w:vAlign w:val="bottom"/>
            <w:tcBorders>
              <w:bottom w:val="single" w:sz="8" w:color="888B8D"/>
            </w:tcBorders>
          </w:tcPr>
          <w:p>
            <w:pPr>
              <w:ind w:left="20"/>
              <w:spacing w:after="0"/>
              <w:rPr>
                <w:sz w:val="20"/>
                <w:szCs w:val="20"/>
                <w:color w:val="auto"/>
              </w:rPr>
            </w:pPr>
            <w:r>
              <w:rPr>
                <w:rFonts w:ascii="Arial" w:cs="Arial" w:eastAsia="Arial" w:hAnsi="Arial"/>
                <w:sz w:val="18"/>
                <w:szCs w:val="18"/>
                <w:color w:val="auto"/>
              </w:rPr>
              <w:t>Honeywell Electronic Materials, Inc.</w:t>
            </w:r>
          </w:p>
        </w:tc>
        <w:tc>
          <w:tcPr>
            <w:tcW w:w="3880" w:type="dxa"/>
            <w:vAlign w:val="bottom"/>
            <w:tcBorders>
              <w:bottom w:val="single" w:sz="8" w:color="888B8D"/>
            </w:tcBorders>
          </w:tcPr>
          <w:p>
            <w:pPr>
              <w:jc w:val="center"/>
              <w:ind w:left="371"/>
              <w:spacing w:after="0"/>
              <w:rPr>
                <w:sz w:val="20"/>
                <w:szCs w:val="20"/>
                <w:color w:val="auto"/>
              </w:rPr>
            </w:pPr>
            <w:r>
              <w:rPr>
                <w:rFonts w:ascii="Arial" w:cs="Arial" w:eastAsia="Arial" w:hAnsi="Arial"/>
                <w:sz w:val="18"/>
                <w:szCs w:val="18"/>
                <w:color w:val="auto"/>
                <w:w w:val="98"/>
              </w:rPr>
              <w:t>Washington</w:t>
            </w:r>
          </w:p>
        </w:tc>
        <w:tc>
          <w:tcPr>
            <w:tcW w:w="1400" w:type="dxa"/>
            <w:vAlign w:val="bottom"/>
            <w:tcBorders>
              <w:bottom w:val="single" w:sz="8" w:color="888B8D"/>
            </w:tcBorders>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23"/>
        </w:trPr>
        <w:tc>
          <w:tcPr>
            <w:tcW w:w="5920" w:type="dxa"/>
            <w:vAlign w:val="bottom"/>
            <w:tcBorders>
              <w:bottom w:val="single" w:sz="8" w:color="888B8D"/>
            </w:tcBorders>
          </w:tcPr>
          <w:p>
            <w:pPr>
              <w:ind w:left="20"/>
              <w:spacing w:after="0"/>
              <w:rPr>
                <w:sz w:val="20"/>
                <w:szCs w:val="20"/>
                <w:color w:val="auto"/>
              </w:rPr>
            </w:pPr>
            <w:r>
              <w:rPr>
                <w:rFonts w:ascii="Arial" w:cs="Arial" w:eastAsia="Arial" w:hAnsi="Arial"/>
                <w:sz w:val="18"/>
                <w:szCs w:val="18"/>
                <w:color w:val="auto"/>
              </w:rPr>
              <w:t>Honeywell Europe BV</w:t>
            </w:r>
          </w:p>
        </w:tc>
        <w:tc>
          <w:tcPr>
            <w:tcW w:w="3880" w:type="dxa"/>
            <w:vAlign w:val="bottom"/>
            <w:tcBorders>
              <w:bottom w:val="single" w:sz="8" w:color="888B8D"/>
            </w:tcBorders>
          </w:tcPr>
          <w:p>
            <w:pPr>
              <w:jc w:val="center"/>
              <w:ind w:left="371"/>
              <w:spacing w:after="0"/>
              <w:rPr>
                <w:sz w:val="20"/>
                <w:szCs w:val="20"/>
                <w:color w:val="auto"/>
              </w:rPr>
            </w:pPr>
            <w:r>
              <w:rPr>
                <w:rFonts w:ascii="Arial" w:cs="Arial" w:eastAsia="Arial" w:hAnsi="Arial"/>
                <w:sz w:val="18"/>
                <w:szCs w:val="18"/>
                <w:color w:val="auto"/>
              </w:rPr>
              <w:t>Belgium</w:t>
            </w:r>
          </w:p>
        </w:tc>
        <w:tc>
          <w:tcPr>
            <w:tcW w:w="1400" w:type="dxa"/>
            <w:vAlign w:val="bottom"/>
            <w:tcBorders>
              <w:bottom w:val="single" w:sz="8" w:color="888B8D"/>
            </w:tcBorders>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23"/>
        </w:trPr>
        <w:tc>
          <w:tcPr>
            <w:tcW w:w="5920" w:type="dxa"/>
            <w:vAlign w:val="bottom"/>
            <w:tcBorders>
              <w:bottom w:val="single" w:sz="8" w:color="888B8D"/>
            </w:tcBorders>
          </w:tcPr>
          <w:p>
            <w:pPr>
              <w:ind w:left="20"/>
              <w:spacing w:after="0"/>
              <w:rPr>
                <w:sz w:val="20"/>
                <w:szCs w:val="20"/>
                <w:color w:val="auto"/>
              </w:rPr>
            </w:pPr>
            <w:r>
              <w:rPr>
                <w:rFonts w:ascii="Arial" w:cs="Arial" w:eastAsia="Arial" w:hAnsi="Arial"/>
                <w:sz w:val="18"/>
                <w:szCs w:val="18"/>
                <w:color w:val="auto"/>
              </w:rPr>
              <w:t>HONEYWELL FINANCE ONTARIO LP</w:t>
            </w:r>
          </w:p>
        </w:tc>
        <w:tc>
          <w:tcPr>
            <w:tcW w:w="3880" w:type="dxa"/>
            <w:vAlign w:val="bottom"/>
            <w:tcBorders>
              <w:bottom w:val="single" w:sz="8" w:color="888B8D"/>
            </w:tcBorders>
          </w:tcPr>
          <w:p>
            <w:pPr>
              <w:jc w:val="center"/>
              <w:ind w:left="371"/>
              <w:spacing w:after="0"/>
              <w:rPr>
                <w:sz w:val="20"/>
                <w:szCs w:val="20"/>
                <w:color w:val="auto"/>
              </w:rPr>
            </w:pPr>
            <w:r>
              <w:rPr>
                <w:rFonts w:ascii="Arial" w:cs="Arial" w:eastAsia="Arial" w:hAnsi="Arial"/>
                <w:sz w:val="18"/>
                <w:szCs w:val="18"/>
                <w:color w:val="auto"/>
                <w:w w:val="98"/>
              </w:rPr>
              <w:t>Canada</w:t>
            </w:r>
          </w:p>
        </w:tc>
        <w:tc>
          <w:tcPr>
            <w:tcW w:w="1400" w:type="dxa"/>
            <w:vAlign w:val="bottom"/>
            <w:tcBorders>
              <w:bottom w:val="single" w:sz="8" w:color="888B8D"/>
            </w:tcBorders>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23"/>
        </w:trPr>
        <w:tc>
          <w:tcPr>
            <w:tcW w:w="5920" w:type="dxa"/>
            <w:vAlign w:val="bottom"/>
            <w:tcBorders>
              <w:bottom w:val="single" w:sz="8" w:color="888B8D"/>
            </w:tcBorders>
          </w:tcPr>
          <w:p>
            <w:pPr>
              <w:ind w:left="20"/>
              <w:spacing w:after="0"/>
              <w:rPr>
                <w:sz w:val="20"/>
                <w:szCs w:val="20"/>
                <w:color w:val="auto"/>
              </w:rPr>
            </w:pPr>
            <w:r>
              <w:rPr>
                <w:rFonts w:ascii="Arial" w:cs="Arial" w:eastAsia="Arial" w:hAnsi="Arial"/>
                <w:sz w:val="18"/>
                <w:szCs w:val="18"/>
                <w:color w:val="auto"/>
              </w:rPr>
              <w:t>Honeywell Fluorine Products Europe B.V.</w:t>
            </w:r>
          </w:p>
        </w:tc>
        <w:tc>
          <w:tcPr>
            <w:tcW w:w="3880" w:type="dxa"/>
            <w:vAlign w:val="bottom"/>
            <w:tcBorders>
              <w:bottom w:val="single" w:sz="8" w:color="888B8D"/>
            </w:tcBorders>
          </w:tcPr>
          <w:p>
            <w:pPr>
              <w:jc w:val="center"/>
              <w:ind w:left="371"/>
              <w:spacing w:after="0"/>
              <w:rPr>
                <w:sz w:val="20"/>
                <w:szCs w:val="20"/>
                <w:color w:val="auto"/>
              </w:rPr>
            </w:pPr>
            <w:r>
              <w:rPr>
                <w:rFonts w:ascii="Arial" w:cs="Arial" w:eastAsia="Arial" w:hAnsi="Arial"/>
                <w:sz w:val="18"/>
                <w:szCs w:val="18"/>
                <w:color w:val="auto"/>
              </w:rPr>
              <w:t>Netherlands</w:t>
            </w:r>
          </w:p>
        </w:tc>
        <w:tc>
          <w:tcPr>
            <w:tcW w:w="1400" w:type="dxa"/>
            <w:vAlign w:val="bottom"/>
            <w:tcBorders>
              <w:bottom w:val="single" w:sz="8" w:color="888B8D"/>
            </w:tcBorders>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23"/>
        </w:trPr>
        <w:tc>
          <w:tcPr>
            <w:tcW w:w="5920" w:type="dxa"/>
            <w:vAlign w:val="bottom"/>
            <w:tcBorders>
              <w:bottom w:val="single" w:sz="8" w:color="888B8D"/>
            </w:tcBorders>
          </w:tcPr>
          <w:p>
            <w:pPr>
              <w:ind w:left="20"/>
              <w:spacing w:after="0"/>
              <w:rPr>
                <w:sz w:val="20"/>
                <w:szCs w:val="20"/>
                <w:color w:val="auto"/>
              </w:rPr>
            </w:pPr>
            <w:r>
              <w:rPr>
                <w:rFonts w:ascii="Arial" w:cs="Arial" w:eastAsia="Arial" w:hAnsi="Arial"/>
                <w:sz w:val="18"/>
                <w:szCs w:val="18"/>
                <w:color w:val="auto"/>
              </w:rPr>
              <w:t>Honeywell GmbH</w:t>
            </w:r>
          </w:p>
        </w:tc>
        <w:tc>
          <w:tcPr>
            <w:tcW w:w="3880" w:type="dxa"/>
            <w:vAlign w:val="bottom"/>
            <w:tcBorders>
              <w:bottom w:val="single" w:sz="8" w:color="888B8D"/>
            </w:tcBorders>
          </w:tcPr>
          <w:p>
            <w:pPr>
              <w:jc w:val="center"/>
              <w:ind w:left="371"/>
              <w:spacing w:after="0"/>
              <w:rPr>
                <w:sz w:val="20"/>
                <w:szCs w:val="20"/>
                <w:color w:val="auto"/>
              </w:rPr>
            </w:pPr>
            <w:r>
              <w:rPr>
                <w:rFonts w:ascii="Arial" w:cs="Arial" w:eastAsia="Arial" w:hAnsi="Arial"/>
                <w:sz w:val="18"/>
                <w:szCs w:val="18"/>
                <w:color w:val="auto"/>
                <w:w w:val="99"/>
              </w:rPr>
              <w:t>Germany</w:t>
            </w:r>
          </w:p>
        </w:tc>
        <w:tc>
          <w:tcPr>
            <w:tcW w:w="1400" w:type="dxa"/>
            <w:vAlign w:val="bottom"/>
            <w:tcBorders>
              <w:bottom w:val="single" w:sz="8" w:color="888B8D"/>
            </w:tcBorders>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23"/>
        </w:trPr>
        <w:tc>
          <w:tcPr>
            <w:tcW w:w="5920" w:type="dxa"/>
            <w:vAlign w:val="bottom"/>
            <w:tcBorders>
              <w:bottom w:val="single" w:sz="8" w:color="888B8D"/>
            </w:tcBorders>
          </w:tcPr>
          <w:p>
            <w:pPr>
              <w:ind w:left="20"/>
              <w:spacing w:after="0"/>
              <w:rPr>
                <w:sz w:val="20"/>
                <w:szCs w:val="20"/>
                <w:color w:val="auto"/>
              </w:rPr>
            </w:pPr>
            <w:r>
              <w:rPr>
                <w:rFonts w:ascii="Arial" w:cs="Arial" w:eastAsia="Arial" w:hAnsi="Arial"/>
                <w:sz w:val="18"/>
                <w:szCs w:val="18"/>
                <w:color w:val="auto"/>
              </w:rPr>
              <w:t>Honeywell Holdings International Inc.</w:t>
            </w:r>
          </w:p>
        </w:tc>
        <w:tc>
          <w:tcPr>
            <w:tcW w:w="3880" w:type="dxa"/>
            <w:vAlign w:val="bottom"/>
            <w:tcBorders>
              <w:bottom w:val="single" w:sz="8" w:color="888B8D"/>
            </w:tcBorders>
          </w:tcPr>
          <w:p>
            <w:pPr>
              <w:jc w:val="center"/>
              <w:ind w:left="311"/>
              <w:spacing w:after="0"/>
              <w:rPr>
                <w:sz w:val="20"/>
                <w:szCs w:val="20"/>
                <w:color w:val="auto"/>
              </w:rPr>
            </w:pPr>
            <w:r>
              <w:rPr>
                <w:rFonts w:ascii="Arial" w:cs="Arial" w:eastAsia="Arial" w:hAnsi="Arial"/>
                <w:sz w:val="18"/>
                <w:szCs w:val="18"/>
                <w:color w:val="auto"/>
                <w:w w:val="99"/>
              </w:rPr>
              <w:t>Delaware</w:t>
            </w:r>
          </w:p>
        </w:tc>
        <w:tc>
          <w:tcPr>
            <w:tcW w:w="1400" w:type="dxa"/>
            <w:vAlign w:val="bottom"/>
            <w:tcBorders>
              <w:bottom w:val="single" w:sz="8" w:color="888B8D"/>
            </w:tcBorders>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23"/>
        </w:trPr>
        <w:tc>
          <w:tcPr>
            <w:tcW w:w="5920" w:type="dxa"/>
            <w:vAlign w:val="bottom"/>
            <w:tcBorders>
              <w:bottom w:val="single" w:sz="8" w:color="888B8D"/>
            </w:tcBorders>
          </w:tcPr>
          <w:p>
            <w:pPr>
              <w:ind w:left="20"/>
              <w:spacing w:after="0"/>
              <w:rPr>
                <w:sz w:val="20"/>
                <w:szCs w:val="20"/>
                <w:color w:val="auto"/>
              </w:rPr>
            </w:pPr>
            <w:r>
              <w:rPr>
                <w:rFonts w:ascii="Arial" w:cs="Arial" w:eastAsia="Arial" w:hAnsi="Arial"/>
                <w:sz w:val="18"/>
                <w:szCs w:val="18"/>
                <w:color w:val="auto"/>
              </w:rPr>
              <w:t>Honeywell International India Private Limited</w:t>
            </w:r>
          </w:p>
        </w:tc>
        <w:tc>
          <w:tcPr>
            <w:tcW w:w="3880" w:type="dxa"/>
            <w:vAlign w:val="bottom"/>
            <w:tcBorders>
              <w:bottom w:val="single" w:sz="8" w:color="888B8D"/>
            </w:tcBorders>
          </w:tcPr>
          <w:p>
            <w:pPr>
              <w:jc w:val="center"/>
              <w:ind w:left="371"/>
              <w:spacing w:after="0"/>
              <w:rPr>
                <w:sz w:val="20"/>
                <w:szCs w:val="20"/>
                <w:color w:val="auto"/>
              </w:rPr>
            </w:pPr>
            <w:r>
              <w:rPr>
                <w:rFonts w:ascii="Arial" w:cs="Arial" w:eastAsia="Arial" w:hAnsi="Arial"/>
                <w:sz w:val="18"/>
                <w:szCs w:val="18"/>
                <w:color w:val="auto"/>
                <w:w w:val="97"/>
              </w:rPr>
              <w:t>India</w:t>
            </w:r>
          </w:p>
        </w:tc>
        <w:tc>
          <w:tcPr>
            <w:tcW w:w="1400" w:type="dxa"/>
            <w:vAlign w:val="bottom"/>
            <w:tcBorders>
              <w:bottom w:val="single" w:sz="8" w:color="888B8D"/>
            </w:tcBorders>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23"/>
        </w:trPr>
        <w:tc>
          <w:tcPr>
            <w:tcW w:w="5920" w:type="dxa"/>
            <w:vAlign w:val="bottom"/>
            <w:tcBorders>
              <w:bottom w:val="single" w:sz="8" w:color="888B8D"/>
            </w:tcBorders>
          </w:tcPr>
          <w:p>
            <w:pPr>
              <w:ind w:left="20"/>
              <w:spacing w:after="0"/>
              <w:rPr>
                <w:sz w:val="20"/>
                <w:szCs w:val="20"/>
                <w:color w:val="auto"/>
              </w:rPr>
            </w:pPr>
            <w:r>
              <w:rPr>
                <w:rFonts w:ascii="Arial" w:cs="Arial" w:eastAsia="Arial" w:hAnsi="Arial"/>
                <w:sz w:val="18"/>
                <w:szCs w:val="18"/>
                <w:color w:val="auto"/>
              </w:rPr>
              <w:t>Honeywell International Sarl</w:t>
            </w:r>
          </w:p>
        </w:tc>
        <w:tc>
          <w:tcPr>
            <w:tcW w:w="3880" w:type="dxa"/>
            <w:vAlign w:val="bottom"/>
            <w:tcBorders>
              <w:bottom w:val="single" w:sz="8" w:color="888B8D"/>
            </w:tcBorders>
          </w:tcPr>
          <w:p>
            <w:pPr>
              <w:jc w:val="center"/>
              <w:ind w:left="371"/>
              <w:spacing w:after="0"/>
              <w:rPr>
                <w:sz w:val="20"/>
                <w:szCs w:val="20"/>
                <w:color w:val="auto"/>
              </w:rPr>
            </w:pPr>
            <w:r>
              <w:rPr>
                <w:rFonts w:ascii="Arial" w:cs="Arial" w:eastAsia="Arial" w:hAnsi="Arial"/>
                <w:sz w:val="18"/>
                <w:szCs w:val="18"/>
                <w:color w:val="auto"/>
              </w:rPr>
              <w:t>Switzerland</w:t>
            </w:r>
          </w:p>
        </w:tc>
        <w:tc>
          <w:tcPr>
            <w:tcW w:w="1400" w:type="dxa"/>
            <w:vAlign w:val="bottom"/>
            <w:tcBorders>
              <w:bottom w:val="single" w:sz="8" w:color="888B8D"/>
            </w:tcBorders>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23"/>
        </w:trPr>
        <w:tc>
          <w:tcPr>
            <w:tcW w:w="5920" w:type="dxa"/>
            <w:vAlign w:val="bottom"/>
            <w:tcBorders>
              <w:bottom w:val="single" w:sz="8" w:color="888B8D"/>
            </w:tcBorders>
          </w:tcPr>
          <w:p>
            <w:pPr>
              <w:ind w:left="20"/>
              <w:spacing w:after="0"/>
              <w:rPr>
                <w:sz w:val="20"/>
                <w:szCs w:val="20"/>
                <w:color w:val="auto"/>
              </w:rPr>
            </w:pPr>
            <w:r>
              <w:rPr>
                <w:rFonts w:ascii="Arial" w:cs="Arial" w:eastAsia="Arial" w:hAnsi="Arial"/>
                <w:sz w:val="18"/>
                <w:szCs w:val="18"/>
                <w:color w:val="auto"/>
              </w:rPr>
              <w:t>Honeywell International Sdn. Bhd.</w:t>
            </w:r>
          </w:p>
        </w:tc>
        <w:tc>
          <w:tcPr>
            <w:tcW w:w="3880" w:type="dxa"/>
            <w:vAlign w:val="bottom"/>
            <w:tcBorders>
              <w:bottom w:val="single" w:sz="8" w:color="888B8D"/>
            </w:tcBorders>
          </w:tcPr>
          <w:p>
            <w:pPr>
              <w:jc w:val="center"/>
              <w:ind w:left="371"/>
              <w:spacing w:after="0"/>
              <w:rPr>
                <w:sz w:val="20"/>
                <w:szCs w:val="20"/>
                <w:color w:val="auto"/>
              </w:rPr>
            </w:pPr>
            <w:r>
              <w:rPr>
                <w:rFonts w:ascii="Arial" w:cs="Arial" w:eastAsia="Arial" w:hAnsi="Arial"/>
                <w:sz w:val="18"/>
                <w:szCs w:val="18"/>
                <w:color w:val="auto"/>
                <w:w w:val="98"/>
              </w:rPr>
              <w:t>Malaysia</w:t>
            </w:r>
          </w:p>
        </w:tc>
        <w:tc>
          <w:tcPr>
            <w:tcW w:w="1400" w:type="dxa"/>
            <w:vAlign w:val="bottom"/>
            <w:tcBorders>
              <w:bottom w:val="single" w:sz="8" w:color="888B8D"/>
            </w:tcBorders>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23"/>
        </w:trPr>
        <w:tc>
          <w:tcPr>
            <w:tcW w:w="5920" w:type="dxa"/>
            <w:vAlign w:val="bottom"/>
            <w:tcBorders>
              <w:bottom w:val="single" w:sz="8" w:color="888B8D"/>
            </w:tcBorders>
          </w:tcPr>
          <w:p>
            <w:pPr>
              <w:ind w:left="20"/>
              <w:spacing w:after="0"/>
              <w:rPr>
                <w:sz w:val="20"/>
                <w:szCs w:val="20"/>
                <w:color w:val="auto"/>
              </w:rPr>
            </w:pPr>
            <w:r>
              <w:rPr>
                <w:rFonts w:ascii="Arial" w:cs="Arial" w:eastAsia="Arial" w:hAnsi="Arial"/>
                <w:sz w:val="18"/>
                <w:szCs w:val="18"/>
                <w:color w:val="auto"/>
              </w:rPr>
              <w:t>Honeywell International UK Limited</w:t>
            </w:r>
          </w:p>
        </w:tc>
        <w:tc>
          <w:tcPr>
            <w:tcW w:w="3880" w:type="dxa"/>
            <w:vAlign w:val="bottom"/>
            <w:tcBorders>
              <w:bottom w:val="single" w:sz="8" w:color="888B8D"/>
            </w:tcBorders>
          </w:tcPr>
          <w:p>
            <w:pPr>
              <w:jc w:val="center"/>
              <w:ind w:left="351"/>
              <w:spacing w:after="0"/>
              <w:rPr>
                <w:sz w:val="20"/>
                <w:szCs w:val="20"/>
                <w:color w:val="auto"/>
              </w:rPr>
            </w:pPr>
            <w:r>
              <w:rPr>
                <w:rFonts w:ascii="Arial" w:cs="Arial" w:eastAsia="Arial" w:hAnsi="Arial"/>
                <w:sz w:val="18"/>
                <w:szCs w:val="18"/>
                <w:color w:val="auto"/>
                <w:w w:val="99"/>
              </w:rPr>
              <w:t>United Kingdom</w:t>
            </w:r>
          </w:p>
        </w:tc>
        <w:tc>
          <w:tcPr>
            <w:tcW w:w="1400" w:type="dxa"/>
            <w:vAlign w:val="bottom"/>
            <w:tcBorders>
              <w:bottom w:val="single" w:sz="8" w:color="888B8D"/>
            </w:tcBorders>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23"/>
        </w:trPr>
        <w:tc>
          <w:tcPr>
            <w:tcW w:w="5920" w:type="dxa"/>
            <w:vAlign w:val="bottom"/>
            <w:tcBorders>
              <w:bottom w:val="single" w:sz="8" w:color="888B8D"/>
            </w:tcBorders>
          </w:tcPr>
          <w:p>
            <w:pPr>
              <w:ind w:left="20"/>
              <w:spacing w:after="0"/>
              <w:rPr>
                <w:sz w:val="20"/>
                <w:szCs w:val="20"/>
                <w:color w:val="auto"/>
              </w:rPr>
            </w:pPr>
            <w:r>
              <w:rPr>
                <w:rFonts w:ascii="Arial" w:cs="Arial" w:eastAsia="Arial" w:hAnsi="Arial"/>
                <w:sz w:val="18"/>
                <w:szCs w:val="18"/>
                <w:color w:val="auto"/>
              </w:rPr>
              <w:t>Honeywell Japan Ltd.</w:t>
            </w:r>
          </w:p>
        </w:tc>
        <w:tc>
          <w:tcPr>
            <w:tcW w:w="3880" w:type="dxa"/>
            <w:vAlign w:val="bottom"/>
            <w:tcBorders>
              <w:bottom w:val="single" w:sz="8" w:color="888B8D"/>
            </w:tcBorders>
          </w:tcPr>
          <w:p>
            <w:pPr>
              <w:jc w:val="center"/>
              <w:ind w:left="371"/>
              <w:spacing w:after="0"/>
              <w:rPr>
                <w:sz w:val="20"/>
                <w:szCs w:val="20"/>
                <w:color w:val="auto"/>
              </w:rPr>
            </w:pPr>
            <w:r>
              <w:rPr>
                <w:rFonts w:ascii="Arial" w:cs="Arial" w:eastAsia="Arial" w:hAnsi="Arial"/>
                <w:sz w:val="18"/>
                <w:szCs w:val="18"/>
                <w:color w:val="auto"/>
              </w:rPr>
              <w:t>Japan</w:t>
            </w:r>
          </w:p>
        </w:tc>
        <w:tc>
          <w:tcPr>
            <w:tcW w:w="1400" w:type="dxa"/>
            <w:vAlign w:val="bottom"/>
            <w:tcBorders>
              <w:bottom w:val="single" w:sz="8" w:color="888B8D"/>
            </w:tcBorders>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23"/>
        </w:trPr>
        <w:tc>
          <w:tcPr>
            <w:tcW w:w="5920" w:type="dxa"/>
            <w:vAlign w:val="bottom"/>
            <w:tcBorders>
              <w:bottom w:val="single" w:sz="8" w:color="888B8D"/>
            </w:tcBorders>
          </w:tcPr>
          <w:p>
            <w:pPr>
              <w:ind w:left="20"/>
              <w:spacing w:after="0"/>
              <w:rPr>
                <w:sz w:val="20"/>
                <w:szCs w:val="20"/>
                <w:color w:val="auto"/>
              </w:rPr>
            </w:pPr>
            <w:r>
              <w:rPr>
                <w:rFonts w:ascii="Arial" w:cs="Arial" w:eastAsia="Arial" w:hAnsi="Arial"/>
                <w:sz w:val="18"/>
                <w:szCs w:val="18"/>
                <w:color w:val="auto"/>
              </w:rPr>
              <w:t>Honeywell Life Safety Romania SRL</w:t>
            </w:r>
          </w:p>
        </w:tc>
        <w:tc>
          <w:tcPr>
            <w:tcW w:w="3880" w:type="dxa"/>
            <w:vAlign w:val="bottom"/>
            <w:tcBorders>
              <w:bottom w:val="single" w:sz="8" w:color="888B8D"/>
            </w:tcBorders>
          </w:tcPr>
          <w:p>
            <w:pPr>
              <w:jc w:val="center"/>
              <w:ind w:left="351"/>
              <w:spacing w:after="0"/>
              <w:rPr>
                <w:sz w:val="20"/>
                <w:szCs w:val="20"/>
                <w:color w:val="auto"/>
              </w:rPr>
            </w:pPr>
            <w:r>
              <w:rPr>
                <w:rFonts w:ascii="Arial" w:cs="Arial" w:eastAsia="Arial" w:hAnsi="Arial"/>
                <w:sz w:val="18"/>
                <w:szCs w:val="18"/>
                <w:color w:val="auto"/>
                <w:w w:val="99"/>
              </w:rPr>
              <w:t>Romania</w:t>
            </w:r>
          </w:p>
        </w:tc>
        <w:tc>
          <w:tcPr>
            <w:tcW w:w="1400" w:type="dxa"/>
            <w:vAlign w:val="bottom"/>
            <w:tcBorders>
              <w:bottom w:val="single" w:sz="8" w:color="888B8D"/>
            </w:tcBorders>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23"/>
        </w:trPr>
        <w:tc>
          <w:tcPr>
            <w:tcW w:w="5920" w:type="dxa"/>
            <w:vAlign w:val="bottom"/>
            <w:tcBorders>
              <w:bottom w:val="single" w:sz="8" w:color="888B8D"/>
            </w:tcBorders>
          </w:tcPr>
          <w:p>
            <w:pPr>
              <w:ind w:left="20"/>
              <w:spacing w:after="0"/>
              <w:rPr>
                <w:sz w:val="20"/>
                <w:szCs w:val="20"/>
                <w:color w:val="auto"/>
              </w:rPr>
            </w:pPr>
            <w:r>
              <w:rPr>
                <w:rFonts w:ascii="Arial" w:cs="Arial" w:eastAsia="Arial" w:hAnsi="Arial"/>
                <w:sz w:val="18"/>
                <w:szCs w:val="18"/>
                <w:color w:val="auto"/>
              </w:rPr>
              <w:t>Honeywell Limited</w:t>
            </w:r>
          </w:p>
        </w:tc>
        <w:tc>
          <w:tcPr>
            <w:tcW w:w="3880" w:type="dxa"/>
            <w:vAlign w:val="bottom"/>
            <w:tcBorders>
              <w:bottom w:val="single" w:sz="8" w:color="888B8D"/>
            </w:tcBorders>
          </w:tcPr>
          <w:p>
            <w:pPr>
              <w:jc w:val="center"/>
              <w:ind w:left="371"/>
              <w:spacing w:after="0"/>
              <w:rPr>
                <w:sz w:val="20"/>
                <w:szCs w:val="20"/>
                <w:color w:val="auto"/>
              </w:rPr>
            </w:pPr>
            <w:r>
              <w:rPr>
                <w:rFonts w:ascii="Arial" w:cs="Arial" w:eastAsia="Arial" w:hAnsi="Arial"/>
                <w:sz w:val="18"/>
                <w:szCs w:val="18"/>
                <w:color w:val="auto"/>
                <w:w w:val="99"/>
              </w:rPr>
              <w:t>Australia</w:t>
            </w:r>
          </w:p>
        </w:tc>
        <w:tc>
          <w:tcPr>
            <w:tcW w:w="1400" w:type="dxa"/>
            <w:vAlign w:val="bottom"/>
            <w:tcBorders>
              <w:bottom w:val="single" w:sz="8" w:color="888B8D"/>
            </w:tcBorders>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23"/>
        </w:trPr>
        <w:tc>
          <w:tcPr>
            <w:tcW w:w="5920" w:type="dxa"/>
            <w:vAlign w:val="bottom"/>
            <w:tcBorders>
              <w:bottom w:val="single" w:sz="8" w:color="888B8D"/>
            </w:tcBorders>
          </w:tcPr>
          <w:p>
            <w:pPr>
              <w:ind w:left="20"/>
              <w:spacing w:after="0"/>
              <w:rPr>
                <w:sz w:val="20"/>
                <w:szCs w:val="20"/>
                <w:color w:val="auto"/>
              </w:rPr>
            </w:pPr>
            <w:r>
              <w:rPr>
                <w:rFonts w:ascii="Arial" w:cs="Arial" w:eastAsia="Arial" w:hAnsi="Arial"/>
                <w:sz w:val="18"/>
                <w:szCs w:val="18"/>
                <w:color w:val="auto"/>
              </w:rPr>
              <w:t>Honeywell Limited (Hong Kong)</w:t>
            </w:r>
          </w:p>
        </w:tc>
        <w:tc>
          <w:tcPr>
            <w:tcW w:w="3880" w:type="dxa"/>
            <w:vAlign w:val="bottom"/>
            <w:tcBorders>
              <w:bottom w:val="single" w:sz="8" w:color="888B8D"/>
            </w:tcBorders>
          </w:tcPr>
          <w:p>
            <w:pPr>
              <w:jc w:val="center"/>
              <w:ind w:left="371"/>
              <w:spacing w:after="0"/>
              <w:rPr>
                <w:sz w:val="20"/>
                <w:szCs w:val="20"/>
                <w:color w:val="auto"/>
              </w:rPr>
            </w:pPr>
            <w:r>
              <w:rPr>
                <w:rFonts w:ascii="Arial" w:cs="Arial" w:eastAsia="Arial" w:hAnsi="Arial"/>
                <w:sz w:val="18"/>
                <w:szCs w:val="18"/>
                <w:color w:val="auto"/>
                <w:w w:val="99"/>
              </w:rPr>
              <w:t>Hong Kong</w:t>
            </w:r>
          </w:p>
        </w:tc>
        <w:tc>
          <w:tcPr>
            <w:tcW w:w="1400" w:type="dxa"/>
            <w:vAlign w:val="bottom"/>
            <w:tcBorders>
              <w:bottom w:val="single" w:sz="8" w:color="888B8D"/>
            </w:tcBorders>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23"/>
        </w:trPr>
        <w:tc>
          <w:tcPr>
            <w:tcW w:w="5920" w:type="dxa"/>
            <w:vAlign w:val="bottom"/>
            <w:tcBorders>
              <w:bottom w:val="single" w:sz="8" w:color="888B8D"/>
            </w:tcBorders>
          </w:tcPr>
          <w:p>
            <w:pPr>
              <w:ind w:left="20"/>
              <w:spacing w:after="0"/>
              <w:rPr>
                <w:sz w:val="20"/>
                <w:szCs w:val="20"/>
                <w:color w:val="auto"/>
              </w:rPr>
            </w:pPr>
            <w:r>
              <w:rPr>
                <w:rFonts w:ascii="Arial" w:cs="Arial" w:eastAsia="Arial" w:hAnsi="Arial"/>
                <w:sz w:val="18"/>
                <w:szCs w:val="18"/>
                <w:color w:val="auto"/>
              </w:rPr>
              <w:t>Honeywell Limited/Honeywell Limitee</w:t>
            </w:r>
          </w:p>
        </w:tc>
        <w:tc>
          <w:tcPr>
            <w:tcW w:w="3880" w:type="dxa"/>
            <w:vAlign w:val="bottom"/>
            <w:tcBorders>
              <w:bottom w:val="single" w:sz="8" w:color="888B8D"/>
            </w:tcBorders>
          </w:tcPr>
          <w:p>
            <w:pPr>
              <w:jc w:val="center"/>
              <w:ind w:left="371"/>
              <w:spacing w:after="0"/>
              <w:rPr>
                <w:sz w:val="20"/>
                <w:szCs w:val="20"/>
                <w:color w:val="auto"/>
              </w:rPr>
            </w:pPr>
            <w:r>
              <w:rPr>
                <w:rFonts w:ascii="Arial" w:cs="Arial" w:eastAsia="Arial" w:hAnsi="Arial"/>
                <w:sz w:val="18"/>
                <w:szCs w:val="18"/>
                <w:color w:val="auto"/>
                <w:w w:val="98"/>
              </w:rPr>
              <w:t>Canada</w:t>
            </w:r>
          </w:p>
        </w:tc>
        <w:tc>
          <w:tcPr>
            <w:tcW w:w="1400" w:type="dxa"/>
            <w:vAlign w:val="bottom"/>
            <w:tcBorders>
              <w:bottom w:val="single" w:sz="8" w:color="888B8D"/>
            </w:tcBorders>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23"/>
        </w:trPr>
        <w:tc>
          <w:tcPr>
            <w:tcW w:w="5920" w:type="dxa"/>
            <w:vAlign w:val="bottom"/>
            <w:tcBorders>
              <w:bottom w:val="single" w:sz="8" w:color="888B8D"/>
            </w:tcBorders>
          </w:tcPr>
          <w:p>
            <w:pPr>
              <w:ind w:left="20"/>
              <w:spacing w:after="0"/>
              <w:rPr>
                <w:sz w:val="20"/>
                <w:szCs w:val="20"/>
                <w:color w:val="auto"/>
              </w:rPr>
            </w:pPr>
            <w:r>
              <w:rPr>
                <w:rFonts w:ascii="Arial" w:cs="Arial" w:eastAsia="Arial" w:hAnsi="Arial"/>
                <w:sz w:val="18"/>
                <w:szCs w:val="18"/>
                <w:color w:val="auto"/>
              </w:rPr>
              <w:t>Honeywell Middle East B.V.</w:t>
            </w:r>
          </w:p>
        </w:tc>
        <w:tc>
          <w:tcPr>
            <w:tcW w:w="3880" w:type="dxa"/>
            <w:vAlign w:val="bottom"/>
            <w:tcBorders>
              <w:bottom w:val="single" w:sz="8" w:color="888B8D"/>
            </w:tcBorders>
          </w:tcPr>
          <w:p>
            <w:pPr>
              <w:jc w:val="center"/>
              <w:ind w:left="371"/>
              <w:spacing w:after="0"/>
              <w:rPr>
                <w:sz w:val="20"/>
                <w:szCs w:val="20"/>
                <w:color w:val="auto"/>
              </w:rPr>
            </w:pPr>
            <w:r>
              <w:rPr>
                <w:rFonts w:ascii="Arial" w:cs="Arial" w:eastAsia="Arial" w:hAnsi="Arial"/>
                <w:sz w:val="18"/>
                <w:szCs w:val="18"/>
                <w:color w:val="auto"/>
              </w:rPr>
              <w:t>Netherlands</w:t>
            </w:r>
          </w:p>
        </w:tc>
        <w:tc>
          <w:tcPr>
            <w:tcW w:w="1400" w:type="dxa"/>
            <w:vAlign w:val="bottom"/>
            <w:tcBorders>
              <w:bottom w:val="single" w:sz="8" w:color="888B8D"/>
            </w:tcBorders>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23"/>
        </w:trPr>
        <w:tc>
          <w:tcPr>
            <w:tcW w:w="5920" w:type="dxa"/>
            <w:vAlign w:val="bottom"/>
            <w:tcBorders>
              <w:bottom w:val="single" w:sz="8" w:color="888B8D"/>
            </w:tcBorders>
          </w:tcPr>
          <w:p>
            <w:pPr>
              <w:ind w:left="20"/>
              <w:spacing w:after="0"/>
              <w:rPr>
                <w:sz w:val="20"/>
                <w:szCs w:val="20"/>
                <w:color w:val="auto"/>
              </w:rPr>
            </w:pPr>
            <w:r>
              <w:rPr>
                <w:rFonts w:ascii="Arial" w:cs="Arial" w:eastAsia="Arial" w:hAnsi="Arial"/>
                <w:sz w:val="18"/>
                <w:szCs w:val="18"/>
                <w:color w:val="auto"/>
              </w:rPr>
              <w:t>Honeywell Middle East FZE</w:t>
            </w:r>
          </w:p>
        </w:tc>
        <w:tc>
          <w:tcPr>
            <w:tcW w:w="3880" w:type="dxa"/>
            <w:vAlign w:val="bottom"/>
            <w:tcBorders>
              <w:bottom w:val="single" w:sz="8" w:color="888B8D"/>
            </w:tcBorders>
          </w:tcPr>
          <w:p>
            <w:pPr>
              <w:jc w:val="center"/>
              <w:ind w:left="371"/>
              <w:spacing w:after="0"/>
              <w:rPr>
                <w:sz w:val="20"/>
                <w:szCs w:val="20"/>
                <w:color w:val="auto"/>
              </w:rPr>
            </w:pPr>
            <w:r>
              <w:rPr>
                <w:rFonts w:ascii="Arial" w:cs="Arial" w:eastAsia="Arial" w:hAnsi="Arial"/>
                <w:sz w:val="18"/>
                <w:szCs w:val="18"/>
                <w:color w:val="auto"/>
                <w:w w:val="99"/>
              </w:rPr>
              <w:t>United Arab Emirates</w:t>
            </w:r>
          </w:p>
        </w:tc>
        <w:tc>
          <w:tcPr>
            <w:tcW w:w="1400" w:type="dxa"/>
            <w:vAlign w:val="bottom"/>
            <w:tcBorders>
              <w:bottom w:val="single" w:sz="8" w:color="888B8D"/>
            </w:tcBorders>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23"/>
        </w:trPr>
        <w:tc>
          <w:tcPr>
            <w:tcW w:w="5920" w:type="dxa"/>
            <w:vAlign w:val="bottom"/>
            <w:tcBorders>
              <w:bottom w:val="single" w:sz="8" w:color="888B8D"/>
            </w:tcBorders>
          </w:tcPr>
          <w:p>
            <w:pPr>
              <w:ind w:left="20"/>
              <w:spacing w:after="0"/>
              <w:rPr>
                <w:sz w:val="20"/>
                <w:szCs w:val="20"/>
                <w:color w:val="auto"/>
              </w:rPr>
            </w:pPr>
            <w:r>
              <w:rPr>
                <w:rFonts w:ascii="Arial" w:cs="Arial" w:eastAsia="Arial" w:hAnsi="Arial"/>
                <w:sz w:val="18"/>
                <w:szCs w:val="18"/>
                <w:color w:val="auto"/>
              </w:rPr>
              <w:t>Honeywell N.V. (Belgium)</w:t>
            </w:r>
          </w:p>
        </w:tc>
        <w:tc>
          <w:tcPr>
            <w:tcW w:w="3880" w:type="dxa"/>
            <w:vAlign w:val="bottom"/>
            <w:tcBorders>
              <w:bottom w:val="single" w:sz="8" w:color="888B8D"/>
            </w:tcBorders>
          </w:tcPr>
          <w:p>
            <w:pPr>
              <w:jc w:val="center"/>
              <w:ind w:left="371"/>
              <w:spacing w:after="0"/>
              <w:rPr>
                <w:sz w:val="20"/>
                <w:szCs w:val="20"/>
                <w:color w:val="auto"/>
              </w:rPr>
            </w:pPr>
            <w:r>
              <w:rPr>
                <w:rFonts w:ascii="Arial" w:cs="Arial" w:eastAsia="Arial" w:hAnsi="Arial"/>
                <w:sz w:val="18"/>
                <w:szCs w:val="18"/>
                <w:color w:val="auto"/>
              </w:rPr>
              <w:t>Belgium</w:t>
            </w:r>
          </w:p>
        </w:tc>
        <w:tc>
          <w:tcPr>
            <w:tcW w:w="1400" w:type="dxa"/>
            <w:vAlign w:val="bottom"/>
            <w:tcBorders>
              <w:bottom w:val="single" w:sz="8" w:color="888B8D"/>
            </w:tcBorders>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23"/>
        </w:trPr>
        <w:tc>
          <w:tcPr>
            <w:tcW w:w="5920" w:type="dxa"/>
            <w:vAlign w:val="bottom"/>
            <w:tcBorders>
              <w:bottom w:val="single" w:sz="8" w:color="888B8D"/>
            </w:tcBorders>
          </w:tcPr>
          <w:p>
            <w:pPr>
              <w:ind w:left="20"/>
              <w:spacing w:after="0"/>
              <w:rPr>
                <w:sz w:val="20"/>
                <w:szCs w:val="20"/>
                <w:color w:val="auto"/>
              </w:rPr>
            </w:pPr>
            <w:r>
              <w:rPr>
                <w:rFonts w:ascii="Arial" w:cs="Arial" w:eastAsia="Arial" w:hAnsi="Arial"/>
                <w:sz w:val="18"/>
                <w:szCs w:val="18"/>
                <w:color w:val="auto"/>
              </w:rPr>
              <w:t>Honeywell Performance Material and Tech. (China) Co. Ltd.</w:t>
            </w:r>
          </w:p>
        </w:tc>
        <w:tc>
          <w:tcPr>
            <w:tcW w:w="3880" w:type="dxa"/>
            <w:vAlign w:val="bottom"/>
            <w:tcBorders>
              <w:bottom w:val="single" w:sz="8" w:color="888B8D"/>
            </w:tcBorders>
          </w:tcPr>
          <w:p>
            <w:pPr>
              <w:jc w:val="center"/>
              <w:ind w:left="371"/>
              <w:spacing w:after="0"/>
              <w:rPr>
                <w:sz w:val="20"/>
                <w:szCs w:val="20"/>
                <w:color w:val="auto"/>
              </w:rPr>
            </w:pPr>
            <w:r>
              <w:rPr>
                <w:rFonts w:ascii="Arial" w:cs="Arial" w:eastAsia="Arial" w:hAnsi="Arial"/>
                <w:sz w:val="18"/>
                <w:szCs w:val="18"/>
                <w:color w:val="auto"/>
                <w:w w:val="97"/>
              </w:rPr>
              <w:t>China</w:t>
            </w:r>
          </w:p>
        </w:tc>
        <w:tc>
          <w:tcPr>
            <w:tcW w:w="1400" w:type="dxa"/>
            <w:vAlign w:val="bottom"/>
            <w:tcBorders>
              <w:bottom w:val="single" w:sz="8" w:color="888B8D"/>
            </w:tcBorders>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23"/>
        </w:trPr>
        <w:tc>
          <w:tcPr>
            <w:tcW w:w="5920" w:type="dxa"/>
            <w:vAlign w:val="bottom"/>
            <w:tcBorders>
              <w:bottom w:val="single" w:sz="8" w:color="888B8D"/>
            </w:tcBorders>
          </w:tcPr>
          <w:p>
            <w:pPr>
              <w:ind w:left="20"/>
              <w:spacing w:after="0"/>
              <w:rPr>
                <w:sz w:val="20"/>
                <w:szCs w:val="20"/>
                <w:color w:val="auto"/>
              </w:rPr>
            </w:pPr>
            <w:r>
              <w:rPr>
                <w:rFonts w:ascii="Arial" w:cs="Arial" w:eastAsia="Arial" w:hAnsi="Arial"/>
                <w:sz w:val="18"/>
                <w:szCs w:val="18"/>
                <w:color w:val="auto"/>
              </w:rPr>
              <w:t>Honeywell Performance Materials &amp; Technologies Korea Ltd</w:t>
            </w:r>
          </w:p>
        </w:tc>
        <w:tc>
          <w:tcPr>
            <w:tcW w:w="3880" w:type="dxa"/>
            <w:vAlign w:val="bottom"/>
            <w:tcBorders>
              <w:bottom w:val="single" w:sz="8" w:color="888B8D"/>
            </w:tcBorders>
          </w:tcPr>
          <w:p>
            <w:pPr>
              <w:jc w:val="center"/>
              <w:ind w:left="351"/>
              <w:spacing w:after="0"/>
              <w:rPr>
                <w:sz w:val="20"/>
                <w:szCs w:val="20"/>
                <w:color w:val="auto"/>
              </w:rPr>
            </w:pPr>
            <w:r>
              <w:rPr>
                <w:rFonts w:ascii="Arial" w:cs="Arial" w:eastAsia="Arial" w:hAnsi="Arial"/>
                <w:sz w:val="18"/>
                <w:szCs w:val="18"/>
                <w:color w:val="auto"/>
                <w:w w:val="99"/>
              </w:rPr>
              <w:t>Korea, Republic of</w:t>
            </w:r>
          </w:p>
        </w:tc>
        <w:tc>
          <w:tcPr>
            <w:tcW w:w="1400" w:type="dxa"/>
            <w:vAlign w:val="bottom"/>
            <w:tcBorders>
              <w:bottom w:val="single" w:sz="8" w:color="888B8D"/>
            </w:tcBorders>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23"/>
        </w:trPr>
        <w:tc>
          <w:tcPr>
            <w:tcW w:w="5920" w:type="dxa"/>
            <w:vAlign w:val="bottom"/>
            <w:tcBorders>
              <w:bottom w:val="single" w:sz="8" w:color="888B8D"/>
            </w:tcBorders>
          </w:tcPr>
          <w:p>
            <w:pPr>
              <w:ind w:left="20"/>
              <w:spacing w:after="0"/>
              <w:rPr>
                <w:sz w:val="20"/>
                <w:szCs w:val="20"/>
                <w:color w:val="auto"/>
              </w:rPr>
            </w:pPr>
            <w:r>
              <w:rPr>
                <w:rFonts w:ascii="Arial" w:cs="Arial" w:eastAsia="Arial" w:hAnsi="Arial"/>
                <w:sz w:val="18"/>
                <w:szCs w:val="18"/>
                <w:color w:val="auto"/>
              </w:rPr>
              <w:t>Honeywell Productivity Solutions B.V.</w:t>
            </w:r>
          </w:p>
        </w:tc>
        <w:tc>
          <w:tcPr>
            <w:tcW w:w="3880" w:type="dxa"/>
            <w:vAlign w:val="bottom"/>
            <w:tcBorders>
              <w:bottom w:val="single" w:sz="8" w:color="888B8D"/>
            </w:tcBorders>
          </w:tcPr>
          <w:p>
            <w:pPr>
              <w:jc w:val="center"/>
              <w:ind w:left="371"/>
              <w:spacing w:after="0"/>
              <w:rPr>
                <w:sz w:val="20"/>
                <w:szCs w:val="20"/>
                <w:color w:val="auto"/>
              </w:rPr>
            </w:pPr>
            <w:r>
              <w:rPr>
                <w:rFonts w:ascii="Arial" w:cs="Arial" w:eastAsia="Arial" w:hAnsi="Arial"/>
                <w:sz w:val="18"/>
                <w:szCs w:val="18"/>
                <w:color w:val="auto"/>
              </w:rPr>
              <w:t>Netherlands</w:t>
            </w:r>
          </w:p>
        </w:tc>
        <w:tc>
          <w:tcPr>
            <w:tcW w:w="1400" w:type="dxa"/>
            <w:vAlign w:val="bottom"/>
            <w:tcBorders>
              <w:bottom w:val="single" w:sz="8" w:color="888B8D"/>
            </w:tcBorders>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23"/>
        </w:trPr>
        <w:tc>
          <w:tcPr>
            <w:tcW w:w="5920" w:type="dxa"/>
            <w:vAlign w:val="bottom"/>
            <w:tcBorders>
              <w:bottom w:val="single" w:sz="8" w:color="888B8D"/>
            </w:tcBorders>
          </w:tcPr>
          <w:p>
            <w:pPr>
              <w:ind w:left="20"/>
              <w:spacing w:after="0"/>
              <w:rPr>
                <w:sz w:val="20"/>
                <w:szCs w:val="20"/>
                <w:color w:val="auto"/>
              </w:rPr>
            </w:pPr>
            <w:r>
              <w:rPr>
                <w:rFonts w:ascii="Arial" w:cs="Arial" w:eastAsia="Arial" w:hAnsi="Arial"/>
                <w:sz w:val="18"/>
                <w:szCs w:val="18"/>
                <w:color w:val="auto"/>
              </w:rPr>
              <w:t>Honeywell Products &amp; Solutions Sarl</w:t>
            </w:r>
          </w:p>
        </w:tc>
        <w:tc>
          <w:tcPr>
            <w:tcW w:w="3880" w:type="dxa"/>
            <w:vAlign w:val="bottom"/>
            <w:tcBorders>
              <w:bottom w:val="single" w:sz="8" w:color="888B8D"/>
            </w:tcBorders>
          </w:tcPr>
          <w:p>
            <w:pPr>
              <w:jc w:val="center"/>
              <w:ind w:left="371"/>
              <w:spacing w:after="0"/>
              <w:rPr>
                <w:sz w:val="20"/>
                <w:szCs w:val="20"/>
                <w:color w:val="auto"/>
              </w:rPr>
            </w:pPr>
            <w:r>
              <w:rPr>
                <w:rFonts w:ascii="Arial" w:cs="Arial" w:eastAsia="Arial" w:hAnsi="Arial"/>
                <w:sz w:val="18"/>
                <w:szCs w:val="18"/>
                <w:color w:val="auto"/>
              </w:rPr>
              <w:t>Switzerland</w:t>
            </w:r>
          </w:p>
        </w:tc>
        <w:tc>
          <w:tcPr>
            <w:tcW w:w="1400" w:type="dxa"/>
            <w:vAlign w:val="bottom"/>
            <w:tcBorders>
              <w:bottom w:val="single" w:sz="8" w:color="888B8D"/>
            </w:tcBorders>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23"/>
        </w:trPr>
        <w:tc>
          <w:tcPr>
            <w:tcW w:w="5920" w:type="dxa"/>
            <w:vAlign w:val="bottom"/>
            <w:tcBorders>
              <w:bottom w:val="single" w:sz="8" w:color="888B8D"/>
            </w:tcBorders>
          </w:tcPr>
          <w:p>
            <w:pPr>
              <w:ind w:left="20"/>
              <w:spacing w:after="0"/>
              <w:rPr>
                <w:sz w:val="20"/>
                <w:szCs w:val="20"/>
                <w:color w:val="auto"/>
              </w:rPr>
            </w:pPr>
            <w:r>
              <w:rPr>
                <w:rFonts w:ascii="Arial" w:cs="Arial" w:eastAsia="Arial" w:hAnsi="Arial"/>
                <w:sz w:val="18"/>
                <w:szCs w:val="18"/>
                <w:color w:val="auto"/>
              </w:rPr>
              <w:t>Honeywell Pte. Ltd.</w:t>
            </w:r>
          </w:p>
        </w:tc>
        <w:tc>
          <w:tcPr>
            <w:tcW w:w="3880" w:type="dxa"/>
            <w:vAlign w:val="bottom"/>
            <w:tcBorders>
              <w:bottom w:val="single" w:sz="8" w:color="888B8D"/>
            </w:tcBorders>
          </w:tcPr>
          <w:p>
            <w:pPr>
              <w:jc w:val="center"/>
              <w:ind w:left="371"/>
              <w:spacing w:after="0"/>
              <w:rPr>
                <w:sz w:val="20"/>
                <w:szCs w:val="20"/>
                <w:color w:val="auto"/>
              </w:rPr>
            </w:pPr>
            <w:r>
              <w:rPr>
                <w:rFonts w:ascii="Arial" w:cs="Arial" w:eastAsia="Arial" w:hAnsi="Arial"/>
                <w:sz w:val="18"/>
                <w:szCs w:val="18"/>
                <w:color w:val="auto"/>
                <w:w w:val="99"/>
              </w:rPr>
              <w:t>Singapore</w:t>
            </w:r>
          </w:p>
        </w:tc>
        <w:tc>
          <w:tcPr>
            <w:tcW w:w="1400" w:type="dxa"/>
            <w:vAlign w:val="bottom"/>
            <w:tcBorders>
              <w:bottom w:val="single" w:sz="8" w:color="888B8D"/>
            </w:tcBorders>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23"/>
        </w:trPr>
        <w:tc>
          <w:tcPr>
            <w:tcW w:w="5920" w:type="dxa"/>
            <w:vAlign w:val="bottom"/>
            <w:tcBorders>
              <w:bottom w:val="single" w:sz="8" w:color="888B8D"/>
            </w:tcBorders>
          </w:tcPr>
          <w:p>
            <w:pPr>
              <w:ind w:left="20"/>
              <w:spacing w:after="0"/>
              <w:rPr>
                <w:sz w:val="20"/>
                <w:szCs w:val="20"/>
                <w:color w:val="auto"/>
              </w:rPr>
            </w:pPr>
            <w:r>
              <w:rPr>
                <w:rFonts w:ascii="Arial" w:cs="Arial" w:eastAsia="Arial" w:hAnsi="Arial"/>
                <w:sz w:val="18"/>
                <w:szCs w:val="18"/>
                <w:color w:val="auto"/>
              </w:rPr>
              <w:t>Honeywell S.A.S</w:t>
            </w:r>
          </w:p>
        </w:tc>
        <w:tc>
          <w:tcPr>
            <w:tcW w:w="3880" w:type="dxa"/>
            <w:vAlign w:val="bottom"/>
            <w:tcBorders>
              <w:bottom w:val="single" w:sz="8" w:color="888B8D"/>
            </w:tcBorders>
          </w:tcPr>
          <w:p>
            <w:pPr>
              <w:jc w:val="center"/>
              <w:ind w:left="351"/>
              <w:spacing w:after="0"/>
              <w:rPr>
                <w:sz w:val="20"/>
                <w:szCs w:val="20"/>
                <w:color w:val="auto"/>
              </w:rPr>
            </w:pPr>
            <w:r>
              <w:rPr>
                <w:rFonts w:ascii="Arial" w:cs="Arial" w:eastAsia="Arial" w:hAnsi="Arial"/>
                <w:sz w:val="18"/>
                <w:szCs w:val="18"/>
                <w:color w:val="auto"/>
                <w:w w:val="99"/>
              </w:rPr>
              <w:t>France</w:t>
            </w:r>
          </w:p>
        </w:tc>
        <w:tc>
          <w:tcPr>
            <w:tcW w:w="1400" w:type="dxa"/>
            <w:vAlign w:val="bottom"/>
            <w:tcBorders>
              <w:bottom w:val="single" w:sz="8" w:color="888B8D"/>
            </w:tcBorders>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23"/>
        </w:trPr>
        <w:tc>
          <w:tcPr>
            <w:tcW w:w="5920" w:type="dxa"/>
            <w:vAlign w:val="bottom"/>
            <w:tcBorders>
              <w:bottom w:val="single" w:sz="8" w:color="888B8D"/>
            </w:tcBorders>
          </w:tcPr>
          <w:p>
            <w:pPr>
              <w:ind w:left="20"/>
              <w:spacing w:after="0"/>
              <w:rPr>
                <w:sz w:val="20"/>
                <w:szCs w:val="20"/>
                <w:color w:val="auto"/>
              </w:rPr>
            </w:pPr>
            <w:r>
              <w:rPr>
                <w:rFonts w:ascii="Arial" w:cs="Arial" w:eastAsia="Arial" w:hAnsi="Arial"/>
                <w:sz w:val="18"/>
                <w:szCs w:val="18"/>
                <w:color w:val="auto"/>
              </w:rPr>
              <w:t>Honeywell S.L.</w:t>
            </w:r>
          </w:p>
        </w:tc>
        <w:tc>
          <w:tcPr>
            <w:tcW w:w="3880" w:type="dxa"/>
            <w:vAlign w:val="bottom"/>
            <w:tcBorders>
              <w:bottom w:val="single" w:sz="8" w:color="888B8D"/>
            </w:tcBorders>
          </w:tcPr>
          <w:p>
            <w:pPr>
              <w:jc w:val="center"/>
              <w:ind w:left="371"/>
              <w:spacing w:after="0"/>
              <w:rPr>
                <w:sz w:val="20"/>
                <w:szCs w:val="20"/>
                <w:color w:val="auto"/>
              </w:rPr>
            </w:pPr>
            <w:r>
              <w:rPr>
                <w:rFonts w:ascii="Arial" w:cs="Arial" w:eastAsia="Arial" w:hAnsi="Arial"/>
                <w:sz w:val="18"/>
                <w:szCs w:val="18"/>
                <w:color w:val="auto"/>
                <w:w w:val="99"/>
              </w:rPr>
              <w:t>Spain</w:t>
            </w:r>
          </w:p>
        </w:tc>
        <w:tc>
          <w:tcPr>
            <w:tcW w:w="1400" w:type="dxa"/>
            <w:vAlign w:val="bottom"/>
            <w:tcBorders>
              <w:bottom w:val="single" w:sz="8" w:color="888B8D"/>
            </w:tcBorders>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23"/>
        </w:trPr>
        <w:tc>
          <w:tcPr>
            <w:tcW w:w="5920" w:type="dxa"/>
            <w:vAlign w:val="bottom"/>
            <w:tcBorders>
              <w:bottom w:val="single" w:sz="8" w:color="888B8D"/>
            </w:tcBorders>
          </w:tcPr>
          <w:p>
            <w:pPr>
              <w:ind w:left="20"/>
              <w:spacing w:after="0"/>
              <w:rPr>
                <w:sz w:val="20"/>
                <w:szCs w:val="20"/>
                <w:color w:val="auto"/>
              </w:rPr>
            </w:pPr>
            <w:r>
              <w:rPr>
                <w:rFonts w:ascii="Arial" w:cs="Arial" w:eastAsia="Arial" w:hAnsi="Arial"/>
                <w:sz w:val="18"/>
                <w:szCs w:val="18"/>
                <w:color w:val="auto"/>
              </w:rPr>
              <w:t>Honeywell S.r.l.</w:t>
            </w:r>
          </w:p>
        </w:tc>
        <w:tc>
          <w:tcPr>
            <w:tcW w:w="3880" w:type="dxa"/>
            <w:vAlign w:val="bottom"/>
            <w:tcBorders>
              <w:bottom w:val="single" w:sz="8" w:color="888B8D"/>
            </w:tcBorders>
          </w:tcPr>
          <w:p>
            <w:pPr>
              <w:jc w:val="center"/>
              <w:ind w:left="371"/>
              <w:spacing w:after="0"/>
              <w:rPr>
                <w:sz w:val="20"/>
                <w:szCs w:val="20"/>
                <w:color w:val="auto"/>
              </w:rPr>
            </w:pPr>
            <w:r>
              <w:rPr>
                <w:rFonts w:ascii="Arial" w:cs="Arial" w:eastAsia="Arial" w:hAnsi="Arial"/>
                <w:sz w:val="18"/>
                <w:szCs w:val="18"/>
                <w:color w:val="auto"/>
              </w:rPr>
              <w:t>Italy</w:t>
            </w:r>
          </w:p>
        </w:tc>
        <w:tc>
          <w:tcPr>
            <w:tcW w:w="1400" w:type="dxa"/>
            <w:vAlign w:val="bottom"/>
            <w:tcBorders>
              <w:bottom w:val="single" w:sz="8" w:color="888B8D"/>
            </w:tcBorders>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23"/>
        </w:trPr>
        <w:tc>
          <w:tcPr>
            <w:tcW w:w="5920" w:type="dxa"/>
            <w:vAlign w:val="bottom"/>
            <w:tcBorders>
              <w:bottom w:val="single" w:sz="8" w:color="888B8D"/>
            </w:tcBorders>
          </w:tcPr>
          <w:p>
            <w:pPr>
              <w:ind w:left="20"/>
              <w:spacing w:after="0"/>
              <w:rPr>
                <w:sz w:val="20"/>
                <w:szCs w:val="20"/>
                <w:color w:val="auto"/>
              </w:rPr>
            </w:pPr>
            <w:r>
              <w:rPr>
                <w:rFonts w:ascii="Arial" w:cs="Arial" w:eastAsia="Arial" w:hAnsi="Arial"/>
                <w:sz w:val="18"/>
                <w:szCs w:val="18"/>
                <w:color w:val="auto"/>
              </w:rPr>
              <w:t>Honeywell Safety Products Europe SAS</w:t>
            </w:r>
          </w:p>
        </w:tc>
        <w:tc>
          <w:tcPr>
            <w:tcW w:w="3880" w:type="dxa"/>
            <w:vAlign w:val="bottom"/>
            <w:tcBorders>
              <w:bottom w:val="single" w:sz="8" w:color="888B8D"/>
            </w:tcBorders>
          </w:tcPr>
          <w:p>
            <w:pPr>
              <w:jc w:val="center"/>
              <w:ind w:left="351"/>
              <w:spacing w:after="0"/>
              <w:rPr>
                <w:sz w:val="20"/>
                <w:szCs w:val="20"/>
                <w:color w:val="auto"/>
              </w:rPr>
            </w:pPr>
            <w:r>
              <w:rPr>
                <w:rFonts w:ascii="Arial" w:cs="Arial" w:eastAsia="Arial" w:hAnsi="Arial"/>
                <w:sz w:val="18"/>
                <w:szCs w:val="18"/>
                <w:color w:val="auto"/>
                <w:w w:val="99"/>
              </w:rPr>
              <w:t>France</w:t>
            </w:r>
          </w:p>
        </w:tc>
        <w:tc>
          <w:tcPr>
            <w:tcW w:w="1400" w:type="dxa"/>
            <w:vAlign w:val="bottom"/>
            <w:tcBorders>
              <w:bottom w:val="single" w:sz="8" w:color="888B8D"/>
            </w:tcBorders>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23"/>
        </w:trPr>
        <w:tc>
          <w:tcPr>
            <w:tcW w:w="5920" w:type="dxa"/>
            <w:vAlign w:val="bottom"/>
            <w:tcBorders>
              <w:bottom w:val="single" w:sz="8" w:color="888B8D"/>
            </w:tcBorders>
          </w:tcPr>
          <w:p>
            <w:pPr>
              <w:ind w:left="20"/>
              <w:spacing w:after="0"/>
              <w:rPr>
                <w:sz w:val="20"/>
                <w:szCs w:val="20"/>
                <w:color w:val="auto"/>
              </w:rPr>
            </w:pPr>
            <w:r>
              <w:rPr>
                <w:rFonts w:ascii="Arial" w:cs="Arial" w:eastAsia="Arial" w:hAnsi="Arial"/>
                <w:sz w:val="18"/>
                <w:szCs w:val="18"/>
                <w:color w:val="auto"/>
              </w:rPr>
              <w:t>Honeywell Safety Products USA, Inc.</w:t>
            </w:r>
          </w:p>
        </w:tc>
        <w:tc>
          <w:tcPr>
            <w:tcW w:w="3880" w:type="dxa"/>
            <w:vAlign w:val="bottom"/>
            <w:tcBorders>
              <w:bottom w:val="single" w:sz="8" w:color="888B8D"/>
            </w:tcBorders>
          </w:tcPr>
          <w:p>
            <w:pPr>
              <w:jc w:val="center"/>
              <w:ind w:left="351"/>
              <w:spacing w:after="0"/>
              <w:rPr>
                <w:sz w:val="20"/>
                <w:szCs w:val="20"/>
                <w:color w:val="auto"/>
              </w:rPr>
            </w:pPr>
            <w:r>
              <w:rPr>
                <w:rFonts w:ascii="Arial" w:cs="Arial" w:eastAsia="Arial" w:hAnsi="Arial"/>
                <w:sz w:val="18"/>
                <w:szCs w:val="18"/>
                <w:color w:val="auto"/>
                <w:w w:val="99"/>
              </w:rPr>
              <w:t>Delaware</w:t>
            </w:r>
          </w:p>
        </w:tc>
        <w:tc>
          <w:tcPr>
            <w:tcW w:w="1400" w:type="dxa"/>
            <w:vAlign w:val="bottom"/>
            <w:tcBorders>
              <w:bottom w:val="single" w:sz="8" w:color="888B8D"/>
            </w:tcBorders>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23"/>
        </w:trPr>
        <w:tc>
          <w:tcPr>
            <w:tcW w:w="5920" w:type="dxa"/>
            <w:vAlign w:val="bottom"/>
            <w:tcBorders>
              <w:bottom w:val="single" w:sz="8" w:color="888B8D"/>
            </w:tcBorders>
          </w:tcPr>
          <w:p>
            <w:pPr>
              <w:ind w:left="20"/>
              <w:spacing w:after="0"/>
              <w:rPr>
                <w:sz w:val="20"/>
                <w:szCs w:val="20"/>
                <w:color w:val="auto"/>
              </w:rPr>
            </w:pPr>
            <w:r>
              <w:rPr>
                <w:rFonts w:ascii="Arial" w:cs="Arial" w:eastAsia="Arial" w:hAnsi="Arial"/>
                <w:sz w:val="18"/>
                <w:szCs w:val="18"/>
                <w:color w:val="auto"/>
              </w:rPr>
              <w:t>Honeywell Sensing and Control China Co Ltd</w:t>
            </w:r>
          </w:p>
        </w:tc>
        <w:tc>
          <w:tcPr>
            <w:tcW w:w="3880" w:type="dxa"/>
            <w:vAlign w:val="bottom"/>
            <w:tcBorders>
              <w:bottom w:val="single" w:sz="8" w:color="888B8D"/>
            </w:tcBorders>
          </w:tcPr>
          <w:p>
            <w:pPr>
              <w:jc w:val="center"/>
              <w:ind w:left="371"/>
              <w:spacing w:after="0"/>
              <w:rPr>
                <w:sz w:val="20"/>
                <w:szCs w:val="20"/>
                <w:color w:val="auto"/>
              </w:rPr>
            </w:pPr>
            <w:r>
              <w:rPr>
                <w:rFonts w:ascii="Arial" w:cs="Arial" w:eastAsia="Arial" w:hAnsi="Arial"/>
                <w:sz w:val="18"/>
                <w:szCs w:val="18"/>
                <w:color w:val="auto"/>
                <w:w w:val="97"/>
              </w:rPr>
              <w:t>China</w:t>
            </w:r>
          </w:p>
        </w:tc>
        <w:tc>
          <w:tcPr>
            <w:tcW w:w="1400" w:type="dxa"/>
            <w:vAlign w:val="bottom"/>
            <w:tcBorders>
              <w:bottom w:val="single" w:sz="8" w:color="888B8D"/>
            </w:tcBorders>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23"/>
        </w:trPr>
        <w:tc>
          <w:tcPr>
            <w:tcW w:w="5920" w:type="dxa"/>
            <w:vAlign w:val="bottom"/>
            <w:tcBorders>
              <w:bottom w:val="single" w:sz="8" w:color="888B8D"/>
            </w:tcBorders>
          </w:tcPr>
          <w:p>
            <w:pPr>
              <w:ind w:left="20"/>
              <w:spacing w:after="0"/>
              <w:rPr>
                <w:sz w:val="20"/>
                <w:szCs w:val="20"/>
                <w:color w:val="auto"/>
              </w:rPr>
            </w:pPr>
            <w:r>
              <w:rPr>
                <w:rFonts w:ascii="Arial" w:cs="Arial" w:eastAsia="Arial" w:hAnsi="Arial"/>
                <w:sz w:val="18"/>
                <w:szCs w:val="18"/>
                <w:color w:val="auto"/>
              </w:rPr>
              <w:t>Honeywell Specialty Chemicals Seelze GmbH</w:t>
            </w:r>
          </w:p>
        </w:tc>
        <w:tc>
          <w:tcPr>
            <w:tcW w:w="3880" w:type="dxa"/>
            <w:vAlign w:val="bottom"/>
            <w:tcBorders>
              <w:bottom w:val="single" w:sz="8" w:color="888B8D"/>
            </w:tcBorders>
          </w:tcPr>
          <w:p>
            <w:pPr>
              <w:jc w:val="center"/>
              <w:ind w:left="371"/>
              <w:spacing w:after="0"/>
              <w:rPr>
                <w:sz w:val="20"/>
                <w:szCs w:val="20"/>
                <w:color w:val="auto"/>
              </w:rPr>
            </w:pPr>
            <w:r>
              <w:rPr>
                <w:rFonts w:ascii="Arial" w:cs="Arial" w:eastAsia="Arial" w:hAnsi="Arial"/>
                <w:sz w:val="18"/>
                <w:szCs w:val="18"/>
                <w:color w:val="auto"/>
                <w:w w:val="99"/>
              </w:rPr>
              <w:t>Germany</w:t>
            </w:r>
          </w:p>
        </w:tc>
        <w:tc>
          <w:tcPr>
            <w:tcW w:w="1400" w:type="dxa"/>
            <w:vAlign w:val="bottom"/>
            <w:tcBorders>
              <w:bottom w:val="single" w:sz="8" w:color="888B8D"/>
            </w:tcBorders>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23"/>
        </w:trPr>
        <w:tc>
          <w:tcPr>
            <w:tcW w:w="5920" w:type="dxa"/>
            <w:vAlign w:val="bottom"/>
            <w:tcBorders>
              <w:bottom w:val="single" w:sz="8" w:color="888B8D"/>
            </w:tcBorders>
          </w:tcPr>
          <w:p>
            <w:pPr>
              <w:ind w:left="20"/>
              <w:spacing w:after="0"/>
              <w:rPr>
                <w:sz w:val="20"/>
                <w:szCs w:val="20"/>
                <w:color w:val="auto"/>
              </w:rPr>
            </w:pPr>
            <w:r>
              <w:rPr>
                <w:rFonts w:ascii="Arial" w:cs="Arial" w:eastAsia="Arial" w:hAnsi="Arial"/>
                <w:sz w:val="18"/>
                <w:szCs w:val="18"/>
                <w:color w:val="auto"/>
              </w:rPr>
              <w:t>Honeywell spol. s.r.o.</w:t>
            </w:r>
          </w:p>
        </w:tc>
        <w:tc>
          <w:tcPr>
            <w:tcW w:w="3880" w:type="dxa"/>
            <w:vAlign w:val="bottom"/>
            <w:tcBorders>
              <w:bottom w:val="single" w:sz="8" w:color="888B8D"/>
            </w:tcBorders>
          </w:tcPr>
          <w:p>
            <w:pPr>
              <w:jc w:val="center"/>
              <w:ind w:left="371"/>
              <w:spacing w:after="0"/>
              <w:rPr>
                <w:sz w:val="20"/>
                <w:szCs w:val="20"/>
                <w:color w:val="auto"/>
              </w:rPr>
            </w:pPr>
            <w:r>
              <w:rPr>
                <w:rFonts w:ascii="Arial" w:cs="Arial" w:eastAsia="Arial" w:hAnsi="Arial"/>
                <w:sz w:val="18"/>
                <w:szCs w:val="18"/>
                <w:color w:val="auto"/>
                <w:w w:val="99"/>
              </w:rPr>
              <w:t>Czech Republic</w:t>
            </w:r>
          </w:p>
        </w:tc>
        <w:tc>
          <w:tcPr>
            <w:tcW w:w="1400" w:type="dxa"/>
            <w:vAlign w:val="bottom"/>
            <w:tcBorders>
              <w:bottom w:val="single" w:sz="8" w:color="888B8D"/>
            </w:tcBorders>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23"/>
        </w:trPr>
        <w:tc>
          <w:tcPr>
            <w:tcW w:w="5920" w:type="dxa"/>
            <w:vAlign w:val="bottom"/>
            <w:tcBorders>
              <w:bottom w:val="single" w:sz="8" w:color="888B8D"/>
            </w:tcBorders>
          </w:tcPr>
          <w:p>
            <w:pPr>
              <w:ind w:left="20"/>
              <w:spacing w:after="0"/>
              <w:rPr>
                <w:sz w:val="20"/>
                <w:szCs w:val="20"/>
                <w:color w:val="auto"/>
              </w:rPr>
            </w:pPr>
            <w:r>
              <w:rPr>
                <w:rFonts w:ascii="Arial" w:cs="Arial" w:eastAsia="Arial" w:hAnsi="Arial"/>
                <w:sz w:val="18"/>
                <w:szCs w:val="18"/>
                <w:color w:val="auto"/>
              </w:rPr>
              <w:t>Honeywell Taiwan Limited</w:t>
            </w:r>
          </w:p>
        </w:tc>
        <w:tc>
          <w:tcPr>
            <w:tcW w:w="3880" w:type="dxa"/>
            <w:vAlign w:val="bottom"/>
            <w:tcBorders>
              <w:bottom w:val="single" w:sz="8" w:color="888B8D"/>
            </w:tcBorders>
          </w:tcPr>
          <w:p>
            <w:pPr>
              <w:jc w:val="center"/>
              <w:ind w:left="371"/>
              <w:spacing w:after="0"/>
              <w:rPr>
                <w:sz w:val="20"/>
                <w:szCs w:val="20"/>
                <w:color w:val="auto"/>
              </w:rPr>
            </w:pPr>
            <w:r>
              <w:rPr>
                <w:rFonts w:ascii="Arial" w:cs="Arial" w:eastAsia="Arial" w:hAnsi="Arial"/>
                <w:sz w:val="18"/>
                <w:szCs w:val="18"/>
                <w:color w:val="auto"/>
                <w:w w:val="98"/>
              </w:rPr>
              <w:t>Taiwan (Province of China)</w:t>
            </w:r>
          </w:p>
        </w:tc>
        <w:tc>
          <w:tcPr>
            <w:tcW w:w="1400" w:type="dxa"/>
            <w:vAlign w:val="bottom"/>
            <w:tcBorders>
              <w:bottom w:val="single" w:sz="8" w:color="888B8D"/>
            </w:tcBorders>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23"/>
        </w:trPr>
        <w:tc>
          <w:tcPr>
            <w:tcW w:w="5920" w:type="dxa"/>
            <w:vAlign w:val="bottom"/>
            <w:tcBorders>
              <w:bottom w:val="single" w:sz="8" w:color="888B8D"/>
            </w:tcBorders>
          </w:tcPr>
          <w:p>
            <w:pPr>
              <w:ind w:left="20"/>
              <w:spacing w:after="0"/>
              <w:rPr>
                <w:sz w:val="20"/>
                <w:szCs w:val="20"/>
                <w:color w:val="auto"/>
              </w:rPr>
            </w:pPr>
            <w:r>
              <w:rPr>
                <w:rFonts w:ascii="Arial" w:cs="Arial" w:eastAsia="Arial" w:hAnsi="Arial"/>
                <w:sz w:val="18"/>
                <w:szCs w:val="18"/>
                <w:color w:val="auto"/>
              </w:rPr>
              <w:t>Honeywell Technology Solutions Lab Private Limited</w:t>
            </w:r>
          </w:p>
        </w:tc>
        <w:tc>
          <w:tcPr>
            <w:tcW w:w="3880" w:type="dxa"/>
            <w:vAlign w:val="bottom"/>
            <w:tcBorders>
              <w:bottom w:val="single" w:sz="8" w:color="888B8D"/>
            </w:tcBorders>
          </w:tcPr>
          <w:p>
            <w:pPr>
              <w:jc w:val="center"/>
              <w:ind w:left="371"/>
              <w:spacing w:after="0"/>
              <w:rPr>
                <w:sz w:val="20"/>
                <w:szCs w:val="20"/>
                <w:color w:val="auto"/>
              </w:rPr>
            </w:pPr>
            <w:r>
              <w:rPr>
                <w:rFonts w:ascii="Arial" w:cs="Arial" w:eastAsia="Arial" w:hAnsi="Arial"/>
                <w:sz w:val="18"/>
                <w:szCs w:val="18"/>
                <w:color w:val="auto"/>
                <w:w w:val="97"/>
              </w:rPr>
              <w:t>India</w:t>
            </w:r>
          </w:p>
        </w:tc>
        <w:tc>
          <w:tcPr>
            <w:tcW w:w="1400" w:type="dxa"/>
            <w:vAlign w:val="bottom"/>
            <w:tcBorders>
              <w:bottom w:val="single" w:sz="8" w:color="888B8D"/>
            </w:tcBorders>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23"/>
        </w:trPr>
        <w:tc>
          <w:tcPr>
            <w:tcW w:w="5920" w:type="dxa"/>
            <w:vAlign w:val="bottom"/>
            <w:tcBorders>
              <w:bottom w:val="single" w:sz="8" w:color="888B8D"/>
            </w:tcBorders>
          </w:tcPr>
          <w:p>
            <w:pPr>
              <w:ind w:left="20"/>
              <w:spacing w:after="0"/>
              <w:rPr>
                <w:sz w:val="20"/>
                <w:szCs w:val="20"/>
                <w:color w:val="auto"/>
              </w:rPr>
            </w:pPr>
            <w:r>
              <w:rPr>
                <w:rFonts w:ascii="Arial" w:cs="Arial" w:eastAsia="Arial" w:hAnsi="Arial"/>
                <w:sz w:val="18"/>
                <w:szCs w:val="18"/>
                <w:color w:val="auto"/>
              </w:rPr>
              <w:t>Honeywell Teknoloji Anonim Sirketi</w:t>
            </w:r>
          </w:p>
        </w:tc>
        <w:tc>
          <w:tcPr>
            <w:tcW w:w="3880" w:type="dxa"/>
            <w:vAlign w:val="bottom"/>
            <w:tcBorders>
              <w:bottom w:val="single" w:sz="8" w:color="888B8D"/>
            </w:tcBorders>
          </w:tcPr>
          <w:p>
            <w:pPr>
              <w:jc w:val="center"/>
              <w:ind w:left="371"/>
              <w:spacing w:after="0"/>
              <w:rPr>
                <w:sz w:val="20"/>
                <w:szCs w:val="20"/>
                <w:color w:val="auto"/>
              </w:rPr>
            </w:pPr>
            <w:r>
              <w:rPr>
                <w:rFonts w:ascii="Arial" w:cs="Arial" w:eastAsia="Arial" w:hAnsi="Arial"/>
                <w:sz w:val="18"/>
                <w:szCs w:val="18"/>
                <w:color w:val="auto"/>
                <w:w w:val="98"/>
              </w:rPr>
              <w:t>Turkey</w:t>
            </w:r>
          </w:p>
        </w:tc>
        <w:tc>
          <w:tcPr>
            <w:tcW w:w="1400" w:type="dxa"/>
            <w:vAlign w:val="bottom"/>
            <w:tcBorders>
              <w:bottom w:val="single" w:sz="8" w:color="888B8D"/>
            </w:tcBorders>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23"/>
        </w:trPr>
        <w:tc>
          <w:tcPr>
            <w:tcW w:w="5920" w:type="dxa"/>
            <w:vAlign w:val="bottom"/>
            <w:tcBorders>
              <w:bottom w:val="single" w:sz="8" w:color="888B8D"/>
            </w:tcBorders>
          </w:tcPr>
          <w:p>
            <w:pPr>
              <w:ind w:left="20"/>
              <w:spacing w:after="0"/>
              <w:rPr>
                <w:sz w:val="20"/>
                <w:szCs w:val="20"/>
                <w:color w:val="auto"/>
              </w:rPr>
            </w:pPr>
            <w:r>
              <w:rPr>
                <w:rFonts w:ascii="Arial" w:cs="Arial" w:eastAsia="Arial" w:hAnsi="Arial"/>
                <w:sz w:val="18"/>
                <w:szCs w:val="18"/>
                <w:color w:val="auto"/>
              </w:rPr>
              <w:t>Honeywell Trading (Shanghai) Co. Ltd.</w:t>
            </w:r>
          </w:p>
        </w:tc>
        <w:tc>
          <w:tcPr>
            <w:tcW w:w="3880" w:type="dxa"/>
            <w:vAlign w:val="bottom"/>
            <w:tcBorders>
              <w:bottom w:val="single" w:sz="8" w:color="888B8D"/>
            </w:tcBorders>
          </w:tcPr>
          <w:p>
            <w:pPr>
              <w:jc w:val="center"/>
              <w:ind w:left="371"/>
              <w:spacing w:after="0"/>
              <w:rPr>
                <w:sz w:val="20"/>
                <w:szCs w:val="20"/>
                <w:color w:val="auto"/>
              </w:rPr>
            </w:pPr>
            <w:r>
              <w:rPr>
                <w:rFonts w:ascii="Arial" w:cs="Arial" w:eastAsia="Arial" w:hAnsi="Arial"/>
                <w:sz w:val="18"/>
                <w:szCs w:val="18"/>
                <w:color w:val="auto"/>
                <w:w w:val="97"/>
              </w:rPr>
              <w:t>China</w:t>
            </w:r>
          </w:p>
        </w:tc>
        <w:tc>
          <w:tcPr>
            <w:tcW w:w="1400" w:type="dxa"/>
            <w:vAlign w:val="bottom"/>
            <w:tcBorders>
              <w:bottom w:val="single" w:sz="8" w:color="888B8D"/>
            </w:tcBorders>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23"/>
        </w:trPr>
        <w:tc>
          <w:tcPr>
            <w:tcW w:w="5920" w:type="dxa"/>
            <w:vAlign w:val="bottom"/>
            <w:tcBorders>
              <w:bottom w:val="single" w:sz="8" w:color="888B8D"/>
            </w:tcBorders>
          </w:tcPr>
          <w:p>
            <w:pPr>
              <w:ind w:left="20"/>
              <w:spacing w:after="0"/>
              <w:rPr>
                <w:sz w:val="20"/>
                <w:szCs w:val="20"/>
                <w:color w:val="auto"/>
              </w:rPr>
            </w:pPr>
            <w:r>
              <w:rPr>
                <w:rFonts w:ascii="Arial" w:cs="Arial" w:eastAsia="Arial" w:hAnsi="Arial"/>
                <w:sz w:val="18"/>
                <w:szCs w:val="18"/>
                <w:color w:val="auto"/>
              </w:rPr>
              <w:t>Honeywell Turki Arabia Limited</w:t>
            </w:r>
          </w:p>
        </w:tc>
        <w:tc>
          <w:tcPr>
            <w:tcW w:w="3880" w:type="dxa"/>
            <w:vAlign w:val="bottom"/>
            <w:tcBorders>
              <w:bottom w:val="single" w:sz="8" w:color="888B8D"/>
            </w:tcBorders>
          </w:tcPr>
          <w:p>
            <w:pPr>
              <w:jc w:val="center"/>
              <w:ind w:left="371"/>
              <w:spacing w:after="0"/>
              <w:rPr>
                <w:sz w:val="20"/>
                <w:szCs w:val="20"/>
                <w:color w:val="auto"/>
              </w:rPr>
            </w:pPr>
            <w:r>
              <w:rPr>
                <w:rFonts w:ascii="Arial" w:cs="Arial" w:eastAsia="Arial" w:hAnsi="Arial"/>
                <w:sz w:val="18"/>
                <w:szCs w:val="18"/>
                <w:color w:val="auto"/>
                <w:w w:val="98"/>
              </w:rPr>
              <w:t>Saudi Arabia</w:t>
            </w:r>
          </w:p>
        </w:tc>
        <w:tc>
          <w:tcPr>
            <w:tcW w:w="1400" w:type="dxa"/>
            <w:vAlign w:val="bottom"/>
            <w:tcBorders>
              <w:bottom w:val="single" w:sz="8" w:color="888B8D"/>
            </w:tcBorders>
          </w:tcPr>
          <w:p>
            <w:pPr>
              <w:jc w:val="right"/>
              <w:spacing w:after="0"/>
              <w:rPr>
                <w:sz w:val="20"/>
                <w:szCs w:val="20"/>
                <w:color w:val="auto"/>
              </w:rPr>
            </w:pPr>
            <w:r>
              <w:rPr>
                <w:rFonts w:ascii="Arial" w:cs="Arial" w:eastAsia="Arial" w:hAnsi="Arial"/>
                <w:sz w:val="18"/>
                <w:szCs w:val="18"/>
                <w:color w:val="auto"/>
              </w:rPr>
              <w:t>75 %</w:t>
            </w:r>
          </w:p>
        </w:tc>
        <w:tc>
          <w:tcPr>
            <w:tcW w:w="0" w:type="dxa"/>
            <w:vAlign w:val="bottom"/>
          </w:tcPr>
          <w:p>
            <w:pPr>
              <w:spacing w:after="0"/>
              <w:rPr>
                <w:sz w:val="1"/>
                <w:szCs w:val="1"/>
                <w:color w:val="auto"/>
              </w:rPr>
            </w:pPr>
          </w:p>
        </w:tc>
      </w:tr>
      <w:tr>
        <w:trPr>
          <w:trHeight w:val="223"/>
        </w:trPr>
        <w:tc>
          <w:tcPr>
            <w:tcW w:w="5920" w:type="dxa"/>
            <w:vAlign w:val="bottom"/>
            <w:tcBorders>
              <w:bottom w:val="single" w:sz="8" w:color="888B8D"/>
            </w:tcBorders>
          </w:tcPr>
          <w:p>
            <w:pPr>
              <w:ind w:left="20"/>
              <w:spacing w:after="0"/>
              <w:rPr>
                <w:sz w:val="20"/>
                <w:szCs w:val="20"/>
                <w:color w:val="auto"/>
              </w:rPr>
            </w:pPr>
            <w:r>
              <w:rPr>
                <w:rFonts w:ascii="Arial" w:cs="Arial" w:eastAsia="Arial" w:hAnsi="Arial"/>
                <w:sz w:val="18"/>
                <w:szCs w:val="18"/>
                <w:color w:val="auto"/>
              </w:rPr>
              <w:t>Honeywell UK Limited</w:t>
            </w:r>
          </w:p>
        </w:tc>
        <w:tc>
          <w:tcPr>
            <w:tcW w:w="3880" w:type="dxa"/>
            <w:vAlign w:val="bottom"/>
            <w:tcBorders>
              <w:bottom w:val="single" w:sz="8" w:color="888B8D"/>
            </w:tcBorders>
          </w:tcPr>
          <w:p>
            <w:pPr>
              <w:jc w:val="center"/>
              <w:ind w:left="351"/>
              <w:spacing w:after="0"/>
              <w:rPr>
                <w:sz w:val="20"/>
                <w:szCs w:val="20"/>
                <w:color w:val="auto"/>
              </w:rPr>
            </w:pPr>
            <w:r>
              <w:rPr>
                <w:rFonts w:ascii="Arial" w:cs="Arial" w:eastAsia="Arial" w:hAnsi="Arial"/>
                <w:sz w:val="18"/>
                <w:szCs w:val="18"/>
                <w:color w:val="auto"/>
                <w:w w:val="99"/>
              </w:rPr>
              <w:t>United Kingdom</w:t>
            </w:r>
          </w:p>
        </w:tc>
        <w:tc>
          <w:tcPr>
            <w:tcW w:w="1400" w:type="dxa"/>
            <w:vAlign w:val="bottom"/>
            <w:tcBorders>
              <w:bottom w:val="single" w:sz="8" w:color="888B8D"/>
            </w:tcBorders>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23"/>
        </w:trPr>
        <w:tc>
          <w:tcPr>
            <w:tcW w:w="5920" w:type="dxa"/>
            <w:vAlign w:val="bottom"/>
            <w:tcBorders>
              <w:bottom w:val="single" w:sz="8" w:color="888B8D"/>
            </w:tcBorders>
          </w:tcPr>
          <w:p>
            <w:pPr>
              <w:ind w:left="20"/>
              <w:spacing w:after="0"/>
              <w:rPr>
                <w:sz w:val="20"/>
                <w:szCs w:val="20"/>
                <w:color w:val="auto"/>
              </w:rPr>
            </w:pPr>
            <w:r>
              <w:rPr>
                <w:rFonts w:ascii="Arial" w:cs="Arial" w:eastAsia="Arial" w:hAnsi="Arial"/>
                <w:sz w:val="18"/>
                <w:szCs w:val="18"/>
                <w:color w:val="auto"/>
              </w:rPr>
              <w:t>Honeywell, S.A. de C.V</w:t>
            </w:r>
          </w:p>
        </w:tc>
        <w:tc>
          <w:tcPr>
            <w:tcW w:w="3880" w:type="dxa"/>
            <w:vAlign w:val="bottom"/>
            <w:tcBorders>
              <w:bottom w:val="single" w:sz="8" w:color="888B8D"/>
            </w:tcBorders>
          </w:tcPr>
          <w:p>
            <w:pPr>
              <w:jc w:val="center"/>
              <w:ind w:left="371"/>
              <w:spacing w:after="0"/>
              <w:rPr>
                <w:sz w:val="20"/>
                <w:szCs w:val="20"/>
                <w:color w:val="auto"/>
              </w:rPr>
            </w:pPr>
            <w:r>
              <w:rPr>
                <w:rFonts w:ascii="Arial" w:cs="Arial" w:eastAsia="Arial" w:hAnsi="Arial"/>
                <w:sz w:val="18"/>
                <w:szCs w:val="18"/>
                <w:color w:val="auto"/>
              </w:rPr>
              <w:t>Mexico</w:t>
            </w:r>
          </w:p>
        </w:tc>
        <w:tc>
          <w:tcPr>
            <w:tcW w:w="1400" w:type="dxa"/>
            <w:vAlign w:val="bottom"/>
            <w:tcBorders>
              <w:bottom w:val="single" w:sz="8" w:color="888B8D"/>
            </w:tcBorders>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23"/>
        </w:trPr>
        <w:tc>
          <w:tcPr>
            <w:tcW w:w="5920" w:type="dxa"/>
            <w:vAlign w:val="bottom"/>
            <w:tcBorders>
              <w:bottom w:val="single" w:sz="8" w:color="888B8D"/>
            </w:tcBorders>
          </w:tcPr>
          <w:p>
            <w:pPr>
              <w:ind w:left="20"/>
              <w:spacing w:after="0"/>
              <w:rPr>
                <w:sz w:val="20"/>
                <w:szCs w:val="20"/>
                <w:color w:val="auto"/>
              </w:rPr>
            </w:pPr>
            <w:r>
              <w:rPr>
                <w:rFonts w:ascii="Arial" w:cs="Arial" w:eastAsia="Arial" w:hAnsi="Arial"/>
                <w:sz w:val="18"/>
                <w:szCs w:val="18"/>
                <w:color w:val="auto"/>
              </w:rPr>
              <w:t>Intelligrated Headquarters, LLC</w:t>
            </w:r>
          </w:p>
        </w:tc>
        <w:tc>
          <w:tcPr>
            <w:tcW w:w="3880" w:type="dxa"/>
            <w:vAlign w:val="bottom"/>
            <w:tcBorders>
              <w:bottom w:val="single" w:sz="8" w:color="888B8D"/>
            </w:tcBorders>
          </w:tcPr>
          <w:p>
            <w:pPr>
              <w:jc w:val="center"/>
              <w:ind w:left="351"/>
              <w:spacing w:after="0"/>
              <w:rPr>
                <w:sz w:val="20"/>
                <w:szCs w:val="20"/>
                <w:color w:val="auto"/>
              </w:rPr>
            </w:pPr>
            <w:r>
              <w:rPr>
                <w:rFonts w:ascii="Arial" w:cs="Arial" w:eastAsia="Arial" w:hAnsi="Arial"/>
                <w:sz w:val="18"/>
                <w:szCs w:val="18"/>
                <w:color w:val="auto"/>
                <w:w w:val="99"/>
              </w:rPr>
              <w:t>Delaware</w:t>
            </w:r>
          </w:p>
        </w:tc>
        <w:tc>
          <w:tcPr>
            <w:tcW w:w="1400" w:type="dxa"/>
            <w:vAlign w:val="bottom"/>
            <w:tcBorders>
              <w:bottom w:val="single" w:sz="8" w:color="888B8D"/>
            </w:tcBorders>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23"/>
        </w:trPr>
        <w:tc>
          <w:tcPr>
            <w:tcW w:w="5920" w:type="dxa"/>
            <w:vAlign w:val="bottom"/>
            <w:tcBorders>
              <w:bottom w:val="single" w:sz="8" w:color="888B8D"/>
            </w:tcBorders>
          </w:tcPr>
          <w:p>
            <w:pPr>
              <w:ind w:left="20"/>
              <w:spacing w:after="0"/>
              <w:rPr>
                <w:sz w:val="20"/>
                <w:szCs w:val="20"/>
                <w:color w:val="auto"/>
              </w:rPr>
            </w:pPr>
            <w:r>
              <w:rPr>
                <w:rFonts w:ascii="Arial" w:cs="Arial" w:eastAsia="Arial" w:hAnsi="Arial"/>
                <w:sz w:val="18"/>
                <w:szCs w:val="18"/>
                <w:color w:val="auto"/>
              </w:rPr>
              <w:t>Intelligrated Systems, Inc.</w:t>
            </w:r>
          </w:p>
        </w:tc>
        <w:tc>
          <w:tcPr>
            <w:tcW w:w="3880" w:type="dxa"/>
            <w:vAlign w:val="bottom"/>
            <w:tcBorders>
              <w:bottom w:val="single" w:sz="8" w:color="888B8D"/>
            </w:tcBorders>
          </w:tcPr>
          <w:p>
            <w:pPr>
              <w:jc w:val="center"/>
              <w:ind w:left="351"/>
              <w:spacing w:after="0"/>
              <w:rPr>
                <w:sz w:val="20"/>
                <w:szCs w:val="20"/>
                <w:color w:val="auto"/>
              </w:rPr>
            </w:pPr>
            <w:r>
              <w:rPr>
                <w:rFonts w:ascii="Arial" w:cs="Arial" w:eastAsia="Arial" w:hAnsi="Arial"/>
                <w:sz w:val="18"/>
                <w:szCs w:val="18"/>
                <w:color w:val="auto"/>
                <w:w w:val="99"/>
              </w:rPr>
              <w:t>Delaware</w:t>
            </w:r>
          </w:p>
        </w:tc>
        <w:tc>
          <w:tcPr>
            <w:tcW w:w="1400" w:type="dxa"/>
            <w:vAlign w:val="bottom"/>
            <w:tcBorders>
              <w:bottom w:val="single" w:sz="8" w:color="888B8D"/>
            </w:tcBorders>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32"/>
        </w:trPr>
        <w:tc>
          <w:tcPr>
            <w:tcW w:w="5920" w:type="dxa"/>
            <w:vAlign w:val="bottom"/>
          </w:tcPr>
          <w:p>
            <w:pPr>
              <w:ind w:left="20"/>
              <w:spacing w:after="0"/>
              <w:rPr>
                <w:sz w:val="20"/>
                <w:szCs w:val="20"/>
                <w:color w:val="auto"/>
              </w:rPr>
            </w:pPr>
            <w:r>
              <w:rPr>
                <w:rFonts w:ascii="Arial" w:cs="Arial" w:eastAsia="Arial" w:hAnsi="Arial"/>
                <w:sz w:val="18"/>
                <w:szCs w:val="18"/>
                <w:color w:val="auto"/>
              </w:rPr>
              <w:t>Intelligrated Systems, LLC</w:t>
            </w:r>
          </w:p>
        </w:tc>
        <w:tc>
          <w:tcPr>
            <w:tcW w:w="3880" w:type="dxa"/>
            <w:vAlign w:val="bottom"/>
          </w:tcPr>
          <w:p>
            <w:pPr>
              <w:jc w:val="center"/>
              <w:ind w:left="351"/>
              <w:spacing w:after="0"/>
              <w:rPr>
                <w:sz w:val="20"/>
                <w:szCs w:val="20"/>
                <w:color w:val="auto"/>
              </w:rPr>
            </w:pPr>
            <w:r>
              <w:rPr>
                <w:rFonts w:ascii="Arial" w:cs="Arial" w:eastAsia="Arial" w:hAnsi="Arial"/>
                <w:sz w:val="18"/>
                <w:szCs w:val="18"/>
                <w:color w:val="auto"/>
                <w:w w:val="99"/>
              </w:rPr>
              <w:t>Delaware</w:t>
            </w:r>
          </w:p>
        </w:tc>
        <w:tc>
          <w:tcPr>
            <w:tcW w:w="1400" w:type="dxa"/>
            <w:vAlign w:val="bottom"/>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bl>
    <w:p>
      <w:pPr>
        <w:sectPr>
          <w:pgSz w:w="11900" w:h="16838" w:orient="portrait"/>
          <w:cols w:equalWidth="0" w:num="1">
            <w:col w:w="11200"/>
          </w:cols>
          <w:pgMar w:left="340" w:top="928" w:right="359" w:bottom="1440" w:gutter="0" w:footer="0" w:header="0"/>
        </w:sectPr>
      </w:pPr>
    </w:p>
    <w:bookmarkStart w:id="205" w:name="page206"/>
    <w:bookmarkEnd w:id="20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4140" w:type="dxa"/>
            <w:vAlign w:val="bottom"/>
          </w:tcPr>
          <w:p>
            <w:pPr>
              <w:jc w:val="center"/>
              <w:ind w:left="1051"/>
              <w:spacing w:after="0"/>
              <w:rPr>
                <w:sz w:val="20"/>
                <w:szCs w:val="20"/>
                <w:color w:val="auto"/>
              </w:rPr>
            </w:pPr>
            <w:r>
              <w:rPr>
                <w:rFonts w:ascii="Arial" w:cs="Arial" w:eastAsia="Arial" w:hAnsi="Arial"/>
                <w:sz w:val="14"/>
                <w:szCs w:val="14"/>
                <w:b w:val="1"/>
                <w:bCs w:val="1"/>
                <w:color w:val="auto"/>
              </w:rPr>
              <w:t>Country or State</w:t>
            </w:r>
          </w:p>
        </w:tc>
        <w:tc>
          <w:tcPr>
            <w:tcW w:w="1600" w:type="dxa"/>
            <w:vAlign w:val="bottom"/>
          </w:tcPr>
          <w:p>
            <w:pPr>
              <w:jc w:val="right"/>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85"/>
        </w:trPr>
        <w:tc>
          <w:tcPr>
            <w:tcW w:w="5460" w:type="dxa"/>
            <w:vAlign w:val="bottom"/>
            <w:tcBorders>
              <w:bottom w:val="single" w:sz="8" w:color="DC202E"/>
            </w:tcBorders>
            <w:vMerge w:val="continue"/>
          </w:tcPr>
          <w:p>
            <w:pPr>
              <w:spacing w:after="0"/>
              <w:rPr>
                <w:sz w:val="16"/>
                <w:szCs w:val="16"/>
                <w:color w:val="auto"/>
              </w:rPr>
            </w:pPr>
          </w:p>
        </w:tc>
        <w:tc>
          <w:tcPr>
            <w:tcW w:w="4140" w:type="dxa"/>
            <w:vAlign w:val="bottom"/>
            <w:tcBorders>
              <w:bottom w:val="single" w:sz="8" w:color="DC202E"/>
            </w:tcBorders>
          </w:tcPr>
          <w:p>
            <w:pPr>
              <w:jc w:val="center"/>
              <w:ind w:left="1031"/>
              <w:spacing w:after="0"/>
              <w:rPr>
                <w:sz w:val="20"/>
                <w:szCs w:val="20"/>
                <w:color w:val="auto"/>
              </w:rPr>
            </w:pPr>
            <w:r>
              <w:rPr>
                <w:rFonts w:ascii="Arial" w:cs="Arial" w:eastAsia="Arial" w:hAnsi="Arial"/>
                <w:sz w:val="14"/>
                <w:szCs w:val="14"/>
                <w:b w:val="1"/>
                <w:bCs w:val="1"/>
                <w:color w:val="auto"/>
              </w:rPr>
              <w:t>of Incorporation</w:t>
            </w:r>
          </w:p>
        </w:tc>
        <w:tc>
          <w:tcPr>
            <w:tcW w:w="1600" w:type="dxa"/>
            <w:vAlign w:val="bottom"/>
            <w:tcBorders>
              <w:bottom w:val="single" w:sz="8" w:color="DC202E"/>
            </w:tcBorders>
          </w:tcPr>
          <w:p>
            <w:pPr>
              <w:jc w:val="right"/>
              <w:spacing w:after="0"/>
              <w:rPr>
                <w:sz w:val="20"/>
                <w:szCs w:val="20"/>
                <w:color w:val="auto"/>
              </w:rPr>
            </w:pPr>
            <w:r>
              <w:rPr>
                <w:rFonts w:ascii="Arial" w:cs="Arial" w:eastAsia="Arial" w:hAnsi="Arial"/>
                <w:sz w:val="14"/>
                <w:szCs w:val="14"/>
                <w:b w:val="1"/>
                <w:bCs w:val="1"/>
                <w:color w:val="auto"/>
              </w:rPr>
              <w:t>Ownership</w:t>
            </w:r>
          </w:p>
        </w:tc>
        <w:tc>
          <w:tcPr>
            <w:tcW w:w="0" w:type="dxa"/>
            <w:vAlign w:val="bottom"/>
          </w:tcPr>
          <w:p>
            <w:pPr>
              <w:spacing w:after="0"/>
              <w:rPr>
                <w:sz w:val="1"/>
                <w:szCs w:val="1"/>
                <w:color w:val="auto"/>
              </w:rPr>
            </w:pPr>
          </w:p>
        </w:tc>
      </w:tr>
      <w:tr>
        <w:trPr>
          <w:trHeight w:val="223"/>
        </w:trPr>
        <w:tc>
          <w:tcPr>
            <w:tcW w:w="5460" w:type="dxa"/>
            <w:vAlign w:val="bottom"/>
            <w:tcBorders>
              <w:bottom w:val="single" w:sz="8" w:color="888B8D"/>
            </w:tcBorders>
          </w:tcPr>
          <w:p>
            <w:pPr>
              <w:ind w:left="20"/>
              <w:spacing w:after="0"/>
              <w:rPr>
                <w:sz w:val="20"/>
                <w:szCs w:val="20"/>
                <w:color w:val="auto"/>
              </w:rPr>
            </w:pPr>
            <w:r>
              <w:rPr>
                <w:rFonts w:ascii="Arial" w:cs="Arial" w:eastAsia="Arial" w:hAnsi="Arial"/>
                <w:sz w:val="18"/>
                <w:szCs w:val="18"/>
                <w:color w:val="auto"/>
              </w:rPr>
              <w:t>Intermec Technologies (S) Pte. Ltd.</w:t>
            </w:r>
          </w:p>
        </w:tc>
        <w:tc>
          <w:tcPr>
            <w:tcW w:w="4140" w:type="dxa"/>
            <w:vAlign w:val="bottom"/>
            <w:tcBorders>
              <w:bottom w:val="single" w:sz="8" w:color="888B8D"/>
            </w:tcBorders>
          </w:tcPr>
          <w:p>
            <w:pPr>
              <w:jc w:val="center"/>
              <w:ind w:left="1031"/>
              <w:spacing w:after="0"/>
              <w:rPr>
                <w:sz w:val="20"/>
                <w:szCs w:val="20"/>
                <w:color w:val="auto"/>
              </w:rPr>
            </w:pPr>
            <w:r>
              <w:rPr>
                <w:rFonts w:ascii="Arial" w:cs="Arial" w:eastAsia="Arial" w:hAnsi="Arial"/>
                <w:sz w:val="18"/>
                <w:szCs w:val="18"/>
                <w:color w:val="auto"/>
                <w:w w:val="99"/>
              </w:rPr>
              <w:t>Singapore</w:t>
            </w:r>
          </w:p>
        </w:tc>
        <w:tc>
          <w:tcPr>
            <w:tcW w:w="1600" w:type="dxa"/>
            <w:vAlign w:val="bottom"/>
            <w:tcBorders>
              <w:bottom w:val="single" w:sz="8" w:color="888B8D"/>
            </w:tcBorders>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23"/>
        </w:trPr>
        <w:tc>
          <w:tcPr>
            <w:tcW w:w="5460" w:type="dxa"/>
            <w:vAlign w:val="bottom"/>
            <w:tcBorders>
              <w:bottom w:val="single" w:sz="8" w:color="888B8D"/>
            </w:tcBorders>
          </w:tcPr>
          <w:p>
            <w:pPr>
              <w:ind w:left="20"/>
              <w:spacing w:after="0"/>
              <w:rPr>
                <w:sz w:val="20"/>
                <w:szCs w:val="20"/>
                <w:color w:val="auto"/>
              </w:rPr>
            </w:pPr>
            <w:r>
              <w:rPr>
                <w:rFonts w:ascii="Arial" w:cs="Arial" w:eastAsia="Arial" w:hAnsi="Arial"/>
                <w:sz w:val="18"/>
                <w:szCs w:val="18"/>
                <w:color w:val="auto"/>
              </w:rPr>
              <w:t>International Turbine Engine Company LLC</w:t>
            </w:r>
          </w:p>
        </w:tc>
        <w:tc>
          <w:tcPr>
            <w:tcW w:w="4140" w:type="dxa"/>
            <w:vAlign w:val="bottom"/>
            <w:tcBorders>
              <w:bottom w:val="single" w:sz="8" w:color="888B8D"/>
            </w:tcBorders>
          </w:tcPr>
          <w:p>
            <w:pPr>
              <w:jc w:val="center"/>
              <w:ind w:left="1051"/>
              <w:spacing w:after="0"/>
              <w:rPr>
                <w:sz w:val="20"/>
                <w:szCs w:val="20"/>
                <w:color w:val="auto"/>
              </w:rPr>
            </w:pPr>
            <w:r>
              <w:rPr>
                <w:rFonts w:ascii="Arial" w:cs="Arial" w:eastAsia="Arial" w:hAnsi="Arial"/>
                <w:sz w:val="18"/>
                <w:szCs w:val="18"/>
                <w:color w:val="auto"/>
                <w:w w:val="99"/>
              </w:rPr>
              <w:t>Delaware</w:t>
            </w:r>
          </w:p>
        </w:tc>
        <w:tc>
          <w:tcPr>
            <w:tcW w:w="1600" w:type="dxa"/>
            <w:vAlign w:val="bottom"/>
            <w:tcBorders>
              <w:bottom w:val="single" w:sz="8" w:color="888B8D"/>
            </w:tcBorders>
          </w:tcPr>
          <w:p>
            <w:pPr>
              <w:jc w:val="right"/>
              <w:spacing w:after="0"/>
              <w:rPr>
                <w:sz w:val="20"/>
                <w:szCs w:val="20"/>
                <w:color w:val="auto"/>
              </w:rPr>
            </w:pPr>
            <w:r>
              <w:rPr>
                <w:rFonts w:ascii="Arial" w:cs="Arial" w:eastAsia="Arial" w:hAnsi="Arial"/>
                <w:sz w:val="18"/>
                <w:szCs w:val="18"/>
                <w:color w:val="auto"/>
              </w:rPr>
              <w:t>51 %</w:t>
            </w:r>
          </w:p>
        </w:tc>
        <w:tc>
          <w:tcPr>
            <w:tcW w:w="0" w:type="dxa"/>
            <w:vAlign w:val="bottom"/>
          </w:tcPr>
          <w:p>
            <w:pPr>
              <w:spacing w:after="0"/>
              <w:rPr>
                <w:sz w:val="1"/>
                <w:szCs w:val="1"/>
                <w:color w:val="auto"/>
              </w:rPr>
            </w:pPr>
          </w:p>
        </w:tc>
      </w:tr>
      <w:tr>
        <w:trPr>
          <w:trHeight w:val="223"/>
        </w:trPr>
        <w:tc>
          <w:tcPr>
            <w:tcW w:w="5460" w:type="dxa"/>
            <w:vAlign w:val="bottom"/>
            <w:tcBorders>
              <w:bottom w:val="single" w:sz="8" w:color="888B8D"/>
            </w:tcBorders>
          </w:tcPr>
          <w:p>
            <w:pPr>
              <w:ind w:left="20"/>
              <w:spacing w:after="0"/>
              <w:rPr>
                <w:sz w:val="20"/>
                <w:szCs w:val="20"/>
                <w:color w:val="auto"/>
              </w:rPr>
            </w:pPr>
            <w:r>
              <w:rPr>
                <w:rFonts w:ascii="Arial" w:cs="Arial" w:eastAsia="Arial" w:hAnsi="Arial"/>
                <w:sz w:val="18"/>
                <w:szCs w:val="18"/>
                <w:color w:val="auto"/>
              </w:rPr>
              <w:t>KAC Alarm Company Limited</w:t>
            </w:r>
          </w:p>
        </w:tc>
        <w:tc>
          <w:tcPr>
            <w:tcW w:w="4140" w:type="dxa"/>
            <w:vAlign w:val="bottom"/>
            <w:tcBorders>
              <w:bottom w:val="single" w:sz="8" w:color="888B8D"/>
            </w:tcBorders>
          </w:tcPr>
          <w:p>
            <w:pPr>
              <w:jc w:val="center"/>
              <w:ind w:left="1051"/>
              <w:spacing w:after="0"/>
              <w:rPr>
                <w:sz w:val="20"/>
                <w:szCs w:val="20"/>
                <w:color w:val="auto"/>
              </w:rPr>
            </w:pPr>
            <w:r>
              <w:rPr>
                <w:rFonts w:ascii="Arial" w:cs="Arial" w:eastAsia="Arial" w:hAnsi="Arial"/>
                <w:sz w:val="18"/>
                <w:szCs w:val="18"/>
                <w:color w:val="auto"/>
                <w:w w:val="99"/>
              </w:rPr>
              <w:t>United Kingdom</w:t>
            </w:r>
          </w:p>
        </w:tc>
        <w:tc>
          <w:tcPr>
            <w:tcW w:w="1600" w:type="dxa"/>
            <w:vAlign w:val="bottom"/>
            <w:tcBorders>
              <w:bottom w:val="single" w:sz="8" w:color="888B8D"/>
            </w:tcBorders>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23"/>
        </w:trPr>
        <w:tc>
          <w:tcPr>
            <w:tcW w:w="5460" w:type="dxa"/>
            <w:vAlign w:val="bottom"/>
            <w:tcBorders>
              <w:bottom w:val="single" w:sz="8" w:color="888B8D"/>
            </w:tcBorders>
          </w:tcPr>
          <w:p>
            <w:pPr>
              <w:ind w:left="20"/>
              <w:spacing w:after="0"/>
              <w:rPr>
                <w:sz w:val="20"/>
                <w:szCs w:val="20"/>
                <w:color w:val="auto"/>
              </w:rPr>
            </w:pPr>
            <w:r>
              <w:rPr>
                <w:rFonts w:ascii="Arial" w:cs="Arial" w:eastAsia="Arial" w:hAnsi="Arial"/>
                <w:sz w:val="18"/>
                <w:szCs w:val="18"/>
                <w:color w:val="auto"/>
              </w:rPr>
              <w:t>King's Shoe Manufacturing Pte. Ltd</w:t>
            </w:r>
          </w:p>
        </w:tc>
        <w:tc>
          <w:tcPr>
            <w:tcW w:w="4140" w:type="dxa"/>
            <w:vAlign w:val="bottom"/>
            <w:tcBorders>
              <w:bottom w:val="single" w:sz="8" w:color="888B8D"/>
            </w:tcBorders>
          </w:tcPr>
          <w:p>
            <w:pPr>
              <w:jc w:val="center"/>
              <w:ind w:left="1031"/>
              <w:spacing w:after="0"/>
              <w:rPr>
                <w:sz w:val="20"/>
                <w:szCs w:val="20"/>
                <w:color w:val="auto"/>
              </w:rPr>
            </w:pPr>
            <w:r>
              <w:rPr>
                <w:rFonts w:ascii="Arial" w:cs="Arial" w:eastAsia="Arial" w:hAnsi="Arial"/>
                <w:sz w:val="18"/>
                <w:szCs w:val="18"/>
                <w:color w:val="auto"/>
                <w:w w:val="99"/>
              </w:rPr>
              <w:t>Singapore</w:t>
            </w:r>
          </w:p>
        </w:tc>
        <w:tc>
          <w:tcPr>
            <w:tcW w:w="1600" w:type="dxa"/>
            <w:vAlign w:val="bottom"/>
            <w:tcBorders>
              <w:bottom w:val="single" w:sz="8" w:color="888B8D"/>
            </w:tcBorders>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23"/>
        </w:trPr>
        <w:tc>
          <w:tcPr>
            <w:tcW w:w="5460" w:type="dxa"/>
            <w:vAlign w:val="bottom"/>
            <w:tcBorders>
              <w:bottom w:val="single" w:sz="8" w:color="888B8D"/>
            </w:tcBorders>
          </w:tcPr>
          <w:p>
            <w:pPr>
              <w:ind w:left="20"/>
              <w:spacing w:after="0"/>
              <w:rPr>
                <w:sz w:val="20"/>
                <w:szCs w:val="20"/>
                <w:color w:val="auto"/>
              </w:rPr>
            </w:pPr>
            <w:r>
              <w:rPr>
                <w:rFonts w:ascii="Arial" w:cs="Arial" w:eastAsia="Arial" w:hAnsi="Arial"/>
                <w:sz w:val="18"/>
                <w:szCs w:val="18"/>
                <w:color w:val="auto"/>
              </w:rPr>
              <w:t>Life Safety Distribution GmbH</w:t>
            </w:r>
          </w:p>
        </w:tc>
        <w:tc>
          <w:tcPr>
            <w:tcW w:w="4140" w:type="dxa"/>
            <w:vAlign w:val="bottom"/>
            <w:tcBorders>
              <w:bottom w:val="single" w:sz="8" w:color="888B8D"/>
            </w:tcBorders>
          </w:tcPr>
          <w:p>
            <w:pPr>
              <w:jc w:val="center"/>
              <w:ind w:left="1031"/>
              <w:spacing w:after="0"/>
              <w:rPr>
                <w:sz w:val="20"/>
                <w:szCs w:val="20"/>
                <w:color w:val="auto"/>
              </w:rPr>
            </w:pPr>
            <w:r>
              <w:rPr>
                <w:rFonts w:ascii="Arial" w:cs="Arial" w:eastAsia="Arial" w:hAnsi="Arial"/>
                <w:sz w:val="18"/>
                <w:szCs w:val="18"/>
                <w:color w:val="auto"/>
              </w:rPr>
              <w:t>Switzerland</w:t>
            </w:r>
          </w:p>
        </w:tc>
        <w:tc>
          <w:tcPr>
            <w:tcW w:w="1600" w:type="dxa"/>
            <w:vAlign w:val="bottom"/>
            <w:tcBorders>
              <w:bottom w:val="single" w:sz="8" w:color="888B8D"/>
            </w:tcBorders>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23"/>
        </w:trPr>
        <w:tc>
          <w:tcPr>
            <w:tcW w:w="5460" w:type="dxa"/>
            <w:vAlign w:val="bottom"/>
            <w:tcBorders>
              <w:bottom w:val="single" w:sz="8" w:color="888B8D"/>
            </w:tcBorders>
          </w:tcPr>
          <w:p>
            <w:pPr>
              <w:ind w:left="20"/>
              <w:spacing w:after="0"/>
              <w:rPr>
                <w:sz w:val="20"/>
                <w:szCs w:val="20"/>
                <w:color w:val="auto"/>
              </w:rPr>
            </w:pPr>
            <w:r>
              <w:rPr>
                <w:rFonts w:ascii="Arial" w:cs="Arial" w:eastAsia="Arial" w:hAnsi="Arial"/>
                <w:sz w:val="18"/>
                <w:szCs w:val="18"/>
                <w:color w:val="auto"/>
              </w:rPr>
              <w:t>Maxon Corporation</w:t>
            </w:r>
          </w:p>
        </w:tc>
        <w:tc>
          <w:tcPr>
            <w:tcW w:w="4140" w:type="dxa"/>
            <w:vAlign w:val="bottom"/>
            <w:tcBorders>
              <w:bottom w:val="single" w:sz="8" w:color="888B8D"/>
            </w:tcBorders>
          </w:tcPr>
          <w:p>
            <w:pPr>
              <w:jc w:val="center"/>
              <w:ind w:left="1051"/>
              <w:spacing w:after="0"/>
              <w:rPr>
                <w:sz w:val="20"/>
                <w:szCs w:val="20"/>
                <w:color w:val="auto"/>
              </w:rPr>
            </w:pPr>
            <w:r>
              <w:rPr>
                <w:rFonts w:ascii="Arial" w:cs="Arial" w:eastAsia="Arial" w:hAnsi="Arial"/>
                <w:sz w:val="18"/>
                <w:szCs w:val="18"/>
                <w:color w:val="auto"/>
              </w:rPr>
              <w:t>Indiana</w:t>
            </w:r>
          </w:p>
        </w:tc>
        <w:tc>
          <w:tcPr>
            <w:tcW w:w="1600" w:type="dxa"/>
            <w:vAlign w:val="bottom"/>
            <w:tcBorders>
              <w:bottom w:val="single" w:sz="8" w:color="888B8D"/>
            </w:tcBorders>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23"/>
        </w:trPr>
        <w:tc>
          <w:tcPr>
            <w:tcW w:w="5460" w:type="dxa"/>
            <w:vAlign w:val="bottom"/>
            <w:tcBorders>
              <w:bottom w:val="single" w:sz="8" w:color="888B8D"/>
            </w:tcBorders>
          </w:tcPr>
          <w:p>
            <w:pPr>
              <w:ind w:left="20"/>
              <w:spacing w:after="0"/>
              <w:rPr>
                <w:sz w:val="20"/>
                <w:szCs w:val="20"/>
                <w:color w:val="auto"/>
              </w:rPr>
            </w:pPr>
            <w:r>
              <w:rPr>
                <w:rFonts w:ascii="Arial" w:cs="Arial" w:eastAsia="Arial" w:hAnsi="Arial"/>
                <w:sz w:val="18"/>
                <w:szCs w:val="18"/>
                <w:color w:val="auto"/>
              </w:rPr>
              <w:t>Metro (Suzhou) Technologies Co., Ltd.</w:t>
            </w:r>
          </w:p>
        </w:tc>
        <w:tc>
          <w:tcPr>
            <w:tcW w:w="4140" w:type="dxa"/>
            <w:vAlign w:val="bottom"/>
            <w:tcBorders>
              <w:bottom w:val="single" w:sz="8" w:color="888B8D"/>
            </w:tcBorders>
          </w:tcPr>
          <w:p>
            <w:pPr>
              <w:jc w:val="center"/>
              <w:ind w:left="1031"/>
              <w:spacing w:after="0"/>
              <w:rPr>
                <w:sz w:val="20"/>
                <w:szCs w:val="20"/>
                <w:color w:val="auto"/>
              </w:rPr>
            </w:pPr>
            <w:r>
              <w:rPr>
                <w:rFonts w:ascii="Arial" w:cs="Arial" w:eastAsia="Arial" w:hAnsi="Arial"/>
                <w:sz w:val="18"/>
                <w:szCs w:val="18"/>
                <w:color w:val="auto"/>
                <w:w w:val="97"/>
              </w:rPr>
              <w:t>China</w:t>
            </w:r>
          </w:p>
        </w:tc>
        <w:tc>
          <w:tcPr>
            <w:tcW w:w="1600" w:type="dxa"/>
            <w:vAlign w:val="bottom"/>
            <w:tcBorders>
              <w:bottom w:val="single" w:sz="8" w:color="888B8D"/>
            </w:tcBorders>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23"/>
        </w:trPr>
        <w:tc>
          <w:tcPr>
            <w:tcW w:w="5460" w:type="dxa"/>
            <w:vAlign w:val="bottom"/>
            <w:tcBorders>
              <w:bottom w:val="single" w:sz="8" w:color="888B8D"/>
            </w:tcBorders>
          </w:tcPr>
          <w:p>
            <w:pPr>
              <w:ind w:left="20"/>
              <w:spacing w:after="0"/>
              <w:rPr>
                <w:sz w:val="20"/>
                <w:szCs w:val="20"/>
                <w:color w:val="auto"/>
              </w:rPr>
            </w:pPr>
            <w:r>
              <w:rPr>
                <w:rFonts w:ascii="Arial" w:cs="Arial" w:eastAsia="Arial" w:hAnsi="Arial"/>
                <w:sz w:val="18"/>
                <w:szCs w:val="18"/>
                <w:color w:val="auto"/>
              </w:rPr>
              <w:t>Morning Pride Manufacturing LLC</w:t>
            </w:r>
          </w:p>
        </w:tc>
        <w:tc>
          <w:tcPr>
            <w:tcW w:w="4140" w:type="dxa"/>
            <w:vAlign w:val="bottom"/>
            <w:tcBorders>
              <w:bottom w:val="single" w:sz="8" w:color="888B8D"/>
            </w:tcBorders>
          </w:tcPr>
          <w:p>
            <w:pPr>
              <w:jc w:val="center"/>
              <w:ind w:left="1051"/>
              <w:spacing w:after="0"/>
              <w:rPr>
                <w:sz w:val="20"/>
                <w:szCs w:val="20"/>
                <w:color w:val="auto"/>
              </w:rPr>
            </w:pPr>
            <w:r>
              <w:rPr>
                <w:rFonts w:ascii="Arial" w:cs="Arial" w:eastAsia="Arial" w:hAnsi="Arial"/>
                <w:sz w:val="18"/>
                <w:szCs w:val="18"/>
                <w:color w:val="auto"/>
                <w:w w:val="99"/>
              </w:rPr>
              <w:t>Delaware</w:t>
            </w:r>
          </w:p>
        </w:tc>
        <w:tc>
          <w:tcPr>
            <w:tcW w:w="1600" w:type="dxa"/>
            <w:vAlign w:val="bottom"/>
            <w:tcBorders>
              <w:bottom w:val="single" w:sz="8" w:color="888B8D"/>
            </w:tcBorders>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23"/>
        </w:trPr>
        <w:tc>
          <w:tcPr>
            <w:tcW w:w="5460" w:type="dxa"/>
            <w:vAlign w:val="bottom"/>
            <w:tcBorders>
              <w:bottom w:val="single" w:sz="8" w:color="888B8D"/>
            </w:tcBorders>
          </w:tcPr>
          <w:p>
            <w:pPr>
              <w:ind w:left="20"/>
              <w:spacing w:after="0"/>
              <w:rPr>
                <w:sz w:val="20"/>
                <w:szCs w:val="20"/>
                <w:color w:val="auto"/>
              </w:rPr>
            </w:pPr>
            <w:r>
              <w:rPr>
                <w:rFonts w:ascii="Arial" w:cs="Arial" w:eastAsia="Arial" w:hAnsi="Arial"/>
                <w:sz w:val="18"/>
                <w:szCs w:val="18"/>
                <w:color w:val="auto"/>
              </w:rPr>
              <w:t>Notifier Italia S.r.l.</w:t>
            </w:r>
          </w:p>
        </w:tc>
        <w:tc>
          <w:tcPr>
            <w:tcW w:w="4140" w:type="dxa"/>
            <w:vAlign w:val="bottom"/>
            <w:tcBorders>
              <w:bottom w:val="single" w:sz="8" w:color="888B8D"/>
            </w:tcBorders>
          </w:tcPr>
          <w:p>
            <w:pPr>
              <w:jc w:val="center"/>
              <w:ind w:left="1031"/>
              <w:spacing w:after="0"/>
              <w:rPr>
                <w:sz w:val="20"/>
                <w:szCs w:val="20"/>
                <w:color w:val="auto"/>
              </w:rPr>
            </w:pPr>
            <w:r>
              <w:rPr>
                <w:rFonts w:ascii="Arial" w:cs="Arial" w:eastAsia="Arial" w:hAnsi="Arial"/>
                <w:sz w:val="18"/>
                <w:szCs w:val="18"/>
                <w:color w:val="auto"/>
              </w:rPr>
              <w:t>Italy</w:t>
            </w:r>
          </w:p>
        </w:tc>
        <w:tc>
          <w:tcPr>
            <w:tcW w:w="1600" w:type="dxa"/>
            <w:vAlign w:val="bottom"/>
            <w:tcBorders>
              <w:bottom w:val="single" w:sz="8" w:color="888B8D"/>
            </w:tcBorders>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23"/>
        </w:trPr>
        <w:tc>
          <w:tcPr>
            <w:tcW w:w="5460" w:type="dxa"/>
            <w:vAlign w:val="bottom"/>
            <w:tcBorders>
              <w:bottom w:val="single" w:sz="8" w:color="888B8D"/>
            </w:tcBorders>
          </w:tcPr>
          <w:p>
            <w:pPr>
              <w:ind w:left="20"/>
              <w:spacing w:after="0"/>
              <w:rPr>
                <w:sz w:val="20"/>
                <w:szCs w:val="20"/>
                <w:color w:val="auto"/>
              </w:rPr>
            </w:pPr>
            <w:r>
              <w:rPr>
                <w:rFonts w:ascii="Arial" w:cs="Arial" w:eastAsia="Arial" w:hAnsi="Arial"/>
                <w:sz w:val="18"/>
                <w:szCs w:val="18"/>
                <w:color w:val="auto"/>
              </w:rPr>
              <w:t>Novar ED And S Limited</w:t>
            </w:r>
          </w:p>
        </w:tc>
        <w:tc>
          <w:tcPr>
            <w:tcW w:w="4140" w:type="dxa"/>
            <w:vAlign w:val="bottom"/>
            <w:tcBorders>
              <w:bottom w:val="single" w:sz="8" w:color="888B8D"/>
            </w:tcBorders>
          </w:tcPr>
          <w:p>
            <w:pPr>
              <w:jc w:val="center"/>
              <w:ind w:left="1051"/>
              <w:spacing w:after="0"/>
              <w:rPr>
                <w:sz w:val="20"/>
                <w:szCs w:val="20"/>
                <w:color w:val="auto"/>
              </w:rPr>
            </w:pPr>
            <w:r>
              <w:rPr>
                <w:rFonts w:ascii="Arial" w:cs="Arial" w:eastAsia="Arial" w:hAnsi="Arial"/>
                <w:sz w:val="18"/>
                <w:szCs w:val="18"/>
                <w:color w:val="auto"/>
                <w:w w:val="99"/>
              </w:rPr>
              <w:t>United Kingdom</w:t>
            </w:r>
          </w:p>
        </w:tc>
        <w:tc>
          <w:tcPr>
            <w:tcW w:w="1600" w:type="dxa"/>
            <w:vAlign w:val="bottom"/>
            <w:tcBorders>
              <w:bottom w:val="single" w:sz="8" w:color="888B8D"/>
            </w:tcBorders>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23"/>
        </w:trPr>
        <w:tc>
          <w:tcPr>
            <w:tcW w:w="5460" w:type="dxa"/>
            <w:vAlign w:val="bottom"/>
            <w:tcBorders>
              <w:bottom w:val="single" w:sz="8" w:color="888B8D"/>
            </w:tcBorders>
          </w:tcPr>
          <w:p>
            <w:pPr>
              <w:ind w:left="20"/>
              <w:spacing w:after="0"/>
              <w:rPr>
                <w:sz w:val="20"/>
                <w:szCs w:val="20"/>
                <w:color w:val="auto"/>
              </w:rPr>
            </w:pPr>
            <w:r>
              <w:rPr>
                <w:rFonts w:ascii="Arial" w:cs="Arial" w:eastAsia="Arial" w:hAnsi="Arial"/>
                <w:sz w:val="18"/>
                <w:szCs w:val="18"/>
                <w:color w:val="auto"/>
              </w:rPr>
              <w:t>Novar GmbH</w:t>
            </w:r>
          </w:p>
        </w:tc>
        <w:tc>
          <w:tcPr>
            <w:tcW w:w="4140" w:type="dxa"/>
            <w:vAlign w:val="bottom"/>
            <w:tcBorders>
              <w:bottom w:val="single" w:sz="8" w:color="888B8D"/>
            </w:tcBorders>
          </w:tcPr>
          <w:p>
            <w:pPr>
              <w:jc w:val="center"/>
              <w:ind w:left="1031"/>
              <w:spacing w:after="0"/>
              <w:rPr>
                <w:sz w:val="20"/>
                <w:szCs w:val="20"/>
                <w:color w:val="auto"/>
              </w:rPr>
            </w:pPr>
            <w:r>
              <w:rPr>
                <w:rFonts w:ascii="Arial" w:cs="Arial" w:eastAsia="Arial" w:hAnsi="Arial"/>
                <w:sz w:val="18"/>
                <w:szCs w:val="18"/>
                <w:color w:val="auto"/>
                <w:w w:val="99"/>
              </w:rPr>
              <w:t>Germany</w:t>
            </w:r>
          </w:p>
        </w:tc>
        <w:tc>
          <w:tcPr>
            <w:tcW w:w="1600" w:type="dxa"/>
            <w:vAlign w:val="bottom"/>
            <w:tcBorders>
              <w:bottom w:val="single" w:sz="8" w:color="888B8D"/>
            </w:tcBorders>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23"/>
        </w:trPr>
        <w:tc>
          <w:tcPr>
            <w:tcW w:w="5460" w:type="dxa"/>
            <w:vAlign w:val="bottom"/>
            <w:tcBorders>
              <w:bottom w:val="single" w:sz="8" w:color="888B8D"/>
            </w:tcBorders>
          </w:tcPr>
          <w:p>
            <w:pPr>
              <w:ind w:left="20"/>
              <w:spacing w:after="0"/>
              <w:rPr>
                <w:sz w:val="20"/>
                <w:szCs w:val="20"/>
                <w:color w:val="auto"/>
              </w:rPr>
            </w:pPr>
            <w:r>
              <w:rPr>
                <w:rFonts w:ascii="Arial" w:cs="Arial" w:eastAsia="Arial" w:hAnsi="Arial"/>
                <w:sz w:val="18"/>
                <w:szCs w:val="18"/>
                <w:color w:val="auto"/>
              </w:rPr>
              <w:t>Novar Systems Limited</w:t>
            </w:r>
          </w:p>
        </w:tc>
        <w:tc>
          <w:tcPr>
            <w:tcW w:w="4140" w:type="dxa"/>
            <w:vAlign w:val="bottom"/>
            <w:tcBorders>
              <w:bottom w:val="single" w:sz="8" w:color="888B8D"/>
            </w:tcBorders>
          </w:tcPr>
          <w:p>
            <w:pPr>
              <w:jc w:val="center"/>
              <w:ind w:left="1051"/>
              <w:spacing w:after="0"/>
              <w:rPr>
                <w:sz w:val="20"/>
                <w:szCs w:val="20"/>
                <w:color w:val="auto"/>
              </w:rPr>
            </w:pPr>
            <w:r>
              <w:rPr>
                <w:rFonts w:ascii="Arial" w:cs="Arial" w:eastAsia="Arial" w:hAnsi="Arial"/>
                <w:sz w:val="18"/>
                <w:szCs w:val="18"/>
                <w:color w:val="auto"/>
                <w:w w:val="99"/>
              </w:rPr>
              <w:t>United Kingdom</w:t>
            </w:r>
          </w:p>
        </w:tc>
        <w:tc>
          <w:tcPr>
            <w:tcW w:w="1600" w:type="dxa"/>
            <w:vAlign w:val="bottom"/>
            <w:tcBorders>
              <w:bottom w:val="single" w:sz="8" w:color="888B8D"/>
            </w:tcBorders>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23"/>
        </w:trPr>
        <w:tc>
          <w:tcPr>
            <w:tcW w:w="5460" w:type="dxa"/>
            <w:vAlign w:val="bottom"/>
            <w:tcBorders>
              <w:bottom w:val="single" w:sz="8" w:color="888B8D"/>
            </w:tcBorders>
          </w:tcPr>
          <w:p>
            <w:pPr>
              <w:ind w:left="20"/>
              <w:spacing w:after="0"/>
              <w:rPr>
                <w:sz w:val="20"/>
                <w:szCs w:val="20"/>
                <w:color w:val="auto"/>
              </w:rPr>
            </w:pPr>
            <w:r>
              <w:rPr>
                <w:rFonts w:ascii="Arial" w:cs="Arial" w:eastAsia="Arial" w:hAnsi="Arial"/>
                <w:sz w:val="18"/>
                <w:szCs w:val="18"/>
                <w:color w:val="auto"/>
              </w:rPr>
              <w:t>O &amp; S Holdings (Vic) Pty. Ltd.</w:t>
            </w:r>
          </w:p>
        </w:tc>
        <w:tc>
          <w:tcPr>
            <w:tcW w:w="4140" w:type="dxa"/>
            <w:vAlign w:val="bottom"/>
            <w:tcBorders>
              <w:bottom w:val="single" w:sz="8" w:color="888B8D"/>
            </w:tcBorders>
          </w:tcPr>
          <w:p>
            <w:pPr>
              <w:jc w:val="center"/>
              <w:ind w:left="1031"/>
              <w:spacing w:after="0"/>
              <w:rPr>
                <w:sz w:val="20"/>
                <w:szCs w:val="20"/>
                <w:color w:val="auto"/>
              </w:rPr>
            </w:pPr>
            <w:r>
              <w:rPr>
                <w:rFonts w:ascii="Arial" w:cs="Arial" w:eastAsia="Arial" w:hAnsi="Arial"/>
                <w:sz w:val="18"/>
                <w:szCs w:val="18"/>
                <w:color w:val="auto"/>
                <w:w w:val="99"/>
              </w:rPr>
              <w:t>Australia</w:t>
            </w:r>
          </w:p>
        </w:tc>
        <w:tc>
          <w:tcPr>
            <w:tcW w:w="1600" w:type="dxa"/>
            <w:vAlign w:val="bottom"/>
            <w:tcBorders>
              <w:bottom w:val="single" w:sz="8" w:color="888B8D"/>
            </w:tcBorders>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23"/>
        </w:trPr>
        <w:tc>
          <w:tcPr>
            <w:tcW w:w="5460" w:type="dxa"/>
            <w:vAlign w:val="bottom"/>
            <w:tcBorders>
              <w:bottom w:val="single" w:sz="8" w:color="888B8D"/>
            </w:tcBorders>
          </w:tcPr>
          <w:p>
            <w:pPr>
              <w:ind w:left="20"/>
              <w:spacing w:after="0"/>
              <w:rPr>
                <w:sz w:val="20"/>
                <w:szCs w:val="20"/>
                <w:color w:val="auto"/>
              </w:rPr>
            </w:pPr>
            <w:r>
              <w:rPr>
                <w:rFonts w:ascii="Arial" w:cs="Arial" w:eastAsia="Arial" w:hAnsi="Arial"/>
                <w:sz w:val="18"/>
                <w:szCs w:val="18"/>
                <w:color w:val="auto"/>
              </w:rPr>
              <w:t>Quantinuum</w:t>
            </w:r>
          </w:p>
        </w:tc>
        <w:tc>
          <w:tcPr>
            <w:tcW w:w="4140" w:type="dxa"/>
            <w:vAlign w:val="bottom"/>
            <w:tcBorders>
              <w:bottom w:val="single" w:sz="8" w:color="888B8D"/>
            </w:tcBorders>
          </w:tcPr>
          <w:p>
            <w:pPr>
              <w:jc w:val="center"/>
              <w:ind w:left="1031"/>
              <w:spacing w:after="0"/>
              <w:rPr>
                <w:sz w:val="20"/>
                <w:szCs w:val="20"/>
                <w:color w:val="auto"/>
              </w:rPr>
            </w:pPr>
            <w:r>
              <w:rPr>
                <w:rFonts w:ascii="Arial" w:cs="Arial" w:eastAsia="Arial" w:hAnsi="Arial"/>
                <w:sz w:val="18"/>
                <w:szCs w:val="18"/>
                <w:color w:val="auto"/>
              </w:rPr>
              <w:t>Cayman Islands</w:t>
            </w:r>
          </w:p>
        </w:tc>
        <w:tc>
          <w:tcPr>
            <w:tcW w:w="1600" w:type="dxa"/>
            <w:vAlign w:val="bottom"/>
            <w:tcBorders>
              <w:bottom w:val="single" w:sz="8" w:color="888B8D"/>
            </w:tcBorders>
          </w:tcPr>
          <w:p>
            <w:pPr>
              <w:jc w:val="right"/>
              <w:spacing w:after="0"/>
              <w:rPr>
                <w:sz w:val="20"/>
                <w:szCs w:val="20"/>
                <w:color w:val="auto"/>
              </w:rPr>
            </w:pPr>
            <w:r>
              <w:rPr>
                <w:rFonts w:ascii="Arial" w:cs="Arial" w:eastAsia="Arial" w:hAnsi="Arial"/>
                <w:sz w:val="18"/>
                <w:szCs w:val="18"/>
                <w:color w:val="auto"/>
              </w:rPr>
              <w:t>58 %</w:t>
            </w:r>
          </w:p>
        </w:tc>
        <w:tc>
          <w:tcPr>
            <w:tcW w:w="0" w:type="dxa"/>
            <w:vAlign w:val="bottom"/>
          </w:tcPr>
          <w:p>
            <w:pPr>
              <w:spacing w:after="0"/>
              <w:rPr>
                <w:sz w:val="1"/>
                <w:szCs w:val="1"/>
                <w:color w:val="auto"/>
              </w:rPr>
            </w:pPr>
          </w:p>
        </w:tc>
      </w:tr>
      <w:tr>
        <w:trPr>
          <w:trHeight w:val="223"/>
        </w:trPr>
        <w:tc>
          <w:tcPr>
            <w:tcW w:w="5460" w:type="dxa"/>
            <w:vAlign w:val="bottom"/>
            <w:tcBorders>
              <w:bottom w:val="single" w:sz="8" w:color="888B8D"/>
            </w:tcBorders>
          </w:tcPr>
          <w:p>
            <w:pPr>
              <w:ind w:left="20"/>
              <w:spacing w:after="0"/>
              <w:rPr>
                <w:sz w:val="20"/>
                <w:szCs w:val="20"/>
                <w:color w:val="auto"/>
              </w:rPr>
            </w:pPr>
            <w:r>
              <w:rPr>
                <w:rFonts w:ascii="Arial" w:cs="Arial" w:eastAsia="Arial" w:hAnsi="Arial"/>
                <w:sz w:val="18"/>
                <w:szCs w:val="18"/>
                <w:color w:val="auto"/>
              </w:rPr>
              <w:t>Rocky Research</w:t>
            </w:r>
          </w:p>
        </w:tc>
        <w:tc>
          <w:tcPr>
            <w:tcW w:w="4140" w:type="dxa"/>
            <w:vAlign w:val="bottom"/>
            <w:tcBorders>
              <w:bottom w:val="single" w:sz="8" w:color="888B8D"/>
            </w:tcBorders>
          </w:tcPr>
          <w:p>
            <w:pPr>
              <w:jc w:val="center"/>
              <w:ind w:left="1031"/>
              <w:spacing w:after="0"/>
              <w:rPr>
                <w:sz w:val="20"/>
                <w:szCs w:val="20"/>
                <w:color w:val="auto"/>
              </w:rPr>
            </w:pPr>
            <w:r>
              <w:rPr>
                <w:rFonts w:ascii="Arial" w:cs="Arial" w:eastAsia="Arial" w:hAnsi="Arial"/>
                <w:sz w:val="18"/>
                <w:szCs w:val="18"/>
                <w:color w:val="auto"/>
                <w:w w:val="99"/>
              </w:rPr>
              <w:t>Nevada</w:t>
            </w:r>
          </w:p>
        </w:tc>
        <w:tc>
          <w:tcPr>
            <w:tcW w:w="1600" w:type="dxa"/>
            <w:vAlign w:val="bottom"/>
            <w:tcBorders>
              <w:bottom w:val="single" w:sz="8" w:color="888B8D"/>
            </w:tcBorders>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23"/>
        </w:trPr>
        <w:tc>
          <w:tcPr>
            <w:tcW w:w="5460" w:type="dxa"/>
            <w:vAlign w:val="bottom"/>
            <w:tcBorders>
              <w:bottom w:val="single" w:sz="8" w:color="888B8D"/>
            </w:tcBorders>
          </w:tcPr>
          <w:p>
            <w:pPr>
              <w:ind w:left="20"/>
              <w:spacing w:after="0"/>
              <w:rPr>
                <w:sz w:val="20"/>
                <w:szCs w:val="20"/>
                <w:color w:val="auto"/>
              </w:rPr>
            </w:pPr>
            <w:r>
              <w:rPr>
                <w:rFonts w:ascii="Arial" w:cs="Arial" w:eastAsia="Arial" w:hAnsi="Arial"/>
                <w:sz w:val="18"/>
                <w:szCs w:val="18"/>
                <w:color w:val="auto"/>
              </w:rPr>
              <w:t>Shanghai UOP Ltd.</w:t>
            </w:r>
          </w:p>
        </w:tc>
        <w:tc>
          <w:tcPr>
            <w:tcW w:w="4140" w:type="dxa"/>
            <w:vAlign w:val="bottom"/>
            <w:tcBorders>
              <w:bottom w:val="single" w:sz="8" w:color="888B8D"/>
            </w:tcBorders>
          </w:tcPr>
          <w:p>
            <w:pPr>
              <w:jc w:val="center"/>
              <w:ind w:left="1031"/>
              <w:spacing w:after="0"/>
              <w:rPr>
                <w:sz w:val="20"/>
                <w:szCs w:val="20"/>
                <w:color w:val="auto"/>
              </w:rPr>
            </w:pPr>
            <w:r>
              <w:rPr>
                <w:rFonts w:ascii="Arial" w:cs="Arial" w:eastAsia="Arial" w:hAnsi="Arial"/>
                <w:sz w:val="18"/>
                <w:szCs w:val="18"/>
                <w:color w:val="auto"/>
                <w:w w:val="97"/>
              </w:rPr>
              <w:t>China</w:t>
            </w:r>
          </w:p>
        </w:tc>
        <w:tc>
          <w:tcPr>
            <w:tcW w:w="1600" w:type="dxa"/>
            <w:vAlign w:val="bottom"/>
            <w:tcBorders>
              <w:bottom w:val="single" w:sz="8" w:color="888B8D"/>
            </w:tcBorders>
          </w:tcPr>
          <w:p>
            <w:pPr>
              <w:jc w:val="right"/>
              <w:spacing w:after="0"/>
              <w:rPr>
                <w:sz w:val="20"/>
                <w:szCs w:val="20"/>
                <w:color w:val="auto"/>
              </w:rPr>
            </w:pPr>
            <w:r>
              <w:rPr>
                <w:rFonts w:ascii="Arial" w:cs="Arial" w:eastAsia="Arial" w:hAnsi="Arial"/>
                <w:sz w:val="18"/>
                <w:szCs w:val="18"/>
                <w:color w:val="auto"/>
              </w:rPr>
              <w:t>70 %</w:t>
            </w:r>
          </w:p>
        </w:tc>
        <w:tc>
          <w:tcPr>
            <w:tcW w:w="0" w:type="dxa"/>
            <w:vAlign w:val="bottom"/>
          </w:tcPr>
          <w:p>
            <w:pPr>
              <w:spacing w:after="0"/>
              <w:rPr>
                <w:sz w:val="1"/>
                <w:szCs w:val="1"/>
                <w:color w:val="auto"/>
              </w:rPr>
            </w:pPr>
          </w:p>
        </w:tc>
      </w:tr>
      <w:tr>
        <w:trPr>
          <w:trHeight w:val="223"/>
        </w:trPr>
        <w:tc>
          <w:tcPr>
            <w:tcW w:w="5460" w:type="dxa"/>
            <w:vAlign w:val="bottom"/>
            <w:tcBorders>
              <w:bottom w:val="single" w:sz="8" w:color="888B8D"/>
            </w:tcBorders>
          </w:tcPr>
          <w:p>
            <w:pPr>
              <w:ind w:left="20"/>
              <w:spacing w:after="0"/>
              <w:rPr>
                <w:sz w:val="20"/>
                <w:szCs w:val="20"/>
                <w:color w:val="auto"/>
              </w:rPr>
            </w:pPr>
            <w:r>
              <w:rPr>
                <w:rFonts w:ascii="Arial" w:cs="Arial" w:eastAsia="Arial" w:hAnsi="Arial"/>
                <w:sz w:val="18"/>
                <w:szCs w:val="18"/>
                <w:color w:val="auto"/>
              </w:rPr>
              <w:t>Sinopec Honeywell Tianjin Limited</w:t>
            </w:r>
          </w:p>
        </w:tc>
        <w:tc>
          <w:tcPr>
            <w:tcW w:w="4140" w:type="dxa"/>
            <w:vAlign w:val="bottom"/>
            <w:tcBorders>
              <w:bottom w:val="single" w:sz="8" w:color="888B8D"/>
            </w:tcBorders>
          </w:tcPr>
          <w:p>
            <w:pPr>
              <w:jc w:val="center"/>
              <w:ind w:left="1031"/>
              <w:spacing w:after="0"/>
              <w:rPr>
                <w:sz w:val="20"/>
                <w:szCs w:val="20"/>
                <w:color w:val="auto"/>
              </w:rPr>
            </w:pPr>
            <w:r>
              <w:rPr>
                <w:rFonts w:ascii="Arial" w:cs="Arial" w:eastAsia="Arial" w:hAnsi="Arial"/>
                <w:sz w:val="18"/>
                <w:szCs w:val="18"/>
                <w:color w:val="auto"/>
                <w:w w:val="97"/>
              </w:rPr>
              <w:t>China</w:t>
            </w:r>
          </w:p>
        </w:tc>
        <w:tc>
          <w:tcPr>
            <w:tcW w:w="1600" w:type="dxa"/>
            <w:vAlign w:val="bottom"/>
            <w:tcBorders>
              <w:bottom w:val="single" w:sz="8" w:color="888B8D"/>
            </w:tcBorders>
          </w:tcPr>
          <w:p>
            <w:pPr>
              <w:jc w:val="right"/>
              <w:spacing w:after="0"/>
              <w:rPr>
                <w:sz w:val="20"/>
                <w:szCs w:val="20"/>
                <w:color w:val="auto"/>
              </w:rPr>
            </w:pPr>
            <w:r>
              <w:rPr>
                <w:rFonts w:ascii="Arial" w:cs="Arial" w:eastAsia="Arial" w:hAnsi="Arial"/>
                <w:sz w:val="18"/>
                <w:szCs w:val="18"/>
                <w:color w:val="auto"/>
              </w:rPr>
              <w:t>55 %</w:t>
            </w:r>
          </w:p>
        </w:tc>
        <w:tc>
          <w:tcPr>
            <w:tcW w:w="0" w:type="dxa"/>
            <w:vAlign w:val="bottom"/>
          </w:tcPr>
          <w:p>
            <w:pPr>
              <w:spacing w:after="0"/>
              <w:rPr>
                <w:sz w:val="1"/>
                <w:szCs w:val="1"/>
                <w:color w:val="auto"/>
              </w:rPr>
            </w:pPr>
          </w:p>
        </w:tc>
      </w:tr>
      <w:tr>
        <w:trPr>
          <w:trHeight w:val="223"/>
        </w:trPr>
        <w:tc>
          <w:tcPr>
            <w:tcW w:w="5460" w:type="dxa"/>
            <w:vAlign w:val="bottom"/>
            <w:tcBorders>
              <w:bottom w:val="single" w:sz="8" w:color="888B8D"/>
            </w:tcBorders>
          </w:tcPr>
          <w:p>
            <w:pPr>
              <w:ind w:left="20"/>
              <w:spacing w:after="0"/>
              <w:rPr>
                <w:sz w:val="20"/>
                <w:szCs w:val="20"/>
                <w:color w:val="auto"/>
              </w:rPr>
            </w:pPr>
            <w:r>
              <w:rPr>
                <w:rFonts w:ascii="Arial" w:cs="Arial" w:eastAsia="Arial" w:hAnsi="Arial"/>
                <w:sz w:val="18"/>
                <w:szCs w:val="18"/>
                <w:color w:val="auto"/>
              </w:rPr>
              <w:t>Sparta Systems, Inc.</w:t>
            </w:r>
          </w:p>
        </w:tc>
        <w:tc>
          <w:tcPr>
            <w:tcW w:w="4140" w:type="dxa"/>
            <w:vAlign w:val="bottom"/>
            <w:tcBorders>
              <w:bottom w:val="single" w:sz="8" w:color="888B8D"/>
            </w:tcBorders>
          </w:tcPr>
          <w:p>
            <w:pPr>
              <w:jc w:val="center"/>
              <w:ind w:left="1031"/>
              <w:spacing w:after="0"/>
              <w:rPr>
                <w:sz w:val="20"/>
                <w:szCs w:val="20"/>
                <w:color w:val="auto"/>
              </w:rPr>
            </w:pPr>
            <w:r>
              <w:rPr>
                <w:rFonts w:ascii="Arial" w:cs="Arial" w:eastAsia="Arial" w:hAnsi="Arial"/>
                <w:sz w:val="18"/>
                <w:szCs w:val="18"/>
                <w:color w:val="auto"/>
                <w:w w:val="99"/>
              </w:rPr>
              <w:t>New Jersey</w:t>
            </w:r>
          </w:p>
        </w:tc>
        <w:tc>
          <w:tcPr>
            <w:tcW w:w="1600" w:type="dxa"/>
            <w:vAlign w:val="bottom"/>
            <w:tcBorders>
              <w:bottom w:val="single" w:sz="8" w:color="888B8D"/>
            </w:tcBorders>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23"/>
        </w:trPr>
        <w:tc>
          <w:tcPr>
            <w:tcW w:w="5460" w:type="dxa"/>
            <w:vAlign w:val="bottom"/>
            <w:tcBorders>
              <w:bottom w:val="single" w:sz="8" w:color="888B8D"/>
            </w:tcBorders>
          </w:tcPr>
          <w:p>
            <w:pPr>
              <w:ind w:left="20"/>
              <w:spacing w:after="0"/>
              <w:rPr>
                <w:sz w:val="20"/>
                <w:szCs w:val="20"/>
                <w:color w:val="auto"/>
              </w:rPr>
            </w:pPr>
            <w:r>
              <w:rPr>
                <w:rFonts w:ascii="Arial" w:cs="Arial" w:eastAsia="Arial" w:hAnsi="Arial"/>
                <w:sz w:val="18"/>
                <w:szCs w:val="18"/>
                <w:color w:val="auto"/>
              </w:rPr>
              <w:t>Sperian Protection SAS</w:t>
            </w:r>
          </w:p>
        </w:tc>
        <w:tc>
          <w:tcPr>
            <w:tcW w:w="4140" w:type="dxa"/>
            <w:vAlign w:val="bottom"/>
            <w:tcBorders>
              <w:bottom w:val="single" w:sz="8" w:color="888B8D"/>
            </w:tcBorders>
          </w:tcPr>
          <w:p>
            <w:pPr>
              <w:jc w:val="center"/>
              <w:ind w:left="1051"/>
              <w:spacing w:after="0"/>
              <w:rPr>
                <w:sz w:val="20"/>
                <w:szCs w:val="20"/>
                <w:color w:val="auto"/>
              </w:rPr>
            </w:pPr>
            <w:r>
              <w:rPr>
                <w:rFonts w:ascii="Arial" w:cs="Arial" w:eastAsia="Arial" w:hAnsi="Arial"/>
                <w:sz w:val="18"/>
                <w:szCs w:val="18"/>
                <w:color w:val="auto"/>
                <w:w w:val="99"/>
              </w:rPr>
              <w:t>France</w:t>
            </w:r>
          </w:p>
        </w:tc>
        <w:tc>
          <w:tcPr>
            <w:tcW w:w="1600" w:type="dxa"/>
            <w:vAlign w:val="bottom"/>
            <w:tcBorders>
              <w:bottom w:val="single" w:sz="8" w:color="888B8D"/>
            </w:tcBorders>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23"/>
        </w:trPr>
        <w:tc>
          <w:tcPr>
            <w:tcW w:w="5460" w:type="dxa"/>
            <w:vAlign w:val="bottom"/>
            <w:tcBorders>
              <w:bottom w:val="single" w:sz="8" w:color="888B8D"/>
            </w:tcBorders>
          </w:tcPr>
          <w:p>
            <w:pPr>
              <w:ind w:left="20"/>
              <w:spacing w:after="0"/>
              <w:rPr>
                <w:sz w:val="20"/>
                <w:szCs w:val="20"/>
                <w:color w:val="auto"/>
              </w:rPr>
            </w:pPr>
            <w:r>
              <w:rPr>
                <w:rFonts w:ascii="Arial" w:cs="Arial" w:eastAsia="Arial" w:hAnsi="Arial"/>
                <w:sz w:val="18"/>
                <w:szCs w:val="18"/>
                <w:color w:val="auto"/>
              </w:rPr>
              <w:t>TRANSNORM SYSTEM GmbH</w:t>
            </w:r>
          </w:p>
        </w:tc>
        <w:tc>
          <w:tcPr>
            <w:tcW w:w="4140" w:type="dxa"/>
            <w:vAlign w:val="bottom"/>
            <w:tcBorders>
              <w:bottom w:val="single" w:sz="8" w:color="888B8D"/>
            </w:tcBorders>
          </w:tcPr>
          <w:p>
            <w:pPr>
              <w:jc w:val="center"/>
              <w:ind w:left="1031"/>
              <w:spacing w:after="0"/>
              <w:rPr>
                <w:sz w:val="20"/>
                <w:szCs w:val="20"/>
                <w:color w:val="auto"/>
              </w:rPr>
            </w:pPr>
            <w:r>
              <w:rPr>
                <w:rFonts w:ascii="Arial" w:cs="Arial" w:eastAsia="Arial" w:hAnsi="Arial"/>
                <w:sz w:val="18"/>
                <w:szCs w:val="18"/>
                <w:color w:val="auto"/>
                <w:w w:val="99"/>
              </w:rPr>
              <w:t>Germany</w:t>
            </w:r>
          </w:p>
        </w:tc>
        <w:tc>
          <w:tcPr>
            <w:tcW w:w="1600" w:type="dxa"/>
            <w:vAlign w:val="bottom"/>
            <w:tcBorders>
              <w:bottom w:val="single" w:sz="8" w:color="888B8D"/>
            </w:tcBorders>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23"/>
        </w:trPr>
        <w:tc>
          <w:tcPr>
            <w:tcW w:w="5460" w:type="dxa"/>
            <w:vAlign w:val="bottom"/>
            <w:tcBorders>
              <w:bottom w:val="single" w:sz="8" w:color="888B8D"/>
            </w:tcBorders>
          </w:tcPr>
          <w:p>
            <w:pPr>
              <w:ind w:left="20"/>
              <w:spacing w:after="0"/>
              <w:rPr>
                <w:sz w:val="20"/>
                <w:szCs w:val="20"/>
                <w:color w:val="auto"/>
              </w:rPr>
            </w:pPr>
            <w:r>
              <w:rPr>
                <w:rFonts w:ascii="Arial" w:cs="Arial" w:eastAsia="Arial" w:hAnsi="Arial"/>
                <w:sz w:val="18"/>
                <w:szCs w:val="18"/>
                <w:color w:val="auto"/>
              </w:rPr>
              <w:t>Transnorm System Inc.</w:t>
            </w:r>
          </w:p>
        </w:tc>
        <w:tc>
          <w:tcPr>
            <w:tcW w:w="4140" w:type="dxa"/>
            <w:vAlign w:val="bottom"/>
            <w:tcBorders>
              <w:bottom w:val="single" w:sz="8" w:color="888B8D"/>
            </w:tcBorders>
          </w:tcPr>
          <w:p>
            <w:pPr>
              <w:jc w:val="center"/>
              <w:ind w:left="1051"/>
              <w:spacing w:after="0"/>
              <w:rPr>
                <w:sz w:val="20"/>
                <w:szCs w:val="20"/>
                <w:color w:val="auto"/>
              </w:rPr>
            </w:pPr>
            <w:r>
              <w:rPr>
                <w:rFonts w:ascii="Arial" w:cs="Arial" w:eastAsia="Arial" w:hAnsi="Arial"/>
                <w:sz w:val="18"/>
                <w:szCs w:val="18"/>
                <w:color w:val="auto"/>
                <w:w w:val="99"/>
              </w:rPr>
              <w:t>Delaware</w:t>
            </w:r>
          </w:p>
        </w:tc>
        <w:tc>
          <w:tcPr>
            <w:tcW w:w="1600" w:type="dxa"/>
            <w:vAlign w:val="bottom"/>
            <w:tcBorders>
              <w:bottom w:val="single" w:sz="8" w:color="888B8D"/>
            </w:tcBorders>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23"/>
        </w:trPr>
        <w:tc>
          <w:tcPr>
            <w:tcW w:w="5460" w:type="dxa"/>
            <w:vAlign w:val="bottom"/>
            <w:tcBorders>
              <w:bottom w:val="single" w:sz="8" w:color="888B8D"/>
            </w:tcBorders>
          </w:tcPr>
          <w:p>
            <w:pPr>
              <w:ind w:left="20"/>
              <w:spacing w:after="0"/>
              <w:rPr>
                <w:sz w:val="20"/>
                <w:szCs w:val="20"/>
                <w:color w:val="auto"/>
              </w:rPr>
            </w:pPr>
            <w:r>
              <w:rPr>
                <w:rFonts w:ascii="Arial" w:cs="Arial" w:eastAsia="Arial" w:hAnsi="Arial"/>
                <w:sz w:val="18"/>
                <w:szCs w:val="18"/>
                <w:color w:val="auto"/>
              </w:rPr>
              <w:t>Tridium, Inc.</w:t>
            </w:r>
          </w:p>
        </w:tc>
        <w:tc>
          <w:tcPr>
            <w:tcW w:w="4140" w:type="dxa"/>
            <w:vAlign w:val="bottom"/>
            <w:tcBorders>
              <w:bottom w:val="single" w:sz="8" w:color="888B8D"/>
            </w:tcBorders>
          </w:tcPr>
          <w:p>
            <w:pPr>
              <w:jc w:val="center"/>
              <w:ind w:left="1051"/>
              <w:spacing w:after="0"/>
              <w:rPr>
                <w:sz w:val="20"/>
                <w:szCs w:val="20"/>
                <w:color w:val="auto"/>
              </w:rPr>
            </w:pPr>
            <w:r>
              <w:rPr>
                <w:rFonts w:ascii="Arial" w:cs="Arial" w:eastAsia="Arial" w:hAnsi="Arial"/>
                <w:sz w:val="18"/>
                <w:szCs w:val="18"/>
                <w:color w:val="auto"/>
                <w:w w:val="99"/>
              </w:rPr>
              <w:t>Delaware</w:t>
            </w:r>
          </w:p>
        </w:tc>
        <w:tc>
          <w:tcPr>
            <w:tcW w:w="1600" w:type="dxa"/>
            <w:vAlign w:val="bottom"/>
            <w:tcBorders>
              <w:bottom w:val="single" w:sz="8" w:color="888B8D"/>
            </w:tcBorders>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23"/>
        </w:trPr>
        <w:tc>
          <w:tcPr>
            <w:tcW w:w="5460" w:type="dxa"/>
            <w:vAlign w:val="bottom"/>
            <w:tcBorders>
              <w:bottom w:val="single" w:sz="8" w:color="888B8D"/>
            </w:tcBorders>
          </w:tcPr>
          <w:p>
            <w:pPr>
              <w:ind w:left="20"/>
              <w:spacing w:after="0"/>
              <w:rPr>
                <w:sz w:val="20"/>
                <w:szCs w:val="20"/>
                <w:color w:val="auto"/>
              </w:rPr>
            </w:pPr>
            <w:r>
              <w:rPr>
                <w:rFonts w:ascii="Arial" w:cs="Arial" w:eastAsia="Arial" w:hAnsi="Arial"/>
                <w:sz w:val="18"/>
                <w:szCs w:val="18"/>
                <w:color w:val="auto"/>
              </w:rPr>
              <w:t>UOP CH Sarl</w:t>
            </w:r>
          </w:p>
        </w:tc>
        <w:tc>
          <w:tcPr>
            <w:tcW w:w="4140" w:type="dxa"/>
            <w:vAlign w:val="bottom"/>
            <w:tcBorders>
              <w:bottom w:val="single" w:sz="8" w:color="888B8D"/>
            </w:tcBorders>
          </w:tcPr>
          <w:p>
            <w:pPr>
              <w:jc w:val="center"/>
              <w:ind w:left="1031"/>
              <w:spacing w:after="0"/>
              <w:rPr>
                <w:sz w:val="20"/>
                <w:szCs w:val="20"/>
                <w:color w:val="auto"/>
              </w:rPr>
            </w:pPr>
            <w:r>
              <w:rPr>
                <w:rFonts w:ascii="Arial" w:cs="Arial" w:eastAsia="Arial" w:hAnsi="Arial"/>
                <w:sz w:val="18"/>
                <w:szCs w:val="18"/>
                <w:color w:val="auto"/>
              </w:rPr>
              <w:t>Switzerland</w:t>
            </w:r>
          </w:p>
        </w:tc>
        <w:tc>
          <w:tcPr>
            <w:tcW w:w="1600" w:type="dxa"/>
            <w:vAlign w:val="bottom"/>
            <w:tcBorders>
              <w:bottom w:val="single" w:sz="8" w:color="888B8D"/>
            </w:tcBorders>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23"/>
        </w:trPr>
        <w:tc>
          <w:tcPr>
            <w:tcW w:w="5460" w:type="dxa"/>
            <w:vAlign w:val="bottom"/>
            <w:tcBorders>
              <w:bottom w:val="single" w:sz="8" w:color="888B8D"/>
            </w:tcBorders>
          </w:tcPr>
          <w:p>
            <w:pPr>
              <w:ind w:left="20"/>
              <w:spacing w:after="0"/>
              <w:rPr>
                <w:sz w:val="20"/>
                <w:szCs w:val="20"/>
                <w:color w:val="auto"/>
              </w:rPr>
            </w:pPr>
            <w:r>
              <w:rPr>
                <w:rFonts w:ascii="Arial" w:cs="Arial" w:eastAsia="Arial" w:hAnsi="Arial"/>
                <w:sz w:val="18"/>
                <w:szCs w:val="18"/>
                <w:color w:val="auto"/>
              </w:rPr>
              <w:t>UOP India Private Limited</w:t>
            </w:r>
          </w:p>
        </w:tc>
        <w:tc>
          <w:tcPr>
            <w:tcW w:w="4140" w:type="dxa"/>
            <w:vAlign w:val="bottom"/>
            <w:tcBorders>
              <w:bottom w:val="single" w:sz="8" w:color="888B8D"/>
            </w:tcBorders>
          </w:tcPr>
          <w:p>
            <w:pPr>
              <w:jc w:val="center"/>
              <w:ind w:left="1031"/>
              <w:spacing w:after="0"/>
              <w:rPr>
                <w:sz w:val="20"/>
                <w:szCs w:val="20"/>
                <w:color w:val="auto"/>
              </w:rPr>
            </w:pPr>
            <w:r>
              <w:rPr>
                <w:rFonts w:ascii="Arial" w:cs="Arial" w:eastAsia="Arial" w:hAnsi="Arial"/>
                <w:sz w:val="18"/>
                <w:szCs w:val="18"/>
                <w:color w:val="auto"/>
                <w:w w:val="97"/>
              </w:rPr>
              <w:t>India</w:t>
            </w:r>
          </w:p>
        </w:tc>
        <w:tc>
          <w:tcPr>
            <w:tcW w:w="1600" w:type="dxa"/>
            <w:vAlign w:val="bottom"/>
            <w:tcBorders>
              <w:bottom w:val="single" w:sz="8" w:color="888B8D"/>
            </w:tcBorders>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23"/>
        </w:trPr>
        <w:tc>
          <w:tcPr>
            <w:tcW w:w="5460" w:type="dxa"/>
            <w:vAlign w:val="bottom"/>
            <w:tcBorders>
              <w:bottom w:val="single" w:sz="8" w:color="888B8D"/>
            </w:tcBorders>
          </w:tcPr>
          <w:p>
            <w:pPr>
              <w:ind w:left="20"/>
              <w:spacing w:after="0"/>
              <w:rPr>
                <w:sz w:val="20"/>
                <w:szCs w:val="20"/>
                <w:color w:val="auto"/>
              </w:rPr>
            </w:pPr>
            <w:r>
              <w:rPr>
                <w:rFonts w:ascii="Arial" w:cs="Arial" w:eastAsia="Arial" w:hAnsi="Arial"/>
                <w:sz w:val="18"/>
                <w:szCs w:val="18"/>
                <w:color w:val="auto"/>
              </w:rPr>
              <w:t>UOP Limited</w:t>
            </w:r>
          </w:p>
        </w:tc>
        <w:tc>
          <w:tcPr>
            <w:tcW w:w="4140" w:type="dxa"/>
            <w:vAlign w:val="bottom"/>
            <w:tcBorders>
              <w:bottom w:val="single" w:sz="8" w:color="888B8D"/>
            </w:tcBorders>
          </w:tcPr>
          <w:p>
            <w:pPr>
              <w:jc w:val="center"/>
              <w:ind w:left="1051"/>
              <w:spacing w:after="0"/>
              <w:rPr>
                <w:sz w:val="20"/>
                <w:szCs w:val="20"/>
                <w:color w:val="auto"/>
              </w:rPr>
            </w:pPr>
            <w:r>
              <w:rPr>
                <w:rFonts w:ascii="Arial" w:cs="Arial" w:eastAsia="Arial" w:hAnsi="Arial"/>
                <w:sz w:val="18"/>
                <w:szCs w:val="18"/>
                <w:color w:val="auto"/>
                <w:w w:val="99"/>
              </w:rPr>
              <w:t>United Kingdom</w:t>
            </w:r>
          </w:p>
        </w:tc>
        <w:tc>
          <w:tcPr>
            <w:tcW w:w="1600" w:type="dxa"/>
            <w:vAlign w:val="bottom"/>
            <w:tcBorders>
              <w:bottom w:val="single" w:sz="8" w:color="888B8D"/>
            </w:tcBorders>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23"/>
        </w:trPr>
        <w:tc>
          <w:tcPr>
            <w:tcW w:w="5460" w:type="dxa"/>
            <w:vAlign w:val="bottom"/>
            <w:tcBorders>
              <w:bottom w:val="single" w:sz="8" w:color="888B8D"/>
            </w:tcBorders>
          </w:tcPr>
          <w:p>
            <w:pPr>
              <w:ind w:left="20"/>
              <w:spacing w:after="0"/>
              <w:rPr>
                <w:sz w:val="20"/>
                <w:szCs w:val="20"/>
                <w:color w:val="auto"/>
              </w:rPr>
            </w:pPr>
            <w:r>
              <w:rPr>
                <w:rFonts w:ascii="Arial" w:cs="Arial" w:eastAsia="Arial" w:hAnsi="Arial"/>
                <w:sz w:val="18"/>
                <w:szCs w:val="18"/>
                <w:color w:val="auto"/>
              </w:rPr>
              <w:t>UOP Process Technology Co., Ltd.</w:t>
            </w:r>
          </w:p>
        </w:tc>
        <w:tc>
          <w:tcPr>
            <w:tcW w:w="4140" w:type="dxa"/>
            <w:vAlign w:val="bottom"/>
            <w:tcBorders>
              <w:bottom w:val="single" w:sz="8" w:color="888B8D"/>
            </w:tcBorders>
          </w:tcPr>
          <w:p>
            <w:pPr>
              <w:jc w:val="center"/>
              <w:ind w:left="1031"/>
              <w:spacing w:after="0"/>
              <w:rPr>
                <w:sz w:val="20"/>
                <w:szCs w:val="20"/>
                <w:color w:val="auto"/>
              </w:rPr>
            </w:pPr>
            <w:r>
              <w:rPr>
                <w:rFonts w:ascii="Arial" w:cs="Arial" w:eastAsia="Arial" w:hAnsi="Arial"/>
                <w:sz w:val="18"/>
                <w:szCs w:val="18"/>
                <w:color w:val="auto"/>
                <w:w w:val="97"/>
              </w:rPr>
              <w:t>China</w:t>
            </w:r>
          </w:p>
        </w:tc>
        <w:tc>
          <w:tcPr>
            <w:tcW w:w="1600" w:type="dxa"/>
            <w:vAlign w:val="bottom"/>
            <w:tcBorders>
              <w:bottom w:val="single" w:sz="8" w:color="888B8D"/>
            </w:tcBorders>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23"/>
        </w:trPr>
        <w:tc>
          <w:tcPr>
            <w:tcW w:w="5460" w:type="dxa"/>
            <w:vAlign w:val="bottom"/>
            <w:tcBorders>
              <w:bottom w:val="single" w:sz="8" w:color="888B8D"/>
            </w:tcBorders>
          </w:tcPr>
          <w:p>
            <w:pPr>
              <w:ind w:left="20"/>
              <w:spacing w:after="0"/>
              <w:rPr>
                <w:sz w:val="20"/>
                <w:szCs w:val="20"/>
                <w:color w:val="auto"/>
              </w:rPr>
            </w:pPr>
            <w:r>
              <w:rPr>
                <w:rFonts w:ascii="Arial" w:cs="Arial" w:eastAsia="Arial" w:hAnsi="Arial"/>
                <w:sz w:val="18"/>
                <w:szCs w:val="18"/>
                <w:color w:val="auto"/>
              </w:rPr>
              <w:t>UOP Services Limited</w:t>
            </w:r>
          </w:p>
        </w:tc>
        <w:tc>
          <w:tcPr>
            <w:tcW w:w="4140" w:type="dxa"/>
            <w:vAlign w:val="bottom"/>
            <w:tcBorders>
              <w:bottom w:val="single" w:sz="8" w:color="888B8D"/>
            </w:tcBorders>
          </w:tcPr>
          <w:p>
            <w:pPr>
              <w:jc w:val="center"/>
              <w:ind w:left="1051"/>
              <w:spacing w:after="0"/>
              <w:rPr>
                <w:sz w:val="20"/>
                <w:szCs w:val="20"/>
                <w:color w:val="auto"/>
              </w:rPr>
            </w:pPr>
            <w:r>
              <w:rPr>
                <w:rFonts w:ascii="Arial" w:cs="Arial" w:eastAsia="Arial" w:hAnsi="Arial"/>
                <w:sz w:val="18"/>
                <w:szCs w:val="18"/>
                <w:color w:val="auto"/>
                <w:w w:val="99"/>
              </w:rPr>
              <w:t>United Kingdom</w:t>
            </w:r>
          </w:p>
        </w:tc>
        <w:tc>
          <w:tcPr>
            <w:tcW w:w="1600" w:type="dxa"/>
            <w:vAlign w:val="bottom"/>
            <w:tcBorders>
              <w:bottom w:val="single" w:sz="8" w:color="888B8D"/>
            </w:tcBorders>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23"/>
        </w:trPr>
        <w:tc>
          <w:tcPr>
            <w:tcW w:w="5460" w:type="dxa"/>
            <w:vAlign w:val="bottom"/>
            <w:tcBorders>
              <w:bottom w:val="single" w:sz="8" w:color="888B8D"/>
            </w:tcBorders>
          </w:tcPr>
          <w:p>
            <w:pPr>
              <w:ind w:left="20"/>
              <w:spacing w:after="0"/>
              <w:rPr>
                <w:sz w:val="20"/>
                <w:szCs w:val="20"/>
                <w:color w:val="auto"/>
              </w:rPr>
            </w:pPr>
            <w:r>
              <w:rPr>
                <w:rFonts w:ascii="Arial" w:cs="Arial" w:eastAsia="Arial" w:hAnsi="Arial"/>
                <w:sz w:val="18"/>
                <w:szCs w:val="18"/>
                <w:color w:val="auto"/>
              </w:rPr>
              <w:t>Vocollect, Inc.</w:t>
            </w:r>
          </w:p>
        </w:tc>
        <w:tc>
          <w:tcPr>
            <w:tcW w:w="4140" w:type="dxa"/>
            <w:vAlign w:val="bottom"/>
            <w:tcBorders>
              <w:bottom w:val="single" w:sz="8" w:color="888B8D"/>
            </w:tcBorders>
          </w:tcPr>
          <w:p>
            <w:pPr>
              <w:jc w:val="center"/>
              <w:ind w:left="1031"/>
              <w:spacing w:after="0"/>
              <w:rPr>
                <w:sz w:val="20"/>
                <w:szCs w:val="20"/>
                <w:color w:val="auto"/>
              </w:rPr>
            </w:pPr>
            <w:r>
              <w:rPr>
                <w:rFonts w:ascii="Arial" w:cs="Arial" w:eastAsia="Arial" w:hAnsi="Arial"/>
                <w:sz w:val="18"/>
                <w:szCs w:val="18"/>
                <w:color w:val="auto"/>
                <w:w w:val="98"/>
              </w:rPr>
              <w:t>Pennsylvania</w:t>
            </w:r>
          </w:p>
        </w:tc>
        <w:tc>
          <w:tcPr>
            <w:tcW w:w="1600" w:type="dxa"/>
            <w:vAlign w:val="bottom"/>
            <w:tcBorders>
              <w:bottom w:val="single" w:sz="8" w:color="888B8D"/>
            </w:tcBorders>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32"/>
        </w:trPr>
        <w:tc>
          <w:tcPr>
            <w:tcW w:w="5460" w:type="dxa"/>
            <w:vAlign w:val="bottom"/>
          </w:tcPr>
          <w:p>
            <w:pPr>
              <w:ind w:left="20"/>
              <w:spacing w:after="0"/>
              <w:rPr>
                <w:sz w:val="20"/>
                <w:szCs w:val="20"/>
                <w:color w:val="auto"/>
              </w:rPr>
            </w:pPr>
            <w:r>
              <w:rPr>
                <w:rFonts w:ascii="Arial" w:cs="Arial" w:eastAsia="Arial" w:hAnsi="Arial"/>
                <w:sz w:val="18"/>
                <w:szCs w:val="18"/>
                <w:color w:val="auto"/>
              </w:rPr>
              <w:t>Xian System Sensor Electronics Ltd</w:t>
            </w:r>
          </w:p>
        </w:tc>
        <w:tc>
          <w:tcPr>
            <w:tcW w:w="4140" w:type="dxa"/>
            <w:vAlign w:val="bottom"/>
          </w:tcPr>
          <w:p>
            <w:pPr>
              <w:jc w:val="center"/>
              <w:ind w:left="1031"/>
              <w:spacing w:after="0"/>
              <w:rPr>
                <w:sz w:val="20"/>
                <w:szCs w:val="20"/>
                <w:color w:val="auto"/>
              </w:rPr>
            </w:pPr>
            <w:r>
              <w:rPr>
                <w:rFonts w:ascii="Arial" w:cs="Arial" w:eastAsia="Arial" w:hAnsi="Arial"/>
                <w:sz w:val="18"/>
                <w:szCs w:val="18"/>
                <w:color w:val="auto"/>
                <w:w w:val="97"/>
              </w:rPr>
              <w:t>China</w:t>
            </w:r>
          </w:p>
        </w:tc>
        <w:tc>
          <w:tcPr>
            <w:tcW w:w="1600" w:type="dxa"/>
            <w:vAlign w:val="bottom"/>
          </w:tcPr>
          <w:p>
            <w:pPr>
              <w:jc w:val="right"/>
              <w:spacing w:after="0"/>
              <w:rPr>
                <w:sz w:val="20"/>
                <w:szCs w:val="20"/>
                <w:color w:val="auto"/>
              </w:rPr>
            </w:pPr>
            <w:r>
              <w:rPr>
                <w:rFonts w:ascii="Arial" w:cs="Arial" w:eastAsia="Arial" w:hAnsi="Arial"/>
                <w:sz w:val="18"/>
                <w:szCs w:val="18"/>
                <w:color w:val="auto"/>
              </w:rPr>
              <w:t>60 %</w:t>
            </w:r>
          </w:p>
        </w:tc>
        <w:tc>
          <w:tcPr>
            <w:tcW w:w="0" w:type="dxa"/>
            <w:vAlign w:val="bottom"/>
          </w:tcPr>
          <w:p>
            <w:pPr>
              <w:spacing w:after="0"/>
              <w:rPr>
                <w:sz w:val="1"/>
                <w:szCs w:val="1"/>
                <w:color w:val="auto"/>
              </w:rPr>
            </w:pPr>
          </w:p>
        </w:tc>
      </w:tr>
    </w:tbl>
    <w:p>
      <w:pPr>
        <w:sectPr>
          <w:pgSz w:w="11900" w:h="16838" w:orient="portrait"/>
          <w:cols w:equalWidth="0" w:num="1">
            <w:col w:w="11200"/>
          </w:cols>
          <w:pgMar w:left="340" w:top="928" w:right="359" w:bottom="1440" w:gutter="0" w:footer="0" w:header="0"/>
        </w:sectPr>
      </w:pPr>
    </w:p>
    <w:bookmarkStart w:id="206" w:name="page207"/>
    <w:bookmarkEnd w:id="206"/>
    <w:p>
      <w:pPr>
        <w:jc w:val="right"/>
        <w:spacing w:after="0"/>
        <w:rPr>
          <w:sz w:val="20"/>
          <w:szCs w:val="20"/>
          <w:color w:val="auto"/>
        </w:rPr>
      </w:pPr>
      <w:r>
        <w:rPr>
          <w:rFonts w:ascii="Times New Roman" w:cs="Times New Roman" w:eastAsia="Times New Roman" w:hAnsi="Times New Roman"/>
          <w:sz w:val="20"/>
          <w:szCs w:val="20"/>
          <w:b w:val="1"/>
          <w:bCs w:val="1"/>
          <w:color w:val="auto"/>
        </w:rPr>
        <w:t>EXHIBIT 23.1</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CONSENT OF INDEPENDENT REGISTERED PUBLIC ACCOUNTING FIRM</w:t>
      </w:r>
    </w:p>
    <w:p>
      <w:pPr>
        <w:spacing w:after="0" w:line="223" w:lineRule="exact"/>
        <w:rPr>
          <w:sz w:val="20"/>
          <w:szCs w:val="20"/>
          <w:color w:val="auto"/>
        </w:rPr>
      </w:pPr>
    </w:p>
    <w:p>
      <w:pPr>
        <w:ind w:right="180"/>
        <w:spacing w:after="0" w:line="236" w:lineRule="auto"/>
        <w:rPr>
          <w:sz w:val="20"/>
          <w:szCs w:val="20"/>
          <w:color w:val="auto"/>
        </w:rPr>
      </w:pPr>
      <w:r>
        <w:rPr>
          <w:rFonts w:ascii="Times New Roman" w:cs="Times New Roman" w:eastAsia="Times New Roman" w:hAnsi="Times New Roman"/>
          <w:sz w:val="22"/>
          <w:szCs w:val="22"/>
          <w:color w:val="auto"/>
        </w:rPr>
        <w:t>We consent to the incorporation by reference in Registration Statement Nos. 033-55425, 333-22355, 333-101455, 333-260437, and 333-282810 on Form S-3 and Registration Statement Nos. 333-49280, 333-136083, 333-146932, 333-148995, 333-175260, 333-195331, 333-210889, 333-210899 and 333-228733 on Form S-8 of our report dated February 14, 2025, relating to the consolidated financial statements of Honeywell International Inc. and subsidiaries and the effectiveness of the Honeywell International Inc. and subsidiaries’ internal control over financial reporting, appearing in this Annual Report on Form 10-K of Honeywell International Inc. for the year ended December 31, 2024.</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Deloitte &amp; Touche LLP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Charlotte, North Carolina</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February 14, 2025</w:t>
      </w:r>
    </w:p>
    <w:p>
      <w:pPr>
        <w:sectPr>
          <w:pgSz w:w="11900" w:h="16838" w:orient="portrait"/>
          <w:cols w:equalWidth="0" w:num="1">
            <w:col w:w="11240"/>
          </w:cols>
          <w:pgMar w:left="320" w:top="882" w:right="339" w:bottom="1440" w:gutter="0" w:footer="0" w:header="0"/>
        </w:sectPr>
      </w:pPr>
    </w:p>
    <w:bookmarkStart w:id="207" w:name="page208"/>
    <w:bookmarkEnd w:id="207"/>
    <w:p>
      <w:pPr>
        <w:jc w:val="right"/>
        <w:spacing w:after="0"/>
        <w:rPr>
          <w:sz w:val="20"/>
          <w:szCs w:val="20"/>
          <w:color w:val="auto"/>
        </w:rPr>
      </w:pPr>
      <w:r>
        <w:rPr>
          <w:rFonts w:ascii="Arial" w:cs="Arial" w:eastAsia="Arial" w:hAnsi="Arial"/>
          <w:sz w:val="22"/>
          <w:szCs w:val="22"/>
          <w:b w:val="1"/>
          <w:bCs w:val="1"/>
          <w:color w:val="auto"/>
        </w:rPr>
        <w:t>EXHIBIT 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POWER OF ATTORNEY</w:t>
      </w:r>
    </w:p>
    <w:p>
      <w:pPr>
        <w:spacing w:after="0" w:line="231" w:lineRule="exact"/>
        <w:rPr>
          <w:sz w:val="20"/>
          <w:szCs w:val="20"/>
          <w:color w:val="auto"/>
        </w:rPr>
      </w:pPr>
    </w:p>
    <w:p>
      <w:pPr>
        <w:jc w:val="both"/>
        <w:ind w:right="400" w:firstLine="220"/>
        <w:spacing w:after="0" w:line="259" w:lineRule="auto"/>
        <w:rPr>
          <w:sz w:val="20"/>
          <w:szCs w:val="20"/>
          <w:color w:val="auto"/>
        </w:rPr>
      </w:pPr>
      <w:r>
        <w:rPr>
          <w:rFonts w:ascii="Arial" w:cs="Arial" w:eastAsia="Arial" w:hAnsi="Arial"/>
          <w:sz w:val="20"/>
          <w:szCs w:val="20"/>
          <w:color w:val="auto"/>
        </w:rPr>
        <w:t>Each of the undersigned, as a director of Honeywell International Inc. (the “Company”), a Delaware corporation, hereby appoints Vimal Kapur, Gregory P. Lewis, Anne T. Madden, Robert D. Mailloux, and Michal Stepniak, each with power to act without the other and with power of substitution and resubstitution, as my attorney-in-fact and agent for me and in my name, place and stead in any and all capacities,</w:t>
      </w:r>
    </w:p>
    <w:p>
      <w:pPr>
        <w:spacing w:after="0" w:line="195" w:lineRule="exact"/>
        <w:rPr>
          <w:sz w:val="20"/>
          <w:szCs w:val="20"/>
          <w:color w:val="auto"/>
        </w:rPr>
      </w:pPr>
    </w:p>
    <w:p>
      <w:pPr>
        <w:ind w:right="540" w:firstLine="656"/>
        <w:spacing w:after="0" w:line="286" w:lineRule="auto"/>
        <w:tabs>
          <w:tab w:leader="none" w:pos="1283" w:val="left"/>
        </w:tabs>
        <w:numPr>
          <w:ilvl w:val="0"/>
          <w:numId w:val="317"/>
        </w:numPr>
        <w:rPr>
          <w:rFonts w:ascii="Arial" w:cs="Arial" w:eastAsia="Arial" w:hAnsi="Arial"/>
          <w:sz w:val="20"/>
          <w:szCs w:val="20"/>
          <w:color w:val="auto"/>
        </w:rPr>
      </w:pPr>
      <w:r>
        <w:rPr>
          <w:rFonts w:ascii="Arial" w:cs="Arial" w:eastAsia="Arial" w:hAnsi="Arial"/>
          <w:sz w:val="20"/>
          <w:szCs w:val="20"/>
          <w:color w:val="auto"/>
        </w:rPr>
        <w:t>to sign the Company’s Annual Report on Form 10-K under the Securities Exchange Act of 1934 for the year ended December 31, 2024,</w:t>
      </w:r>
    </w:p>
    <w:p>
      <w:pPr>
        <w:spacing w:after="0" w:line="180" w:lineRule="exact"/>
        <w:rPr>
          <w:rFonts w:ascii="Arial" w:cs="Arial" w:eastAsia="Arial" w:hAnsi="Arial"/>
          <w:sz w:val="20"/>
          <w:szCs w:val="20"/>
          <w:color w:val="auto"/>
        </w:rPr>
      </w:pPr>
    </w:p>
    <w:p>
      <w:pPr>
        <w:ind w:right="180" w:firstLine="656"/>
        <w:spacing w:after="0" w:line="271" w:lineRule="auto"/>
        <w:tabs>
          <w:tab w:leader="none" w:pos="1286" w:val="left"/>
        </w:tabs>
        <w:numPr>
          <w:ilvl w:val="0"/>
          <w:numId w:val="317"/>
        </w:numPr>
        <w:rPr>
          <w:rFonts w:ascii="Arial" w:cs="Arial" w:eastAsia="Arial" w:hAnsi="Arial"/>
          <w:sz w:val="20"/>
          <w:szCs w:val="20"/>
          <w:color w:val="auto"/>
        </w:rPr>
      </w:pPr>
      <w:r>
        <w:rPr>
          <w:rFonts w:ascii="Arial" w:cs="Arial" w:eastAsia="Arial" w:hAnsi="Arial"/>
          <w:sz w:val="20"/>
          <w:szCs w:val="20"/>
          <w:color w:val="auto"/>
        </w:rPr>
        <w:t>to sign any amendment to the Annual Report referred to in (i) above, or to any previously filed Annual Report on Form 10-K for any prior fiscal year, and</w:t>
      </w:r>
    </w:p>
    <w:p>
      <w:pPr>
        <w:spacing w:after="0" w:line="196" w:lineRule="exact"/>
        <w:rPr>
          <w:rFonts w:ascii="Arial" w:cs="Arial" w:eastAsia="Arial" w:hAnsi="Arial"/>
          <w:sz w:val="20"/>
          <w:szCs w:val="20"/>
          <w:color w:val="auto"/>
        </w:rPr>
      </w:pPr>
    </w:p>
    <w:p>
      <w:pPr>
        <w:ind w:right="340" w:firstLine="656"/>
        <w:spacing w:after="0" w:line="271" w:lineRule="auto"/>
        <w:tabs>
          <w:tab w:leader="none" w:pos="1289" w:val="left"/>
        </w:tabs>
        <w:numPr>
          <w:ilvl w:val="0"/>
          <w:numId w:val="317"/>
        </w:numPr>
        <w:rPr>
          <w:rFonts w:ascii="Arial" w:cs="Arial" w:eastAsia="Arial" w:hAnsi="Arial"/>
          <w:sz w:val="20"/>
          <w:szCs w:val="20"/>
          <w:color w:val="auto"/>
        </w:rPr>
      </w:pPr>
      <w:r>
        <w:rPr>
          <w:rFonts w:ascii="Arial" w:cs="Arial" w:eastAsia="Arial" w:hAnsi="Arial"/>
          <w:sz w:val="20"/>
          <w:szCs w:val="20"/>
          <w:color w:val="auto"/>
        </w:rPr>
        <w:t>to file the documents described in (i) and (ii) above and all exhibits thereto and any and all other documents in connection therewith,</w:t>
      </w:r>
    </w:p>
    <w:p>
      <w:pPr>
        <w:spacing w:after="0" w:line="196" w:lineRule="exact"/>
        <w:rPr>
          <w:sz w:val="20"/>
          <w:szCs w:val="20"/>
          <w:color w:val="auto"/>
        </w:rPr>
      </w:pPr>
    </w:p>
    <w:p>
      <w:pPr>
        <w:ind w:right="220"/>
        <w:spacing w:after="0" w:line="254" w:lineRule="auto"/>
        <w:rPr>
          <w:sz w:val="20"/>
          <w:szCs w:val="20"/>
          <w:color w:val="auto"/>
        </w:rPr>
      </w:pPr>
      <w:r>
        <w:rPr>
          <w:rFonts w:ascii="Arial" w:cs="Arial" w:eastAsia="Arial" w:hAnsi="Arial"/>
          <w:sz w:val="20"/>
          <w:szCs w:val="20"/>
          <w:color w:val="auto"/>
        </w:rPr>
        <w:t xml:space="preserve">granting unto each said attorney-in-fact and agent full power and authority to do and perform every act and thing requisite, necessary or desirable to be done in connection therewith, as fully to all intents and purposes as I might or could do in person, hereby ratifying and confirming all that said attorneys-in-fact and agents, or any of them, or their or his or her substitutes or substitute, may lawfully do or cause to be done by virtue </w:t>
      </w:r>
      <w:r>
        <w:rPr>
          <w:rFonts w:ascii="Calibri" w:cs="Calibri" w:eastAsia="Calibri" w:hAnsi="Calibri"/>
          <w:sz w:val="20"/>
          <w:szCs w:val="20"/>
          <w:color w:val="auto"/>
        </w:rPr>
        <w:t>hereof.</w:t>
      </w:r>
    </w:p>
    <w:p>
      <w:pPr>
        <w:sectPr>
          <w:pgSz w:w="11900" w:h="16838" w:orient="portrait"/>
          <w:cols w:equalWidth="0" w:num="1">
            <w:col w:w="11240"/>
          </w:cols>
          <w:pgMar w:left="320" w:top="125" w:right="339" w:bottom="1440" w:gutter="0" w:footer="0" w:header="0"/>
        </w:sectPr>
      </w:pPr>
    </w:p>
    <w:bookmarkStart w:id="208" w:name="page209"/>
    <w:bookmarkEnd w:id="208"/>
    <w:p>
      <w:pPr>
        <w:ind w:firstLine="648"/>
        <w:spacing w:after="0" w:line="286" w:lineRule="auto"/>
        <w:rPr>
          <w:sz w:val="20"/>
          <w:szCs w:val="20"/>
          <w:color w:val="auto"/>
        </w:rPr>
      </w:pPr>
      <w:r>
        <w:rPr>
          <w:rFonts w:ascii="Arial" w:cs="Arial" w:eastAsia="Arial" w:hAnsi="Arial"/>
          <w:sz w:val="20"/>
          <w:szCs w:val="20"/>
          <w:color w:val="auto"/>
        </w:rPr>
        <w:t>This Power of Attorney may be signed in any number of counterparts, each of which shall be an original, with the same effect as if the signatures thereto and hereto were upon the same instrument.</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color w:val="auto"/>
        </w:rPr>
        <w:t>Date: December 9, 2024</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/s/ Duncan Angove</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Duncan Angove</w:t>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color w:val="auto"/>
        </w:rPr>
        <w:t>/s/ William Ayer</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William Ayer</w:t>
      </w: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color w:val="auto"/>
        </w:rPr>
        <w:t>/s/ Kevin Burke</w:t>
      </w:r>
    </w:p>
    <w:p>
      <w:pPr>
        <w:spacing w:after="0" w:line="18" w:lineRule="exact"/>
        <w:rPr>
          <w:sz w:val="20"/>
          <w:szCs w:val="20"/>
          <w:color w:val="auto"/>
        </w:rPr>
      </w:pPr>
    </w:p>
    <w:p>
      <w:pPr>
        <w:spacing w:after="0"/>
        <w:rPr>
          <w:sz w:val="20"/>
          <w:szCs w:val="20"/>
          <w:color w:val="auto"/>
        </w:rPr>
      </w:pPr>
      <w:r>
        <w:rPr>
          <w:rFonts w:ascii="Arial" w:cs="Arial" w:eastAsia="Arial" w:hAnsi="Arial"/>
          <w:sz w:val="20"/>
          <w:szCs w:val="20"/>
          <w:color w:val="auto"/>
        </w:rPr>
        <w:t>Kevin Burke</w:t>
      </w: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color w:val="auto"/>
        </w:rPr>
        <w:t>/s/ D. Scott Davis</w:t>
      </w:r>
    </w:p>
    <w:p>
      <w:pPr>
        <w:spacing w:after="0" w:line="18" w:lineRule="exact"/>
        <w:rPr>
          <w:sz w:val="20"/>
          <w:szCs w:val="20"/>
          <w:color w:val="auto"/>
        </w:rPr>
      </w:pPr>
    </w:p>
    <w:p>
      <w:pPr>
        <w:spacing w:after="0"/>
        <w:rPr>
          <w:sz w:val="20"/>
          <w:szCs w:val="20"/>
          <w:color w:val="auto"/>
        </w:rPr>
      </w:pPr>
      <w:r>
        <w:rPr>
          <w:rFonts w:ascii="Arial" w:cs="Arial" w:eastAsia="Arial" w:hAnsi="Arial"/>
          <w:sz w:val="20"/>
          <w:szCs w:val="20"/>
          <w:color w:val="auto"/>
        </w:rPr>
        <w:t>D. Scott Davis</w:t>
      </w: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color w:val="auto"/>
        </w:rPr>
        <w:t>/s/ Deborah Flint</w:t>
      </w:r>
    </w:p>
    <w:p>
      <w:pPr>
        <w:spacing w:after="0" w:line="18" w:lineRule="exact"/>
        <w:rPr>
          <w:sz w:val="20"/>
          <w:szCs w:val="20"/>
          <w:color w:val="auto"/>
        </w:rPr>
      </w:pPr>
    </w:p>
    <w:p>
      <w:pPr>
        <w:spacing w:after="0"/>
        <w:rPr>
          <w:sz w:val="20"/>
          <w:szCs w:val="20"/>
          <w:color w:val="auto"/>
        </w:rPr>
      </w:pPr>
      <w:r>
        <w:rPr>
          <w:rFonts w:ascii="Arial" w:cs="Arial" w:eastAsia="Arial" w:hAnsi="Arial"/>
          <w:sz w:val="20"/>
          <w:szCs w:val="20"/>
          <w:color w:val="auto"/>
        </w:rPr>
        <w:t>Deborah Flint</w:t>
      </w: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color w:val="auto"/>
        </w:rPr>
        <w:t>/s/ Mike Lamach</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Mike Lamach</w:t>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color w:val="auto"/>
        </w:rPr>
        <w:t>/s/ Rose Lee</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Rose Lee</w:t>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color w:val="auto"/>
        </w:rPr>
        <w:t>/s/ Grace Lieblein</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Grace Lieblein</w:t>
      </w: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color w:val="auto"/>
        </w:rPr>
        <w:t>/s/ Robin Washington</w:t>
      </w:r>
    </w:p>
    <w:p>
      <w:pPr>
        <w:spacing w:after="0" w:line="18" w:lineRule="exact"/>
        <w:rPr>
          <w:sz w:val="20"/>
          <w:szCs w:val="20"/>
          <w:color w:val="auto"/>
        </w:rPr>
      </w:pPr>
    </w:p>
    <w:p>
      <w:pPr>
        <w:spacing w:after="0"/>
        <w:rPr>
          <w:sz w:val="20"/>
          <w:szCs w:val="20"/>
          <w:color w:val="auto"/>
        </w:rPr>
      </w:pPr>
      <w:r>
        <w:rPr>
          <w:rFonts w:ascii="Arial" w:cs="Arial" w:eastAsia="Arial" w:hAnsi="Arial"/>
          <w:sz w:val="20"/>
          <w:szCs w:val="20"/>
          <w:color w:val="auto"/>
        </w:rPr>
        <w:t>Robin Washington</w:t>
      </w: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color w:val="auto"/>
        </w:rPr>
        <w:t>/s/ Robin Watson</w:t>
      </w:r>
    </w:p>
    <w:p>
      <w:pPr>
        <w:spacing w:after="0" w:line="18" w:lineRule="exact"/>
        <w:rPr>
          <w:sz w:val="20"/>
          <w:szCs w:val="20"/>
          <w:color w:val="auto"/>
        </w:rPr>
      </w:pPr>
    </w:p>
    <w:p>
      <w:pPr>
        <w:spacing w:after="0"/>
        <w:rPr>
          <w:sz w:val="20"/>
          <w:szCs w:val="20"/>
          <w:color w:val="auto"/>
        </w:rPr>
      </w:pPr>
      <w:r>
        <w:rPr>
          <w:rFonts w:ascii="Arial" w:cs="Arial" w:eastAsia="Arial" w:hAnsi="Arial"/>
          <w:sz w:val="20"/>
          <w:szCs w:val="20"/>
          <w:color w:val="auto"/>
        </w:rPr>
        <w:t>Robin Watson</w:t>
      </w:r>
    </w:p>
    <w:p>
      <w:pPr>
        <w:sectPr>
          <w:pgSz w:w="11900" w:h="16838" w:orient="portrait"/>
          <w:cols w:equalWidth="0" w:num="1">
            <w:col w:w="11040"/>
          </w:cols>
          <w:pgMar w:left="320" w:top="969" w:right="539" w:bottom="1440" w:gutter="0" w:footer="0" w:header="0"/>
        </w:sectPr>
      </w:pPr>
    </w:p>
    <w:bookmarkStart w:id="209" w:name="page210"/>
    <w:bookmarkEnd w:id="209"/>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u w:val="single" w:color="auto"/>
          <w:color w:val="auto"/>
        </w:rPr>
        <w:t>POWER OF ATTORNEY</w:t>
      </w:r>
    </w:p>
    <w:p>
      <w:pPr>
        <w:spacing w:after="0" w:line="258" w:lineRule="exact"/>
        <w:rPr>
          <w:sz w:val="20"/>
          <w:szCs w:val="20"/>
          <w:color w:val="auto"/>
        </w:rPr>
      </w:pPr>
    </w:p>
    <w:p>
      <w:pPr>
        <w:ind w:firstLine="220"/>
        <w:spacing w:after="0" w:line="264" w:lineRule="auto"/>
        <w:rPr>
          <w:sz w:val="20"/>
          <w:szCs w:val="20"/>
          <w:color w:val="auto"/>
        </w:rPr>
      </w:pPr>
      <w:r>
        <w:rPr>
          <w:rFonts w:ascii="Arial" w:cs="Arial" w:eastAsia="Arial" w:hAnsi="Arial"/>
          <w:sz w:val="19"/>
          <w:szCs w:val="19"/>
          <w:color w:val="auto"/>
        </w:rPr>
        <w:t>Each of the undersigned, as a director of Honeywell International Inc. (the “Company”), a Delaware corporation, hereby appoints Vimal Kapur, Gregory P. Lewis, Anne T. Madden, Robert D. Mailloux, and Michal Stepniak, each with power to act without the other and with power of substitution and resubstitution, as my attorney-in-fact to sign on my behalf in my capacity as a director of the Company one or more registration statements on Form S-8 or any other appropriate form during fiscal year 2025 and to file the same together with all exhibits thereto, under the Securities Act of 1933, including any amendment or supplement thereto or to any registration statement heretofore filed by the Company on Form S-8 or any other appropriate form for the registration of shares of the Company's Common Stock (or participations where appropriate) to be offered pursuant to the Honeywell Savings and Ownership Plan, the Honeywell Puerto Rico Savings and Ownership Plan, the Honeywell Supplemental Savings Plan, the 2006 Stock Plan for Non-Employee Directors of Honeywell International Inc., the 2007 Honeywell Global Employee Stock Plan (including any and all sub-plans), the 2011 Stock Incentive Plan of Honeywell International Inc. and its Affiliates, the 2016 Stock Plan for Non-Employee Directors of Honeywell International Inc., and the 2016 Stock Incentive Plan of Honeywell International Inc. and its Affiliates and any plan which is a successor to such plans or is a validly authorized new plan pursuant to which securities of the Company are issued to employees or non-employee directors.</w:t>
      </w:r>
    </w:p>
    <w:p>
      <w:pPr>
        <w:spacing w:after="0" w:line="210" w:lineRule="exact"/>
        <w:rPr>
          <w:sz w:val="20"/>
          <w:szCs w:val="20"/>
          <w:color w:val="auto"/>
        </w:rPr>
      </w:pPr>
    </w:p>
    <w:p>
      <w:pPr>
        <w:jc w:val="both"/>
        <w:ind w:right="160" w:firstLine="220"/>
        <w:spacing w:after="0" w:line="262" w:lineRule="auto"/>
        <w:rPr>
          <w:sz w:val="20"/>
          <w:szCs w:val="20"/>
          <w:color w:val="auto"/>
        </w:rPr>
      </w:pPr>
      <w:r>
        <w:rPr>
          <w:rFonts w:ascii="Arial" w:cs="Arial" w:eastAsia="Arial" w:hAnsi="Arial"/>
          <w:sz w:val="20"/>
          <w:szCs w:val="20"/>
          <w:color w:val="auto"/>
        </w:rPr>
        <w:t>I hereby grant to each such attorney-in-fact full power and authority to perform every act necessary to be done in connection with the foregoing as fully as I might do in person, hereby ratifying and confirming all that said attorneys-in-fact, or any of them or their substitutes, may lawfully do or cause to be done.</w:t>
      </w:r>
    </w:p>
    <w:p>
      <w:pPr>
        <w:spacing w:after="0" w:line="192" w:lineRule="exact"/>
        <w:rPr>
          <w:sz w:val="20"/>
          <w:szCs w:val="20"/>
          <w:color w:val="auto"/>
        </w:rPr>
      </w:pPr>
    </w:p>
    <w:p>
      <w:pPr>
        <w:ind w:left="220"/>
        <w:spacing w:after="0"/>
        <w:rPr>
          <w:sz w:val="20"/>
          <w:szCs w:val="20"/>
          <w:color w:val="auto"/>
        </w:rPr>
      </w:pPr>
      <w:r>
        <w:rPr>
          <w:rFonts w:ascii="Arial" w:cs="Arial" w:eastAsia="Arial" w:hAnsi="Arial"/>
          <w:sz w:val="20"/>
          <w:szCs w:val="20"/>
          <w:color w:val="auto"/>
        </w:rPr>
        <w:t>I hereby revoke any or all prior appointments of attorneys-in-fact to sign the above-described documents.</w:t>
      </w:r>
    </w:p>
    <w:p>
      <w:pPr>
        <w:sectPr>
          <w:pgSz w:w="11900" w:h="16838" w:orient="portrait"/>
          <w:cols w:equalWidth="0" w:num="1">
            <w:col w:w="11240"/>
          </w:cols>
          <w:pgMar w:left="320" w:top="1440" w:right="339" w:bottom="1440" w:gutter="0" w:footer="0" w:header="0"/>
        </w:sectPr>
      </w:pPr>
    </w:p>
    <w:bookmarkStart w:id="210" w:name="page211"/>
    <w:bookmarkEnd w:id="210"/>
    <w:p>
      <w:pPr>
        <w:spacing w:after="0" w:line="258" w:lineRule="exact"/>
        <w:rPr>
          <w:sz w:val="20"/>
          <w:szCs w:val="20"/>
          <w:color w:val="auto"/>
        </w:rPr>
      </w:pPr>
    </w:p>
    <w:p>
      <w:pPr>
        <w:spacing w:after="0" w:line="286" w:lineRule="auto"/>
        <w:rPr>
          <w:sz w:val="20"/>
          <w:szCs w:val="20"/>
          <w:color w:val="auto"/>
        </w:rPr>
      </w:pPr>
      <w:r>
        <w:rPr>
          <w:rFonts w:ascii="Arial" w:cs="Arial" w:eastAsia="Arial" w:hAnsi="Arial"/>
          <w:sz w:val="20"/>
          <w:szCs w:val="20"/>
          <w:color w:val="auto"/>
        </w:rPr>
        <w:t>This Power of Attorney may be signed in any number of counterparts, each of which shall be an original, with the same effect as if the signatures thereto and hereto were upon the same instrument.</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color w:val="auto"/>
        </w:rPr>
        <w:t>Date: December 9, 2024</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/s/ Duncan Angove</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Duncan Angove</w:t>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color w:val="auto"/>
        </w:rPr>
        <w:t>/s/ William Ayer</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William Ayer</w:t>
      </w: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color w:val="auto"/>
        </w:rPr>
        <w:t>/s/ Kevin Burke</w:t>
      </w:r>
    </w:p>
    <w:p>
      <w:pPr>
        <w:spacing w:after="0" w:line="18" w:lineRule="exact"/>
        <w:rPr>
          <w:sz w:val="20"/>
          <w:szCs w:val="20"/>
          <w:color w:val="auto"/>
        </w:rPr>
      </w:pPr>
    </w:p>
    <w:p>
      <w:pPr>
        <w:spacing w:after="0"/>
        <w:rPr>
          <w:sz w:val="20"/>
          <w:szCs w:val="20"/>
          <w:color w:val="auto"/>
        </w:rPr>
      </w:pPr>
      <w:r>
        <w:rPr>
          <w:rFonts w:ascii="Arial" w:cs="Arial" w:eastAsia="Arial" w:hAnsi="Arial"/>
          <w:sz w:val="20"/>
          <w:szCs w:val="20"/>
          <w:color w:val="auto"/>
        </w:rPr>
        <w:t>Kevin Burke</w:t>
      </w: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color w:val="auto"/>
        </w:rPr>
        <w:t>/s/ D. Scott Davis</w:t>
      </w:r>
    </w:p>
    <w:p>
      <w:pPr>
        <w:spacing w:after="0" w:line="18" w:lineRule="exact"/>
        <w:rPr>
          <w:sz w:val="20"/>
          <w:szCs w:val="20"/>
          <w:color w:val="auto"/>
        </w:rPr>
      </w:pPr>
    </w:p>
    <w:p>
      <w:pPr>
        <w:spacing w:after="0"/>
        <w:rPr>
          <w:sz w:val="20"/>
          <w:szCs w:val="20"/>
          <w:color w:val="auto"/>
        </w:rPr>
      </w:pPr>
      <w:r>
        <w:rPr>
          <w:rFonts w:ascii="Arial" w:cs="Arial" w:eastAsia="Arial" w:hAnsi="Arial"/>
          <w:sz w:val="20"/>
          <w:szCs w:val="20"/>
          <w:color w:val="auto"/>
        </w:rPr>
        <w:t>D. Scott Davis</w:t>
      </w: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color w:val="auto"/>
        </w:rPr>
        <w:t>/s/ Deborah Flint</w:t>
      </w:r>
    </w:p>
    <w:p>
      <w:pPr>
        <w:spacing w:after="0" w:line="18" w:lineRule="exact"/>
        <w:rPr>
          <w:sz w:val="20"/>
          <w:szCs w:val="20"/>
          <w:color w:val="auto"/>
        </w:rPr>
      </w:pPr>
    </w:p>
    <w:p>
      <w:pPr>
        <w:spacing w:after="0"/>
        <w:rPr>
          <w:sz w:val="20"/>
          <w:szCs w:val="20"/>
          <w:color w:val="auto"/>
        </w:rPr>
      </w:pPr>
      <w:r>
        <w:rPr>
          <w:rFonts w:ascii="Arial" w:cs="Arial" w:eastAsia="Arial" w:hAnsi="Arial"/>
          <w:sz w:val="20"/>
          <w:szCs w:val="20"/>
          <w:color w:val="auto"/>
        </w:rPr>
        <w:t>Deborah Flint</w:t>
      </w: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color w:val="auto"/>
        </w:rPr>
        <w:t>/s/ Mike Lamach</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Mike Lamach</w:t>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color w:val="auto"/>
        </w:rPr>
        <w:t>/s/ Rose Lee</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Rose Lee</w:t>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color w:val="auto"/>
        </w:rPr>
        <w:t>/s/ Grace Lieblein</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Grace Lieblein</w:t>
      </w: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color w:val="auto"/>
        </w:rPr>
        <w:t>/s/ Robin Washington</w:t>
      </w:r>
    </w:p>
    <w:p>
      <w:pPr>
        <w:spacing w:after="0" w:line="18" w:lineRule="exact"/>
        <w:rPr>
          <w:sz w:val="20"/>
          <w:szCs w:val="20"/>
          <w:color w:val="auto"/>
        </w:rPr>
      </w:pPr>
    </w:p>
    <w:p>
      <w:pPr>
        <w:spacing w:after="0"/>
        <w:rPr>
          <w:sz w:val="20"/>
          <w:szCs w:val="20"/>
          <w:color w:val="auto"/>
        </w:rPr>
      </w:pPr>
      <w:r>
        <w:rPr>
          <w:rFonts w:ascii="Arial" w:cs="Arial" w:eastAsia="Arial" w:hAnsi="Arial"/>
          <w:sz w:val="20"/>
          <w:szCs w:val="20"/>
          <w:color w:val="auto"/>
        </w:rPr>
        <w:t>Robin Washington</w:t>
      </w: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color w:val="auto"/>
        </w:rPr>
        <w:t>/s/ Robin Watson</w:t>
      </w:r>
    </w:p>
    <w:p>
      <w:pPr>
        <w:spacing w:after="0" w:line="18" w:lineRule="exact"/>
        <w:rPr>
          <w:sz w:val="20"/>
          <w:szCs w:val="20"/>
          <w:color w:val="auto"/>
        </w:rPr>
      </w:pPr>
    </w:p>
    <w:p>
      <w:pPr>
        <w:spacing w:after="0"/>
        <w:rPr>
          <w:sz w:val="20"/>
          <w:szCs w:val="20"/>
          <w:color w:val="auto"/>
        </w:rPr>
      </w:pPr>
      <w:r>
        <w:rPr>
          <w:rFonts w:ascii="Arial" w:cs="Arial" w:eastAsia="Arial" w:hAnsi="Arial"/>
          <w:sz w:val="20"/>
          <w:szCs w:val="20"/>
          <w:color w:val="auto"/>
        </w:rPr>
        <w:t>Robin Watson</w:t>
      </w:r>
    </w:p>
    <w:p>
      <w:pPr>
        <w:sectPr>
          <w:pgSz w:w="11900" w:h="16838" w:orient="portrait"/>
          <w:cols w:equalWidth="0" w:num="1">
            <w:col w:w="11180"/>
          </w:cols>
          <w:pgMar w:left="320" w:top="1440" w:right="399" w:bottom="1440" w:gutter="0" w:footer="0" w:header="0"/>
        </w:sectPr>
      </w:pPr>
    </w:p>
    <w:bookmarkStart w:id="211" w:name="page212"/>
    <w:bookmarkEnd w:id="211"/>
    <w:p>
      <w:pPr>
        <w:jc w:val="center"/>
        <w:ind w:right="-39"/>
        <w:spacing w:after="0"/>
        <w:rPr>
          <w:sz w:val="20"/>
          <w:szCs w:val="20"/>
          <w:color w:val="auto"/>
        </w:rPr>
      </w:pPr>
      <w:r>
        <w:rPr>
          <w:rFonts w:ascii="Arial" w:cs="Arial" w:eastAsia="Arial" w:hAnsi="Arial"/>
          <w:sz w:val="20"/>
          <w:szCs w:val="20"/>
          <w:b w:val="1"/>
          <w:bCs w:val="1"/>
          <w:u w:val="single" w:color="auto"/>
          <w:color w:val="auto"/>
        </w:rPr>
        <w:t>POWER OF ATTORNEY</w:t>
      </w:r>
    </w:p>
    <w:p>
      <w:pPr>
        <w:spacing w:after="0" w:line="200" w:lineRule="exact"/>
        <w:rPr>
          <w:sz w:val="20"/>
          <w:szCs w:val="20"/>
          <w:color w:val="auto"/>
        </w:rPr>
      </w:pPr>
    </w:p>
    <w:p>
      <w:pPr>
        <w:spacing w:after="0" w:line="301" w:lineRule="exact"/>
        <w:rPr>
          <w:sz w:val="20"/>
          <w:szCs w:val="20"/>
          <w:color w:val="auto"/>
        </w:rPr>
      </w:pPr>
    </w:p>
    <w:p>
      <w:pPr>
        <w:ind w:right="60" w:firstLine="648"/>
        <w:spacing w:after="0" w:line="270" w:lineRule="auto"/>
        <w:rPr>
          <w:sz w:val="20"/>
          <w:szCs w:val="20"/>
          <w:color w:val="auto"/>
        </w:rPr>
      </w:pPr>
      <w:r>
        <w:rPr>
          <w:rFonts w:ascii="Arial" w:cs="Arial" w:eastAsia="Arial" w:hAnsi="Arial"/>
          <w:sz w:val="19"/>
          <w:szCs w:val="19"/>
          <w:color w:val="auto"/>
        </w:rPr>
        <w:t>Each of the undersigned, as a director of Honeywell International Inc. (the “Company”), a Delaware corporation, hereby appoints Vimal Kapur, Gregory P. Lewis, Anne T. Madden, Robert D. Mailloux, and Michal Stepniak, each with power to act without the other and with power of substitution and resubstitution, as my attorney-in-fact to sign on my behalf in my capacity as a director of the Company one or more registration statements on Form S-3 or S-4 or any other appropriate form during fiscal year 2025, and to file the same together with all exhibits thereto, under the Securities Act of 1933, including any amendment or supplement thereto or to any registration statement heretofore filed by the Company for the registration of sales or resales of:</w:t>
      </w:r>
    </w:p>
    <w:p>
      <w:pPr>
        <w:spacing w:after="0" w:line="199" w:lineRule="exact"/>
        <w:rPr>
          <w:sz w:val="20"/>
          <w:szCs w:val="20"/>
          <w:color w:val="auto"/>
        </w:rPr>
      </w:pPr>
    </w:p>
    <w:p>
      <w:pPr>
        <w:ind w:right="60" w:firstLine="500"/>
        <w:spacing w:after="0" w:line="298" w:lineRule="auto"/>
        <w:tabs>
          <w:tab w:leader="none" w:pos="723" w:val="left"/>
        </w:tabs>
        <w:numPr>
          <w:ilvl w:val="0"/>
          <w:numId w:val="318"/>
        </w:numPr>
        <w:rPr>
          <w:rFonts w:ascii="Arial" w:cs="Arial" w:eastAsia="Arial" w:hAnsi="Arial"/>
          <w:sz w:val="19"/>
          <w:szCs w:val="19"/>
          <w:color w:val="auto"/>
        </w:rPr>
      </w:pPr>
      <w:r>
        <w:rPr>
          <w:rFonts w:ascii="Arial" w:cs="Arial" w:eastAsia="Arial" w:hAnsi="Arial"/>
          <w:sz w:val="19"/>
          <w:szCs w:val="19"/>
          <w:color w:val="auto"/>
        </w:rPr>
        <w:t>shares of the Company’s common stock, par value, $1.00 per share, including shares of common stock to be offered under the Dividend Reinvestment and Share Purchase Plan of the Company and any successor or new plan for such purposes;</w:t>
      </w:r>
    </w:p>
    <w:p>
      <w:pPr>
        <w:spacing w:after="0" w:line="172" w:lineRule="exact"/>
        <w:rPr>
          <w:rFonts w:ascii="Arial" w:cs="Arial" w:eastAsia="Arial" w:hAnsi="Arial"/>
          <w:sz w:val="19"/>
          <w:szCs w:val="19"/>
          <w:color w:val="auto"/>
        </w:rPr>
      </w:pPr>
    </w:p>
    <w:p>
      <w:pPr>
        <w:ind w:left="780" w:hanging="280"/>
        <w:spacing w:after="0"/>
        <w:tabs>
          <w:tab w:leader="none" w:pos="780" w:val="left"/>
        </w:tabs>
        <w:numPr>
          <w:ilvl w:val="0"/>
          <w:numId w:val="318"/>
        </w:numPr>
        <w:rPr>
          <w:rFonts w:ascii="Arial" w:cs="Arial" w:eastAsia="Arial" w:hAnsi="Arial"/>
          <w:sz w:val="20"/>
          <w:szCs w:val="20"/>
          <w:color w:val="auto"/>
        </w:rPr>
      </w:pPr>
      <w:r>
        <w:rPr>
          <w:rFonts w:ascii="Arial" w:cs="Arial" w:eastAsia="Arial" w:hAnsi="Arial"/>
          <w:sz w:val="20"/>
          <w:szCs w:val="20"/>
          <w:color w:val="auto"/>
        </w:rPr>
        <w:t>shares of the Company’s preferred stock, without par value;</w:t>
      </w:r>
    </w:p>
    <w:p>
      <w:pPr>
        <w:spacing w:after="0" w:line="242" w:lineRule="exact"/>
        <w:rPr>
          <w:rFonts w:ascii="Arial" w:cs="Arial" w:eastAsia="Arial" w:hAnsi="Arial"/>
          <w:sz w:val="20"/>
          <w:szCs w:val="20"/>
          <w:color w:val="auto"/>
        </w:rPr>
      </w:pPr>
    </w:p>
    <w:p>
      <w:pPr>
        <w:ind w:firstLine="500"/>
        <w:spacing w:after="0" w:line="286" w:lineRule="auto"/>
        <w:tabs>
          <w:tab w:leader="none" w:pos="811" w:val="left"/>
        </w:tabs>
        <w:numPr>
          <w:ilvl w:val="0"/>
          <w:numId w:val="318"/>
        </w:numPr>
        <w:rPr>
          <w:rFonts w:ascii="Arial" w:cs="Arial" w:eastAsia="Arial" w:hAnsi="Arial"/>
          <w:sz w:val="20"/>
          <w:szCs w:val="20"/>
          <w:color w:val="auto"/>
        </w:rPr>
      </w:pPr>
      <w:r>
        <w:rPr>
          <w:rFonts w:ascii="Arial" w:cs="Arial" w:eastAsia="Arial" w:hAnsi="Arial"/>
          <w:sz w:val="20"/>
          <w:szCs w:val="20"/>
          <w:color w:val="auto"/>
        </w:rPr>
        <w:t>debt securities of the Company, with such terms as may be from time to time specified in such registration statement or any amendment, post-effective amendment or supplement thereto; and</w:t>
      </w:r>
    </w:p>
    <w:p>
      <w:pPr>
        <w:spacing w:after="0" w:line="167" w:lineRule="exact"/>
        <w:rPr>
          <w:rFonts w:ascii="Arial" w:cs="Arial" w:eastAsia="Arial" w:hAnsi="Arial"/>
          <w:sz w:val="20"/>
          <w:szCs w:val="20"/>
          <w:color w:val="auto"/>
        </w:rPr>
      </w:pPr>
    </w:p>
    <w:p>
      <w:pPr>
        <w:jc w:val="both"/>
        <w:ind w:right="180" w:firstLine="500"/>
        <w:spacing w:after="0" w:line="269" w:lineRule="auto"/>
        <w:tabs>
          <w:tab w:leader="none" w:pos="822" w:val="left"/>
        </w:tabs>
        <w:numPr>
          <w:ilvl w:val="0"/>
          <w:numId w:val="318"/>
        </w:numPr>
        <w:rPr>
          <w:rFonts w:ascii="Arial" w:cs="Arial" w:eastAsia="Arial" w:hAnsi="Arial"/>
          <w:sz w:val="20"/>
          <w:szCs w:val="20"/>
          <w:color w:val="auto"/>
        </w:rPr>
      </w:pPr>
      <w:r>
        <w:rPr>
          <w:rFonts w:ascii="Arial" w:cs="Arial" w:eastAsia="Arial" w:hAnsi="Arial"/>
          <w:sz w:val="20"/>
          <w:szCs w:val="20"/>
          <w:color w:val="auto"/>
        </w:rPr>
        <w:t>such other securities of the Company, its subsidiaries, joint ventures or affiliates or any other person or entity, as may be specified in any such registration statement, amendment or supplement thereto, all in accordance with the Securities Act of 1933 and the rules and regulations thereunder.</w:t>
      </w:r>
    </w:p>
    <w:p>
      <w:pPr>
        <w:spacing w:after="0" w:line="185" w:lineRule="exact"/>
        <w:rPr>
          <w:sz w:val="20"/>
          <w:szCs w:val="20"/>
          <w:color w:val="auto"/>
        </w:rPr>
      </w:pPr>
    </w:p>
    <w:p>
      <w:pPr>
        <w:ind w:right="280" w:firstLine="648"/>
        <w:spacing w:after="0" w:line="262" w:lineRule="auto"/>
        <w:rPr>
          <w:sz w:val="20"/>
          <w:szCs w:val="20"/>
          <w:color w:val="auto"/>
        </w:rPr>
      </w:pPr>
      <w:r>
        <w:rPr>
          <w:rFonts w:ascii="Arial" w:cs="Arial" w:eastAsia="Arial" w:hAnsi="Arial"/>
          <w:sz w:val="20"/>
          <w:szCs w:val="20"/>
          <w:color w:val="auto"/>
        </w:rPr>
        <w:t>I hereby grant to each such attorney-in-fact full power and authority to perform every act necessary to be done in connection with the foregoing as fully as I might do in person, hereby ratifying and confirming all that said attorneys-in-fact, or any of them or their substitutes, may lawfully do or cause to be done.</w:t>
      </w:r>
    </w:p>
    <w:p>
      <w:pPr>
        <w:spacing w:after="0" w:line="205" w:lineRule="exact"/>
        <w:rPr>
          <w:sz w:val="20"/>
          <w:szCs w:val="20"/>
          <w:color w:val="auto"/>
        </w:rPr>
      </w:pPr>
    </w:p>
    <w:p>
      <w:pPr>
        <w:ind w:right="620" w:firstLine="648"/>
        <w:spacing w:after="0" w:line="286" w:lineRule="auto"/>
        <w:rPr>
          <w:sz w:val="20"/>
          <w:szCs w:val="20"/>
          <w:color w:val="auto"/>
        </w:rPr>
      </w:pPr>
      <w:r>
        <w:rPr>
          <w:rFonts w:ascii="Arial" w:cs="Arial" w:eastAsia="Arial" w:hAnsi="Arial"/>
          <w:sz w:val="20"/>
          <w:szCs w:val="20"/>
          <w:color w:val="auto"/>
        </w:rPr>
        <w:t>I hereby revoke any or all prior appointments of attorneys-in-fact to the extent that they confer authority to sign the above-described documents.</w:t>
      </w:r>
    </w:p>
    <w:p>
      <w:pPr>
        <w:sectPr>
          <w:pgSz w:w="11900" w:h="16838" w:orient="portrait"/>
          <w:cols w:equalWidth="0" w:num="1">
            <w:col w:w="11220"/>
          </w:cols>
          <w:pgMar w:left="320" w:top="967" w:right="359" w:bottom="1440" w:gutter="0" w:footer="0" w:header="0"/>
        </w:sectPr>
      </w:pPr>
    </w:p>
    <w:bookmarkStart w:id="212" w:name="page213"/>
    <w:bookmarkEnd w:id="212"/>
    <w:p>
      <w:pPr>
        <w:ind w:firstLine="648"/>
        <w:spacing w:after="0" w:line="286" w:lineRule="auto"/>
        <w:rPr>
          <w:sz w:val="20"/>
          <w:szCs w:val="20"/>
          <w:color w:val="auto"/>
        </w:rPr>
      </w:pPr>
      <w:r>
        <w:rPr>
          <w:rFonts w:ascii="Arial" w:cs="Arial" w:eastAsia="Arial" w:hAnsi="Arial"/>
          <w:sz w:val="20"/>
          <w:szCs w:val="20"/>
          <w:color w:val="auto"/>
        </w:rPr>
        <w:t>This Power of Attorney may be signed in any number of counterparts, each of which shall be an original, with the same effect as if the signatures thereto and hereto were upon the same instrument.</w:t>
      </w: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color w:val="auto"/>
        </w:rPr>
        <w:t>Date: December 9, 2024</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/s/ Duncan Angove</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Duncan Angove</w:t>
      </w: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color w:val="auto"/>
        </w:rPr>
        <w:t>/s/ William Ayer</w:t>
      </w:r>
    </w:p>
    <w:p>
      <w:pPr>
        <w:spacing w:after="0" w:line="18" w:lineRule="exact"/>
        <w:rPr>
          <w:sz w:val="20"/>
          <w:szCs w:val="20"/>
          <w:color w:val="auto"/>
        </w:rPr>
      </w:pPr>
    </w:p>
    <w:p>
      <w:pPr>
        <w:spacing w:after="0"/>
        <w:rPr>
          <w:sz w:val="20"/>
          <w:szCs w:val="20"/>
          <w:color w:val="auto"/>
        </w:rPr>
      </w:pPr>
      <w:r>
        <w:rPr>
          <w:rFonts w:ascii="Arial" w:cs="Arial" w:eastAsia="Arial" w:hAnsi="Arial"/>
          <w:sz w:val="20"/>
          <w:szCs w:val="20"/>
          <w:color w:val="auto"/>
        </w:rPr>
        <w:t>William Ayer</w:t>
      </w: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color w:val="auto"/>
        </w:rPr>
        <w:t>/s/ Kevin Burke</w:t>
      </w:r>
    </w:p>
    <w:p>
      <w:pPr>
        <w:spacing w:after="0" w:line="18" w:lineRule="exact"/>
        <w:rPr>
          <w:sz w:val="20"/>
          <w:szCs w:val="20"/>
          <w:color w:val="auto"/>
        </w:rPr>
      </w:pPr>
    </w:p>
    <w:p>
      <w:pPr>
        <w:spacing w:after="0"/>
        <w:rPr>
          <w:sz w:val="20"/>
          <w:szCs w:val="20"/>
          <w:color w:val="auto"/>
        </w:rPr>
      </w:pPr>
      <w:r>
        <w:rPr>
          <w:rFonts w:ascii="Arial" w:cs="Arial" w:eastAsia="Arial" w:hAnsi="Arial"/>
          <w:sz w:val="20"/>
          <w:szCs w:val="20"/>
          <w:color w:val="auto"/>
        </w:rPr>
        <w:t>Kevin Burke</w:t>
      </w: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color w:val="auto"/>
        </w:rPr>
        <w:t>/s/ D. Scott Davis</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D. Scott Davis</w:t>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color w:val="auto"/>
        </w:rPr>
        <w:t>/s/ Deborah Flint</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Deborah Flint</w:t>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color w:val="auto"/>
        </w:rPr>
        <w:t>/s/ Mike Lamach</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Mike Lamach</w:t>
      </w: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color w:val="auto"/>
        </w:rPr>
        <w:t>/s/ Rose Lee</w:t>
      </w:r>
    </w:p>
    <w:p>
      <w:pPr>
        <w:spacing w:after="0" w:line="18" w:lineRule="exact"/>
        <w:rPr>
          <w:sz w:val="20"/>
          <w:szCs w:val="20"/>
          <w:color w:val="auto"/>
        </w:rPr>
      </w:pPr>
    </w:p>
    <w:p>
      <w:pPr>
        <w:spacing w:after="0"/>
        <w:rPr>
          <w:sz w:val="20"/>
          <w:szCs w:val="20"/>
          <w:color w:val="auto"/>
        </w:rPr>
      </w:pPr>
      <w:r>
        <w:rPr>
          <w:rFonts w:ascii="Arial" w:cs="Arial" w:eastAsia="Arial" w:hAnsi="Arial"/>
          <w:sz w:val="20"/>
          <w:szCs w:val="20"/>
          <w:color w:val="auto"/>
        </w:rPr>
        <w:t>Rose Lee</w:t>
      </w: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color w:val="auto"/>
        </w:rPr>
        <w:t>/s/ Grace Lieblein</w:t>
      </w:r>
    </w:p>
    <w:p>
      <w:pPr>
        <w:spacing w:after="0" w:line="18" w:lineRule="exact"/>
        <w:rPr>
          <w:sz w:val="20"/>
          <w:szCs w:val="20"/>
          <w:color w:val="auto"/>
        </w:rPr>
      </w:pPr>
    </w:p>
    <w:p>
      <w:pPr>
        <w:spacing w:after="0"/>
        <w:rPr>
          <w:sz w:val="20"/>
          <w:szCs w:val="20"/>
          <w:color w:val="auto"/>
        </w:rPr>
      </w:pPr>
      <w:r>
        <w:rPr>
          <w:rFonts w:ascii="Arial" w:cs="Arial" w:eastAsia="Arial" w:hAnsi="Arial"/>
          <w:sz w:val="20"/>
          <w:szCs w:val="20"/>
          <w:color w:val="auto"/>
        </w:rPr>
        <w:t>Grace Lieblein</w:t>
      </w: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color w:val="auto"/>
        </w:rPr>
        <w:t>/s/ Robin Washington</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Robin Washington</w:t>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color w:val="auto"/>
        </w:rPr>
        <w:t>/s/ Robin Watson</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Robin Watson</w:t>
      </w:r>
    </w:p>
    <w:p>
      <w:pPr>
        <w:sectPr>
          <w:pgSz w:w="11900" w:h="16838" w:orient="portrait"/>
          <w:cols w:equalWidth="0" w:num="1">
            <w:col w:w="11040"/>
          </w:cols>
          <w:pgMar w:left="320" w:top="1063" w:right="539" w:bottom="1440" w:gutter="0" w:footer="0" w:header="0"/>
        </w:sectPr>
      </w:pPr>
    </w:p>
    <w:bookmarkStart w:id="213" w:name="page214"/>
    <w:bookmarkEnd w:id="213"/>
    <w:p>
      <w:pPr>
        <w:jc w:val="center"/>
        <w:ind w:right="-139"/>
        <w:spacing w:after="0"/>
        <w:rPr>
          <w:sz w:val="20"/>
          <w:szCs w:val="20"/>
          <w:color w:val="auto"/>
        </w:rPr>
      </w:pPr>
      <w:r>
        <w:rPr>
          <w:rFonts w:ascii="Arial" w:cs="Arial" w:eastAsia="Arial" w:hAnsi="Arial"/>
          <w:sz w:val="22"/>
          <w:szCs w:val="22"/>
          <w:b w:val="1"/>
          <w:bCs w:val="1"/>
          <w:u w:val="single" w:color="auto"/>
          <w:color w:val="auto"/>
        </w:rPr>
        <w:t>POWER OF ATTORNEY</w:t>
      </w:r>
    </w:p>
    <w:p>
      <w:pPr>
        <w:spacing w:after="0" w:line="200" w:lineRule="exact"/>
        <w:rPr>
          <w:sz w:val="20"/>
          <w:szCs w:val="20"/>
          <w:color w:val="auto"/>
        </w:rPr>
      </w:pPr>
    </w:p>
    <w:p>
      <w:pPr>
        <w:spacing w:after="0" w:line="292" w:lineRule="exact"/>
        <w:rPr>
          <w:sz w:val="20"/>
          <w:szCs w:val="20"/>
          <w:color w:val="auto"/>
        </w:rPr>
      </w:pPr>
    </w:p>
    <w:p>
      <w:pPr>
        <w:ind w:firstLine="240"/>
        <w:spacing w:after="0" w:line="257" w:lineRule="auto"/>
        <w:rPr>
          <w:sz w:val="20"/>
          <w:szCs w:val="20"/>
          <w:color w:val="auto"/>
        </w:rPr>
      </w:pPr>
      <w:r>
        <w:rPr>
          <w:rFonts w:ascii="Arial" w:cs="Arial" w:eastAsia="Arial" w:hAnsi="Arial"/>
          <w:sz w:val="22"/>
          <w:szCs w:val="22"/>
          <w:color w:val="auto"/>
        </w:rPr>
        <w:t>I, Vimal Kapur, a director and the principal executive officer of Honeywell International Inc. (the “Company”), a Delaware corporation, hereby appoint Gregory P. Lewis, Anne T. Madden, Robert D. Mailloux, and Michal Stepniak, each with power to act without the other and with power of substitution and resubstitution, as my attorney-in-fact and agent for me and in my name, place and stead in any and all capacities,</w:t>
      </w:r>
    </w:p>
    <w:p>
      <w:pPr>
        <w:spacing w:after="0" w:line="199" w:lineRule="exact"/>
        <w:rPr>
          <w:sz w:val="20"/>
          <w:szCs w:val="20"/>
          <w:color w:val="auto"/>
        </w:rPr>
      </w:pPr>
    </w:p>
    <w:p>
      <w:pPr>
        <w:ind w:right="20" w:firstLine="656"/>
        <w:spacing w:after="0" w:line="272" w:lineRule="auto"/>
        <w:tabs>
          <w:tab w:leader="none" w:pos="1285" w:val="left"/>
        </w:tabs>
        <w:numPr>
          <w:ilvl w:val="0"/>
          <w:numId w:val="319"/>
        </w:numPr>
        <w:rPr>
          <w:rFonts w:ascii="Arial" w:cs="Arial" w:eastAsia="Arial" w:hAnsi="Arial"/>
          <w:sz w:val="22"/>
          <w:szCs w:val="22"/>
          <w:color w:val="auto"/>
        </w:rPr>
      </w:pPr>
      <w:r>
        <w:rPr>
          <w:rFonts w:ascii="Arial" w:cs="Arial" w:eastAsia="Arial" w:hAnsi="Arial"/>
          <w:sz w:val="22"/>
          <w:szCs w:val="22"/>
          <w:color w:val="auto"/>
        </w:rPr>
        <w:t>to sign the Company’s Annual Report on Form 10-K under the Securities Exchange Act of 1934 for the year ended December 31, 2024,</w:t>
      </w:r>
    </w:p>
    <w:p>
      <w:pPr>
        <w:spacing w:after="0" w:line="182" w:lineRule="exact"/>
        <w:rPr>
          <w:rFonts w:ascii="Arial" w:cs="Arial" w:eastAsia="Arial" w:hAnsi="Arial"/>
          <w:sz w:val="22"/>
          <w:szCs w:val="22"/>
          <w:color w:val="auto"/>
        </w:rPr>
      </w:pPr>
    </w:p>
    <w:p>
      <w:pPr>
        <w:ind w:right="200" w:firstLine="656"/>
        <w:spacing w:after="0" w:line="285" w:lineRule="auto"/>
        <w:tabs>
          <w:tab w:leader="none" w:pos="1293" w:val="left"/>
        </w:tabs>
        <w:numPr>
          <w:ilvl w:val="0"/>
          <w:numId w:val="319"/>
        </w:numPr>
        <w:rPr>
          <w:rFonts w:ascii="Arial" w:cs="Arial" w:eastAsia="Arial" w:hAnsi="Arial"/>
          <w:sz w:val="22"/>
          <w:szCs w:val="22"/>
          <w:color w:val="auto"/>
        </w:rPr>
      </w:pPr>
      <w:r>
        <w:rPr>
          <w:rFonts w:ascii="Arial" w:cs="Arial" w:eastAsia="Arial" w:hAnsi="Arial"/>
          <w:sz w:val="22"/>
          <w:szCs w:val="22"/>
          <w:color w:val="auto"/>
        </w:rPr>
        <w:t>to sign any amendment to the Annual Report referred to in (i) above or to any previously filed Annual Report on Form 10-K for any prior fiscal year, and</w:t>
      </w:r>
    </w:p>
    <w:p>
      <w:pPr>
        <w:spacing w:after="0" w:line="168" w:lineRule="exact"/>
        <w:rPr>
          <w:rFonts w:ascii="Arial" w:cs="Arial" w:eastAsia="Arial" w:hAnsi="Arial"/>
          <w:sz w:val="22"/>
          <w:szCs w:val="22"/>
          <w:color w:val="auto"/>
        </w:rPr>
      </w:pPr>
    </w:p>
    <w:p>
      <w:pPr>
        <w:ind w:right="660" w:firstLine="656"/>
        <w:spacing w:after="0" w:line="272" w:lineRule="auto"/>
        <w:tabs>
          <w:tab w:leader="none" w:pos="1287" w:val="left"/>
        </w:tabs>
        <w:numPr>
          <w:ilvl w:val="0"/>
          <w:numId w:val="319"/>
        </w:numPr>
        <w:rPr>
          <w:rFonts w:ascii="Arial" w:cs="Arial" w:eastAsia="Arial" w:hAnsi="Arial"/>
          <w:sz w:val="22"/>
          <w:szCs w:val="22"/>
          <w:color w:val="auto"/>
        </w:rPr>
      </w:pPr>
      <w:r>
        <w:rPr>
          <w:rFonts w:ascii="Arial" w:cs="Arial" w:eastAsia="Arial" w:hAnsi="Arial"/>
          <w:sz w:val="22"/>
          <w:szCs w:val="22"/>
          <w:color w:val="auto"/>
        </w:rPr>
        <w:t>to file the documents described in (i) and (ii) above and all exhibits thereto and any and all other documents in connection therewith,</w:t>
      </w:r>
    </w:p>
    <w:p>
      <w:pPr>
        <w:spacing w:after="0" w:line="183" w:lineRule="exact"/>
        <w:rPr>
          <w:sz w:val="20"/>
          <w:szCs w:val="20"/>
          <w:color w:val="auto"/>
        </w:rPr>
      </w:pPr>
    </w:p>
    <w:p>
      <w:pPr>
        <w:ind w:right="20"/>
        <w:spacing w:after="0" w:line="257" w:lineRule="auto"/>
        <w:rPr>
          <w:sz w:val="20"/>
          <w:szCs w:val="20"/>
          <w:color w:val="auto"/>
        </w:rPr>
      </w:pPr>
      <w:r>
        <w:rPr>
          <w:rFonts w:ascii="Arial" w:cs="Arial" w:eastAsia="Arial" w:hAnsi="Arial"/>
          <w:sz w:val="22"/>
          <w:szCs w:val="22"/>
          <w:color w:val="auto"/>
        </w:rPr>
        <w:t>granting unto each said attorney-in-fact and agent full power and authority to do and perform every act and thing requisite, necessary or desirable to be done in connection therewith, as fully to all intents and purposes as I might or could do in person, hereby ratifying and confirming all that said attorneys-in-fact and agents, or any of them, or their or his or her substitutes or substitute, may lawfully do or cause to be done by virtue hereof.</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color w:val="auto"/>
        </w:rPr>
        <w:t>Date: December 9, 2024</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color w:val="auto"/>
        </w:rPr>
        <w:t>/s/ Vimal Kapur</w:t>
      </w:r>
    </w:p>
    <w:p>
      <w:pPr>
        <w:spacing w:after="0" w:line="24" w:lineRule="exact"/>
        <w:rPr>
          <w:sz w:val="20"/>
          <w:szCs w:val="20"/>
          <w:color w:val="auto"/>
        </w:rPr>
      </w:pPr>
    </w:p>
    <w:p>
      <w:pPr>
        <w:spacing w:after="0"/>
        <w:rPr>
          <w:sz w:val="20"/>
          <w:szCs w:val="20"/>
          <w:color w:val="auto"/>
        </w:rPr>
      </w:pPr>
      <w:r>
        <w:rPr>
          <w:rFonts w:ascii="Arial" w:cs="Arial" w:eastAsia="Arial" w:hAnsi="Arial"/>
          <w:sz w:val="22"/>
          <w:szCs w:val="22"/>
          <w:color w:val="auto"/>
        </w:rPr>
        <w:t>Vimal Kapur</w:t>
      </w:r>
    </w:p>
    <w:p>
      <w:pPr>
        <w:sectPr>
          <w:pgSz w:w="11900" w:h="16838" w:orient="portrait"/>
          <w:cols w:equalWidth="0" w:num="1">
            <w:col w:w="11100"/>
          </w:cols>
          <w:pgMar w:left="320" w:top="1421" w:right="479" w:bottom="1440" w:gutter="0" w:footer="0" w:header="0"/>
        </w:sectPr>
      </w:pPr>
    </w:p>
    <w:bookmarkStart w:id="214" w:name="page215"/>
    <w:bookmarkEnd w:id="214"/>
    <w:p>
      <w:pPr>
        <w:jc w:val="center"/>
        <w:ind w:right="-19"/>
        <w:spacing w:after="0"/>
        <w:rPr>
          <w:sz w:val="20"/>
          <w:szCs w:val="20"/>
          <w:color w:val="auto"/>
        </w:rPr>
      </w:pPr>
      <w:r>
        <w:rPr>
          <w:rFonts w:ascii="Arial" w:cs="Arial" w:eastAsia="Arial" w:hAnsi="Arial"/>
          <w:sz w:val="22"/>
          <w:szCs w:val="22"/>
          <w:b w:val="1"/>
          <w:bCs w:val="1"/>
          <w:u w:val="single" w:color="auto"/>
          <w:color w:val="auto"/>
        </w:rPr>
        <w:t>POWER OF ATTORNEY</w:t>
      </w:r>
    </w:p>
    <w:p>
      <w:pPr>
        <w:spacing w:after="0" w:line="200" w:lineRule="exact"/>
        <w:rPr>
          <w:sz w:val="20"/>
          <w:szCs w:val="20"/>
          <w:color w:val="auto"/>
        </w:rPr>
      </w:pPr>
    </w:p>
    <w:p>
      <w:pPr>
        <w:spacing w:after="0" w:line="292" w:lineRule="exact"/>
        <w:rPr>
          <w:sz w:val="20"/>
          <w:szCs w:val="20"/>
          <w:color w:val="auto"/>
        </w:rPr>
      </w:pPr>
    </w:p>
    <w:p>
      <w:pPr>
        <w:ind w:firstLine="200"/>
        <w:spacing w:after="0" w:line="248" w:lineRule="auto"/>
        <w:rPr>
          <w:sz w:val="20"/>
          <w:szCs w:val="20"/>
          <w:color w:val="auto"/>
        </w:rPr>
      </w:pPr>
      <w:r>
        <w:rPr>
          <w:rFonts w:ascii="Arial" w:cs="Arial" w:eastAsia="Arial" w:hAnsi="Arial"/>
          <w:sz w:val="22"/>
          <w:szCs w:val="22"/>
          <w:color w:val="auto"/>
        </w:rPr>
        <w:t>I, Vimal Kapur, a director and the principal executive officer of Honeywell International Inc. (the “Company”), a Delaware corporation, hereby appoint Gregory P. Lewis, Anne T. Madden, Robert D. Mailloux, and Michal Stepniak, each with power to act without the other and with power of substitution and resubstitution, as my attorney-in-fact to sign on my behalf in my capacity as a director or as the principal executive officer of the Company one or more registration statements on Form S-8 or any other appropriate form during fiscal year 2025, and to file the same together with all exhibits thereto, under the Securities Act of 1933, including any amendment or supplement thereto or to any registration statement heretofore filed by the Company on Form S-8 or any other appropriate form for the registration of shares of the Company's Common Stock (or participations where appropriate) to be offered pursuant to the Honeywell Savings and Ownership Plan, the Honeywell Puerto Rico Savings and Ownership Plan, the Honeywell Supplemental Savings Plan, the 2006 Stock Plan for Non-Employee Directors of Honeywell International Inc., the 2007 Honeywell Global Employee Stock Plan (including any and all sub-plans), the 2011 Stock Incentive Plan of Honeywell International Inc. and its Affiliates, the 2016 Stock Plan for Non-Employee Directors of Honeywell International Inc., and the 2016 Stock Incentive Plan of Honeywell International Inc. and its Affiliates and any plan which is a successor to such plans or is a validly authorized new plan pursuant to which securities of the Company are issued to employees or non-employee directors.</w:t>
      </w:r>
    </w:p>
    <w:p>
      <w:pPr>
        <w:spacing w:after="0" w:line="210" w:lineRule="exact"/>
        <w:rPr>
          <w:sz w:val="20"/>
          <w:szCs w:val="20"/>
          <w:color w:val="auto"/>
        </w:rPr>
      </w:pPr>
    </w:p>
    <w:p>
      <w:pPr>
        <w:jc w:val="both"/>
        <w:ind w:right="200" w:firstLine="240"/>
        <w:spacing w:after="0" w:line="257" w:lineRule="auto"/>
        <w:rPr>
          <w:sz w:val="20"/>
          <w:szCs w:val="20"/>
          <w:color w:val="auto"/>
        </w:rPr>
      </w:pPr>
      <w:r>
        <w:rPr>
          <w:rFonts w:ascii="Arial" w:cs="Arial" w:eastAsia="Arial" w:hAnsi="Arial"/>
          <w:sz w:val="22"/>
          <w:szCs w:val="22"/>
          <w:color w:val="auto"/>
        </w:rPr>
        <w:t>I hereby grant to each such attorney-in-fact full power and authority to perform every act necessary to be done in connection with the foregoing as fully as I might do in person, hereby ratifying and confirming all that said attorneys-in-fact, or any of them or their substitutes, may lawfully do or cause to be done.</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22"/>
          <w:szCs w:val="22"/>
          <w:color w:val="auto"/>
        </w:rPr>
        <w:t>I hereby revoke any or all prior appointments of attorneys-in-fact to sign the above-described documents.</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Date: December 9, 2024</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color w:val="auto"/>
        </w:rPr>
        <w:t>/s/ Vimal Kapur</w:t>
      </w:r>
    </w:p>
    <w:p>
      <w:pPr>
        <w:spacing w:after="0" w:line="24" w:lineRule="exact"/>
        <w:rPr>
          <w:sz w:val="20"/>
          <w:szCs w:val="20"/>
          <w:color w:val="auto"/>
        </w:rPr>
      </w:pPr>
    </w:p>
    <w:p>
      <w:pPr>
        <w:spacing w:after="0"/>
        <w:rPr>
          <w:sz w:val="20"/>
          <w:szCs w:val="20"/>
          <w:color w:val="auto"/>
        </w:rPr>
      </w:pPr>
      <w:r>
        <w:rPr>
          <w:rFonts w:ascii="Arial" w:cs="Arial" w:eastAsia="Arial" w:hAnsi="Arial"/>
          <w:sz w:val="22"/>
          <w:szCs w:val="22"/>
          <w:color w:val="auto"/>
        </w:rPr>
        <w:t>Vimal Kapur</w:t>
      </w:r>
    </w:p>
    <w:p>
      <w:pPr>
        <w:sectPr>
          <w:pgSz w:w="11900" w:h="16838" w:orient="portrait"/>
          <w:cols w:equalWidth="0" w:num="1">
            <w:col w:w="11240"/>
          </w:cols>
          <w:pgMar w:left="320" w:top="1421" w:right="339" w:bottom="1440" w:gutter="0" w:footer="0" w:header="0"/>
        </w:sectPr>
      </w:pPr>
    </w:p>
    <w:bookmarkStart w:id="215" w:name="page216"/>
    <w:bookmarkEnd w:id="215"/>
    <w:p>
      <w:pPr>
        <w:jc w:val="center"/>
        <w:ind w:right="-19"/>
        <w:spacing w:after="0"/>
        <w:rPr>
          <w:sz w:val="20"/>
          <w:szCs w:val="20"/>
          <w:color w:val="auto"/>
        </w:rPr>
      </w:pPr>
      <w:r>
        <w:rPr>
          <w:rFonts w:ascii="Arial" w:cs="Arial" w:eastAsia="Arial" w:hAnsi="Arial"/>
          <w:sz w:val="22"/>
          <w:szCs w:val="22"/>
          <w:b w:val="1"/>
          <w:bCs w:val="1"/>
          <w:u w:val="single" w:color="auto"/>
          <w:color w:val="auto"/>
        </w:rPr>
        <w:t>POWER OF ATTORNEY</w:t>
      </w:r>
    </w:p>
    <w:p>
      <w:pPr>
        <w:spacing w:after="0" w:line="200" w:lineRule="exact"/>
        <w:rPr>
          <w:sz w:val="20"/>
          <w:szCs w:val="20"/>
          <w:color w:val="auto"/>
        </w:rPr>
      </w:pPr>
    </w:p>
    <w:p>
      <w:pPr>
        <w:spacing w:after="0" w:line="292" w:lineRule="exact"/>
        <w:rPr>
          <w:sz w:val="20"/>
          <w:szCs w:val="20"/>
          <w:color w:val="auto"/>
        </w:rPr>
      </w:pPr>
    </w:p>
    <w:p>
      <w:pPr>
        <w:ind w:firstLine="648"/>
        <w:spacing w:after="0" w:line="264" w:lineRule="auto"/>
        <w:rPr>
          <w:sz w:val="20"/>
          <w:szCs w:val="20"/>
          <w:color w:val="auto"/>
        </w:rPr>
      </w:pPr>
      <w:r>
        <w:rPr>
          <w:rFonts w:ascii="Arial" w:cs="Arial" w:eastAsia="Arial" w:hAnsi="Arial"/>
          <w:sz w:val="21"/>
          <w:szCs w:val="21"/>
          <w:color w:val="auto"/>
        </w:rPr>
        <w:t>I, Vimal Kapur, a director and the principal executive officer of Honeywell International Inc. (the “Company”), a Delaware corporation, hereby appoint Gregory P. Lewis, Anne T. Madden, Robert D. Mailloux, and Michal Stepniak, each with power to act without the other and with power of substitution and resubstitution, as my attorney-in-fact to sign on my behalf in my capacity as a director or as the principal executive officer of the Company one or more registration statements on Form S-3 or S-4 or any other appropriate form during fiscal year 2025, and to file the same together with all exhibits thereto, under the Securities Act of 1933, including any amendment or supplement thereto or to any registration statement heretofore filed by the Company for the registration of sales or resales of:</w:t>
      </w:r>
    </w:p>
    <w:p>
      <w:pPr>
        <w:spacing w:after="0" w:line="206" w:lineRule="exact"/>
        <w:rPr>
          <w:sz w:val="20"/>
          <w:szCs w:val="20"/>
          <w:color w:val="auto"/>
        </w:rPr>
      </w:pPr>
    </w:p>
    <w:p>
      <w:pPr>
        <w:jc w:val="both"/>
        <w:ind w:right="100" w:firstLine="500"/>
        <w:spacing w:after="0" w:line="257" w:lineRule="auto"/>
        <w:tabs>
          <w:tab w:leader="none" w:pos="744" w:val="left"/>
        </w:tabs>
        <w:numPr>
          <w:ilvl w:val="0"/>
          <w:numId w:val="320"/>
        </w:numPr>
        <w:rPr>
          <w:rFonts w:ascii="Arial" w:cs="Arial" w:eastAsia="Arial" w:hAnsi="Arial"/>
          <w:sz w:val="22"/>
          <w:szCs w:val="22"/>
          <w:color w:val="auto"/>
        </w:rPr>
      </w:pPr>
      <w:r>
        <w:rPr>
          <w:rFonts w:ascii="Arial" w:cs="Arial" w:eastAsia="Arial" w:hAnsi="Arial"/>
          <w:sz w:val="22"/>
          <w:szCs w:val="22"/>
          <w:color w:val="auto"/>
        </w:rPr>
        <w:t>shares of the Company’s common stock, par value, $1.00 per share, including shares of common stock to be offered under the Dividend Reinvestment and Share Purchase Plan of the Company and any successor or new plan for such purposes;</w:t>
      </w:r>
    </w:p>
    <w:p>
      <w:pPr>
        <w:spacing w:after="0" w:line="199" w:lineRule="exact"/>
        <w:rPr>
          <w:rFonts w:ascii="Arial" w:cs="Arial" w:eastAsia="Arial" w:hAnsi="Arial"/>
          <w:sz w:val="22"/>
          <w:szCs w:val="22"/>
          <w:color w:val="auto"/>
        </w:rPr>
      </w:pPr>
    </w:p>
    <w:p>
      <w:pPr>
        <w:ind w:left="800" w:hanging="300"/>
        <w:spacing w:after="0"/>
        <w:tabs>
          <w:tab w:leader="none" w:pos="800" w:val="left"/>
        </w:tabs>
        <w:numPr>
          <w:ilvl w:val="0"/>
          <w:numId w:val="320"/>
        </w:numPr>
        <w:rPr>
          <w:rFonts w:ascii="Arial" w:cs="Arial" w:eastAsia="Arial" w:hAnsi="Arial"/>
          <w:sz w:val="22"/>
          <w:szCs w:val="22"/>
          <w:color w:val="auto"/>
        </w:rPr>
      </w:pPr>
      <w:r>
        <w:rPr>
          <w:rFonts w:ascii="Arial" w:cs="Arial" w:eastAsia="Arial" w:hAnsi="Arial"/>
          <w:sz w:val="22"/>
          <w:szCs w:val="22"/>
          <w:color w:val="auto"/>
        </w:rPr>
        <w:t>shares of the Company’s preferred stock, without par value;</w:t>
      </w:r>
    </w:p>
    <w:p>
      <w:pPr>
        <w:spacing w:after="0" w:line="246" w:lineRule="exact"/>
        <w:rPr>
          <w:rFonts w:ascii="Arial" w:cs="Arial" w:eastAsia="Arial" w:hAnsi="Arial"/>
          <w:sz w:val="22"/>
          <w:szCs w:val="22"/>
          <w:color w:val="auto"/>
        </w:rPr>
      </w:pPr>
    </w:p>
    <w:p>
      <w:pPr>
        <w:ind w:right="300" w:firstLine="500"/>
        <w:spacing w:after="0" w:line="272" w:lineRule="auto"/>
        <w:tabs>
          <w:tab w:leader="none" w:pos="840" w:val="left"/>
        </w:tabs>
        <w:numPr>
          <w:ilvl w:val="0"/>
          <w:numId w:val="320"/>
        </w:numPr>
        <w:rPr>
          <w:rFonts w:ascii="Arial" w:cs="Arial" w:eastAsia="Arial" w:hAnsi="Arial"/>
          <w:sz w:val="22"/>
          <w:szCs w:val="22"/>
          <w:color w:val="auto"/>
        </w:rPr>
      </w:pPr>
      <w:r>
        <w:rPr>
          <w:rFonts w:ascii="Arial" w:cs="Arial" w:eastAsia="Arial" w:hAnsi="Arial"/>
          <w:sz w:val="22"/>
          <w:szCs w:val="22"/>
          <w:color w:val="auto"/>
        </w:rPr>
        <w:t>debt securities of the Company, with such terms as may be from time to time specified in such registration statement or any amendment, post-effective amendment or supplement thereto; and</w:t>
      </w:r>
    </w:p>
    <w:p>
      <w:pPr>
        <w:spacing w:after="0" w:line="196" w:lineRule="exact"/>
        <w:rPr>
          <w:rFonts w:ascii="Arial" w:cs="Arial" w:eastAsia="Arial" w:hAnsi="Arial"/>
          <w:sz w:val="22"/>
          <w:szCs w:val="22"/>
          <w:color w:val="auto"/>
        </w:rPr>
      </w:pPr>
    </w:p>
    <w:p>
      <w:pPr>
        <w:ind w:right="260" w:firstLine="500"/>
        <w:spacing w:after="0" w:line="257" w:lineRule="auto"/>
        <w:tabs>
          <w:tab w:leader="none" w:pos="852" w:val="left"/>
        </w:tabs>
        <w:numPr>
          <w:ilvl w:val="0"/>
          <w:numId w:val="320"/>
        </w:numPr>
        <w:rPr>
          <w:rFonts w:ascii="Arial" w:cs="Arial" w:eastAsia="Arial" w:hAnsi="Arial"/>
          <w:sz w:val="22"/>
          <w:szCs w:val="22"/>
          <w:color w:val="auto"/>
        </w:rPr>
      </w:pPr>
      <w:r>
        <w:rPr>
          <w:rFonts w:ascii="Arial" w:cs="Arial" w:eastAsia="Arial" w:hAnsi="Arial"/>
          <w:sz w:val="22"/>
          <w:szCs w:val="22"/>
          <w:color w:val="auto"/>
        </w:rPr>
        <w:t>such other securities of the Company, its subsidiaries, joint ventures or affiliates or any other person or entity, as may be specified in any such registration statement, amendment or supplement thereto, all in accordance with the Securities Act of 1933 and the rules and regulations thereunder.</w:t>
      </w:r>
    </w:p>
    <w:p>
      <w:pPr>
        <w:spacing w:after="0" w:line="200" w:lineRule="exact"/>
        <w:rPr>
          <w:sz w:val="20"/>
          <w:szCs w:val="20"/>
          <w:color w:val="auto"/>
        </w:rPr>
      </w:pPr>
    </w:p>
    <w:p>
      <w:pPr>
        <w:ind w:right="60" w:firstLine="648"/>
        <w:spacing w:after="0" w:line="264" w:lineRule="auto"/>
        <w:rPr>
          <w:sz w:val="20"/>
          <w:szCs w:val="20"/>
          <w:color w:val="auto"/>
        </w:rPr>
      </w:pPr>
      <w:r>
        <w:rPr>
          <w:rFonts w:ascii="Arial" w:cs="Arial" w:eastAsia="Arial" w:hAnsi="Arial"/>
          <w:sz w:val="22"/>
          <w:szCs w:val="22"/>
          <w:color w:val="auto"/>
        </w:rPr>
        <w:t>I hereby grant to each such attorney-in-fact full power and authority to perform every act necessary to be done in connection with the foregoing as fully as I might do in person, hereby ratifying and confirming all that said attorneys-in-fact, or any of them or their substitutes, may lawfully do or cause to be done.</w:t>
      </w:r>
    </w:p>
    <w:p>
      <w:pPr>
        <w:spacing w:after="0" w:line="191" w:lineRule="exact"/>
        <w:rPr>
          <w:sz w:val="20"/>
          <w:szCs w:val="20"/>
          <w:color w:val="auto"/>
        </w:rPr>
      </w:pPr>
    </w:p>
    <w:p>
      <w:pPr>
        <w:ind w:right="80" w:firstLine="648"/>
        <w:spacing w:after="0" w:line="272" w:lineRule="auto"/>
        <w:rPr>
          <w:sz w:val="20"/>
          <w:szCs w:val="20"/>
          <w:color w:val="auto"/>
        </w:rPr>
      </w:pPr>
      <w:r>
        <w:rPr>
          <w:rFonts w:ascii="Arial" w:cs="Arial" w:eastAsia="Arial" w:hAnsi="Arial"/>
          <w:sz w:val="22"/>
          <w:szCs w:val="22"/>
          <w:color w:val="auto"/>
        </w:rPr>
        <w:t>I hereby revoke any or all prior appointments of attorneys-in-fact to the extent that they confer authority to sign the above-described documents.</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color w:val="auto"/>
        </w:rPr>
        <w:t>Date: December 9, 2024</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color w:val="auto"/>
        </w:rPr>
        <w:t>/s/ Vimal Kapur</w:t>
      </w:r>
    </w:p>
    <w:p>
      <w:pPr>
        <w:spacing w:after="0" w:line="31" w:lineRule="exact"/>
        <w:rPr>
          <w:sz w:val="20"/>
          <w:szCs w:val="20"/>
          <w:color w:val="auto"/>
        </w:rPr>
      </w:pPr>
    </w:p>
    <w:p>
      <w:pPr>
        <w:spacing w:after="0"/>
        <w:rPr>
          <w:sz w:val="20"/>
          <w:szCs w:val="20"/>
          <w:color w:val="auto"/>
        </w:rPr>
      </w:pPr>
      <w:r>
        <w:rPr>
          <w:rFonts w:ascii="Arial" w:cs="Arial" w:eastAsia="Arial" w:hAnsi="Arial"/>
          <w:sz w:val="22"/>
          <w:szCs w:val="22"/>
          <w:color w:val="auto"/>
        </w:rPr>
        <w:t>Vimal Kapur</w:t>
      </w:r>
    </w:p>
    <w:p>
      <w:pPr>
        <w:sectPr>
          <w:pgSz w:w="11900" w:h="16838" w:orient="portrait"/>
          <w:cols w:equalWidth="0" w:num="1">
            <w:col w:w="11240"/>
          </w:cols>
          <w:pgMar w:left="320" w:top="1421" w:right="339" w:bottom="1440" w:gutter="0" w:footer="0" w:header="0"/>
        </w:sectPr>
      </w:pPr>
    </w:p>
    <w:bookmarkStart w:id="216" w:name="page217"/>
    <w:bookmarkEnd w:id="216"/>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I, Vimal Kapur, certify that:</w:t>
      </w:r>
    </w:p>
    <w:p>
      <w:pPr>
        <w:spacing w:after="0" w:line="50" w:lineRule="exact"/>
        <w:rPr>
          <w:sz w:val="20"/>
          <w:szCs w:val="20"/>
          <w:color w:val="auto"/>
        </w:rPr>
      </w:pPr>
    </w:p>
    <w:p>
      <w:pPr>
        <w:ind w:left="680" w:hanging="192"/>
        <w:spacing w:after="0"/>
        <w:tabs>
          <w:tab w:leader="none" w:pos="68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Honeywell International Inc.;</w:t>
      </w:r>
    </w:p>
    <w:p>
      <w:pPr>
        <w:spacing w:after="0" w:line="292" w:lineRule="exact"/>
        <w:rPr>
          <w:rFonts w:ascii="Arial" w:cs="Arial" w:eastAsia="Arial" w:hAnsi="Arial"/>
          <w:sz w:val="18"/>
          <w:szCs w:val="18"/>
          <w:color w:val="auto"/>
        </w:rPr>
      </w:pPr>
    </w:p>
    <w:p>
      <w:pPr>
        <w:ind w:left="680" w:right="60" w:hanging="192"/>
        <w:spacing w:after="0" w:line="233" w:lineRule="auto"/>
        <w:tabs>
          <w:tab w:leader="none" w:pos="68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61" w:lineRule="exact"/>
        <w:rPr>
          <w:rFonts w:ascii="Arial" w:cs="Arial" w:eastAsia="Arial" w:hAnsi="Arial"/>
          <w:sz w:val="18"/>
          <w:szCs w:val="18"/>
          <w:color w:val="auto"/>
        </w:rPr>
      </w:pPr>
    </w:p>
    <w:p>
      <w:pPr>
        <w:ind w:left="680" w:right="100" w:hanging="192"/>
        <w:spacing w:after="0" w:line="233" w:lineRule="auto"/>
        <w:tabs>
          <w:tab w:leader="none" w:pos="68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1" w:lineRule="exact"/>
        <w:rPr>
          <w:rFonts w:ascii="Arial" w:cs="Arial" w:eastAsia="Arial" w:hAnsi="Arial"/>
          <w:sz w:val="18"/>
          <w:szCs w:val="18"/>
          <w:color w:val="auto"/>
        </w:rPr>
      </w:pPr>
    </w:p>
    <w:p>
      <w:pPr>
        <w:ind w:left="680" w:right="120" w:hanging="192"/>
        <w:spacing w:after="0" w:line="233" w:lineRule="auto"/>
        <w:tabs>
          <w:tab w:leader="none" w:pos="68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2" w:lineRule="exact"/>
        <w:rPr>
          <w:rFonts w:ascii="Arial" w:cs="Arial" w:eastAsia="Arial" w:hAnsi="Arial"/>
          <w:sz w:val="18"/>
          <w:szCs w:val="18"/>
          <w:color w:val="auto"/>
        </w:rPr>
      </w:pPr>
    </w:p>
    <w:p>
      <w:pPr>
        <w:ind w:left="900" w:right="60" w:hanging="206"/>
        <w:spacing w:after="0" w:line="227" w:lineRule="auto"/>
        <w:tabs>
          <w:tab w:leader="none" w:pos="900" w:val="left"/>
        </w:tabs>
        <w:numPr>
          <w:ilvl w:val="1"/>
          <w:numId w:val="3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76" w:lineRule="exact"/>
        <w:rPr>
          <w:rFonts w:ascii="Arial" w:cs="Arial" w:eastAsia="Arial" w:hAnsi="Arial"/>
          <w:sz w:val="18"/>
          <w:szCs w:val="18"/>
          <w:color w:val="auto"/>
        </w:rPr>
      </w:pPr>
    </w:p>
    <w:p>
      <w:pPr>
        <w:ind w:left="900" w:right="440" w:hanging="206"/>
        <w:spacing w:after="0" w:line="227" w:lineRule="auto"/>
        <w:tabs>
          <w:tab w:leader="none" w:pos="900" w:val="left"/>
        </w:tabs>
        <w:numPr>
          <w:ilvl w:val="1"/>
          <w:numId w:val="3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76" w:lineRule="exact"/>
        <w:rPr>
          <w:rFonts w:ascii="Arial" w:cs="Arial" w:eastAsia="Arial" w:hAnsi="Arial"/>
          <w:sz w:val="18"/>
          <w:szCs w:val="18"/>
          <w:color w:val="auto"/>
        </w:rPr>
      </w:pPr>
    </w:p>
    <w:p>
      <w:pPr>
        <w:jc w:val="both"/>
        <w:ind w:left="900" w:right="360" w:hanging="196"/>
        <w:spacing w:after="0" w:line="227" w:lineRule="auto"/>
        <w:tabs>
          <w:tab w:leader="none" w:pos="900" w:val="left"/>
        </w:tabs>
        <w:numPr>
          <w:ilvl w:val="1"/>
          <w:numId w:val="32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76" w:lineRule="exact"/>
        <w:rPr>
          <w:rFonts w:ascii="Arial" w:cs="Arial" w:eastAsia="Arial" w:hAnsi="Arial"/>
          <w:sz w:val="18"/>
          <w:szCs w:val="18"/>
          <w:color w:val="auto"/>
        </w:rPr>
      </w:pPr>
    </w:p>
    <w:p>
      <w:pPr>
        <w:ind w:left="900" w:right="180" w:hanging="206"/>
        <w:spacing w:after="0" w:line="227" w:lineRule="auto"/>
        <w:tabs>
          <w:tab w:leader="none" w:pos="900" w:val="left"/>
        </w:tabs>
        <w:numPr>
          <w:ilvl w:val="1"/>
          <w:numId w:val="3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14" w:lineRule="exact"/>
        <w:rPr>
          <w:rFonts w:ascii="Arial" w:cs="Arial" w:eastAsia="Arial" w:hAnsi="Arial"/>
          <w:sz w:val="18"/>
          <w:szCs w:val="18"/>
          <w:color w:val="auto"/>
        </w:rPr>
      </w:pPr>
    </w:p>
    <w:p>
      <w:pPr>
        <w:ind w:left="680" w:right="320" w:hanging="192"/>
        <w:spacing w:after="0" w:line="233" w:lineRule="auto"/>
        <w:tabs>
          <w:tab w:leader="none" w:pos="68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2" w:lineRule="exact"/>
        <w:rPr>
          <w:rFonts w:ascii="Arial" w:cs="Arial" w:eastAsia="Arial" w:hAnsi="Arial"/>
          <w:sz w:val="18"/>
          <w:szCs w:val="18"/>
          <w:color w:val="auto"/>
        </w:rPr>
      </w:pPr>
    </w:p>
    <w:p>
      <w:pPr>
        <w:ind w:left="900" w:right="80" w:hanging="206"/>
        <w:spacing w:after="0" w:line="268" w:lineRule="auto"/>
        <w:tabs>
          <w:tab w:leader="none" w:pos="900" w:val="left"/>
        </w:tabs>
        <w:numPr>
          <w:ilvl w:val="1"/>
          <w:numId w:val="32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51" w:lineRule="exact"/>
        <w:rPr>
          <w:rFonts w:ascii="Arial" w:cs="Arial" w:eastAsia="Arial" w:hAnsi="Arial"/>
          <w:sz w:val="17"/>
          <w:szCs w:val="17"/>
          <w:color w:val="auto"/>
        </w:rPr>
      </w:pPr>
    </w:p>
    <w:p>
      <w:pPr>
        <w:ind w:left="900" w:right="280" w:hanging="206"/>
        <w:spacing w:after="0"/>
        <w:tabs>
          <w:tab w:leader="none" w:pos="900" w:val="left"/>
        </w:tabs>
        <w:numPr>
          <w:ilvl w:val="1"/>
          <w:numId w:val="3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26" w:lineRule="exact"/>
        <w:rPr>
          <w:sz w:val="20"/>
          <w:szCs w:val="20"/>
          <w:color w:val="auto"/>
        </w:rPr>
      </w:pPr>
    </w:p>
    <w:p>
      <w:pPr>
        <w:ind w:left="20"/>
        <w:spacing w:after="0"/>
        <w:tabs>
          <w:tab w:leader="none" w:pos="5820" w:val="left"/>
          <w:tab w:leader="none" w:pos="6980" w:val="left"/>
        </w:tabs>
        <w:rPr>
          <w:sz w:val="20"/>
          <w:szCs w:val="20"/>
          <w:color w:val="auto"/>
        </w:rPr>
      </w:pPr>
      <w:r>
        <w:rPr>
          <w:rFonts w:ascii="Arial" w:cs="Arial" w:eastAsia="Arial" w:hAnsi="Arial"/>
          <w:sz w:val="18"/>
          <w:szCs w:val="18"/>
          <w:color w:val="auto"/>
        </w:rPr>
        <w:t>Date: February 14, 2025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u w:val="single" w:color="auto"/>
          <w:color w:val="auto"/>
        </w:rPr>
        <w:t>/s/ Vimal Kapur</w:t>
      </w:r>
    </w:p>
    <w:p>
      <w:pPr>
        <w:spacing w:after="0" w:line="9"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Vimal Kapur</w:t>
      </w:r>
    </w:p>
    <w:p>
      <w:pPr>
        <w:ind w:left="7000"/>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240"/>
          </w:cols>
          <w:pgMar w:left="320" w:top="890" w:right="339" w:bottom="1440" w:gutter="0" w:footer="0" w:header="0"/>
        </w:sectPr>
      </w:pPr>
    </w:p>
    <w:bookmarkStart w:id="217" w:name="page218"/>
    <w:bookmarkEnd w:id="217"/>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I, Gregory P. Lewis, certify that:</w:t>
      </w:r>
    </w:p>
    <w:p>
      <w:pPr>
        <w:spacing w:after="0" w:line="50" w:lineRule="exact"/>
        <w:rPr>
          <w:sz w:val="20"/>
          <w:szCs w:val="20"/>
          <w:color w:val="auto"/>
        </w:rPr>
      </w:pPr>
    </w:p>
    <w:p>
      <w:pPr>
        <w:ind w:left="680" w:hanging="192"/>
        <w:spacing w:after="0"/>
        <w:tabs>
          <w:tab w:leader="none" w:pos="68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Honeywell International Inc.;</w:t>
      </w:r>
    </w:p>
    <w:p>
      <w:pPr>
        <w:spacing w:after="0" w:line="292" w:lineRule="exact"/>
        <w:rPr>
          <w:rFonts w:ascii="Arial" w:cs="Arial" w:eastAsia="Arial" w:hAnsi="Arial"/>
          <w:sz w:val="18"/>
          <w:szCs w:val="18"/>
          <w:color w:val="auto"/>
        </w:rPr>
      </w:pPr>
    </w:p>
    <w:p>
      <w:pPr>
        <w:ind w:left="680" w:right="60" w:hanging="192"/>
        <w:spacing w:after="0" w:line="233" w:lineRule="auto"/>
        <w:tabs>
          <w:tab w:leader="none" w:pos="68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61" w:lineRule="exact"/>
        <w:rPr>
          <w:rFonts w:ascii="Arial" w:cs="Arial" w:eastAsia="Arial" w:hAnsi="Arial"/>
          <w:sz w:val="18"/>
          <w:szCs w:val="18"/>
          <w:color w:val="auto"/>
        </w:rPr>
      </w:pPr>
    </w:p>
    <w:p>
      <w:pPr>
        <w:ind w:left="680" w:right="100" w:hanging="192"/>
        <w:spacing w:after="0" w:line="233" w:lineRule="auto"/>
        <w:tabs>
          <w:tab w:leader="none" w:pos="68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1" w:lineRule="exact"/>
        <w:rPr>
          <w:rFonts w:ascii="Arial" w:cs="Arial" w:eastAsia="Arial" w:hAnsi="Arial"/>
          <w:sz w:val="18"/>
          <w:szCs w:val="18"/>
          <w:color w:val="auto"/>
        </w:rPr>
      </w:pPr>
    </w:p>
    <w:p>
      <w:pPr>
        <w:ind w:left="680" w:right="120" w:hanging="192"/>
        <w:spacing w:after="0" w:line="233" w:lineRule="auto"/>
        <w:tabs>
          <w:tab w:leader="none" w:pos="68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0" w:lineRule="exact"/>
        <w:rPr>
          <w:rFonts w:ascii="Arial" w:cs="Arial" w:eastAsia="Arial" w:hAnsi="Arial"/>
          <w:sz w:val="18"/>
          <w:szCs w:val="18"/>
          <w:color w:val="auto"/>
        </w:rPr>
      </w:pPr>
    </w:p>
    <w:p>
      <w:pPr>
        <w:ind w:left="900" w:right="60" w:hanging="206"/>
        <w:spacing w:after="0" w:line="227" w:lineRule="auto"/>
        <w:tabs>
          <w:tab w:leader="none" w:pos="900" w:val="left"/>
        </w:tabs>
        <w:numPr>
          <w:ilvl w:val="1"/>
          <w:numId w:val="3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76" w:lineRule="exact"/>
        <w:rPr>
          <w:rFonts w:ascii="Arial" w:cs="Arial" w:eastAsia="Arial" w:hAnsi="Arial"/>
          <w:sz w:val="18"/>
          <w:szCs w:val="18"/>
          <w:color w:val="auto"/>
        </w:rPr>
      </w:pPr>
    </w:p>
    <w:p>
      <w:pPr>
        <w:ind w:left="900" w:right="440" w:hanging="206"/>
        <w:spacing w:after="0" w:line="227" w:lineRule="auto"/>
        <w:tabs>
          <w:tab w:leader="none" w:pos="900" w:val="left"/>
        </w:tabs>
        <w:numPr>
          <w:ilvl w:val="1"/>
          <w:numId w:val="3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76" w:lineRule="exact"/>
        <w:rPr>
          <w:rFonts w:ascii="Arial" w:cs="Arial" w:eastAsia="Arial" w:hAnsi="Arial"/>
          <w:sz w:val="18"/>
          <w:szCs w:val="18"/>
          <w:color w:val="auto"/>
        </w:rPr>
      </w:pPr>
    </w:p>
    <w:p>
      <w:pPr>
        <w:jc w:val="both"/>
        <w:ind w:left="900" w:right="360" w:hanging="196"/>
        <w:spacing w:after="0" w:line="227" w:lineRule="auto"/>
        <w:tabs>
          <w:tab w:leader="none" w:pos="900" w:val="left"/>
        </w:tabs>
        <w:numPr>
          <w:ilvl w:val="1"/>
          <w:numId w:val="32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76" w:lineRule="exact"/>
        <w:rPr>
          <w:rFonts w:ascii="Arial" w:cs="Arial" w:eastAsia="Arial" w:hAnsi="Arial"/>
          <w:sz w:val="18"/>
          <w:szCs w:val="18"/>
          <w:color w:val="auto"/>
        </w:rPr>
      </w:pPr>
    </w:p>
    <w:p>
      <w:pPr>
        <w:ind w:left="900" w:right="180" w:hanging="206"/>
        <w:spacing w:after="0" w:line="227" w:lineRule="auto"/>
        <w:tabs>
          <w:tab w:leader="none" w:pos="900" w:val="left"/>
        </w:tabs>
        <w:numPr>
          <w:ilvl w:val="1"/>
          <w:numId w:val="3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14" w:lineRule="exact"/>
        <w:rPr>
          <w:rFonts w:ascii="Arial" w:cs="Arial" w:eastAsia="Arial" w:hAnsi="Arial"/>
          <w:sz w:val="18"/>
          <w:szCs w:val="18"/>
          <w:color w:val="auto"/>
        </w:rPr>
      </w:pPr>
    </w:p>
    <w:p>
      <w:pPr>
        <w:ind w:left="680" w:right="320" w:hanging="192"/>
        <w:spacing w:after="0" w:line="233" w:lineRule="auto"/>
        <w:tabs>
          <w:tab w:leader="none" w:pos="68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2" w:lineRule="exact"/>
        <w:rPr>
          <w:rFonts w:ascii="Arial" w:cs="Arial" w:eastAsia="Arial" w:hAnsi="Arial"/>
          <w:sz w:val="18"/>
          <w:szCs w:val="18"/>
          <w:color w:val="auto"/>
        </w:rPr>
      </w:pPr>
    </w:p>
    <w:p>
      <w:pPr>
        <w:ind w:left="900" w:right="80" w:hanging="206"/>
        <w:spacing w:after="0" w:line="268" w:lineRule="auto"/>
        <w:tabs>
          <w:tab w:leader="none" w:pos="900" w:val="left"/>
        </w:tabs>
        <w:numPr>
          <w:ilvl w:val="1"/>
          <w:numId w:val="32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51" w:lineRule="exact"/>
        <w:rPr>
          <w:rFonts w:ascii="Arial" w:cs="Arial" w:eastAsia="Arial" w:hAnsi="Arial"/>
          <w:sz w:val="17"/>
          <w:szCs w:val="17"/>
          <w:color w:val="auto"/>
        </w:rPr>
      </w:pPr>
    </w:p>
    <w:p>
      <w:pPr>
        <w:ind w:left="900" w:right="280" w:hanging="206"/>
        <w:spacing w:after="0"/>
        <w:tabs>
          <w:tab w:leader="none" w:pos="900" w:val="left"/>
        </w:tabs>
        <w:numPr>
          <w:ilvl w:val="1"/>
          <w:numId w:val="3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26" w:lineRule="exact"/>
        <w:rPr>
          <w:sz w:val="20"/>
          <w:szCs w:val="20"/>
          <w:color w:val="auto"/>
        </w:rPr>
      </w:pPr>
    </w:p>
    <w:p>
      <w:pPr>
        <w:ind w:left="20"/>
        <w:spacing w:after="0"/>
        <w:tabs>
          <w:tab w:leader="none" w:pos="5820" w:val="left"/>
          <w:tab w:leader="none" w:pos="6980" w:val="left"/>
        </w:tabs>
        <w:rPr>
          <w:sz w:val="20"/>
          <w:szCs w:val="20"/>
          <w:color w:val="auto"/>
        </w:rPr>
      </w:pPr>
      <w:r>
        <w:rPr>
          <w:rFonts w:ascii="Arial" w:cs="Arial" w:eastAsia="Arial" w:hAnsi="Arial"/>
          <w:sz w:val="18"/>
          <w:szCs w:val="18"/>
          <w:color w:val="auto"/>
        </w:rPr>
        <w:t>Date: February 14, 2025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u w:val="single" w:color="auto"/>
          <w:color w:val="auto"/>
        </w:rPr>
        <w:t>/s/ Gregory P. Lewis</w:t>
      </w:r>
    </w:p>
    <w:p>
      <w:pPr>
        <w:spacing w:after="0" w:line="9"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Gregory P. Lewis</w:t>
      </w:r>
    </w:p>
    <w:p>
      <w:pPr>
        <w:ind w:left="7000"/>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240"/>
          </w:cols>
          <w:pgMar w:left="320" w:top="890" w:right="339" w:bottom="1440" w:gutter="0" w:footer="0" w:header="0"/>
        </w:sectPr>
      </w:pPr>
    </w:p>
    <w:bookmarkStart w:id="218" w:name="page219"/>
    <w:bookmarkEnd w:id="218"/>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connection with the Annual Report of Honeywell International Inc. (the Company) on Form 10-K for the period ending December 31, 2024 as filed with the Securities and Exchange Commission on the date hereof (the Report), I, Vimal Kapur, Chief Executive Officer of the Company, certify, pursuant to 18 U.S.C. Section 1350, as adopted pursuant to Section 906 of the Sarbanes-Oxley Act of 2002, that:</w:t>
      </w:r>
    </w:p>
    <w:p>
      <w:pPr>
        <w:spacing w:after="0" w:line="1" w:lineRule="exact"/>
        <w:rPr>
          <w:sz w:val="20"/>
          <w:szCs w:val="20"/>
          <w:color w:val="auto"/>
        </w:rPr>
      </w:pPr>
    </w:p>
    <w:p>
      <w:pPr>
        <w:ind w:left="520" w:hanging="310"/>
        <w:spacing w:after="0"/>
        <w:tabs>
          <w:tab w:leader="none" w:pos="52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 w:lineRule="exact"/>
        <w:rPr>
          <w:rFonts w:ascii="Arial" w:cs="Arial" w:eastAsia="Arial" w:hAnsi="Arial"/>
          <w:sz w:val="18"/>
          <w:szCs w:val="18"/>
          <w:color w:val="auto"/>
        </w:rPr>
      </w:pPr>
    </w:p>
    <w:p>
      <w:pPr>
        <w:ind w:left="540" w:right="140" w:hanging="330"/>
        <w:spacing w:after="0" w:line="263" w:lineRule="auto"/>
        <w:tabs>
          <w:tab w:leader="none" w:pos="53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tbl>
      <w:tblPr>
        <w:tblLayout w:type="fixed"/>
        <w:tblInd w:w="560" w:type="dxa"/>
        <w:tblCellMar>
          <w:top w:w="0" w:type="dxa"/>
          <w:left w:w="0" w:type="dxa"/>
          <w:bottom w:w="0" w:type="dxa"/>
          <w:right w:w="0" w:type="dxa"/>
        </w:tblCellMar>
      </w:tblPr>
      <w:tr>
        <w:trPr>
          <w:trHeight w:val="195"/>
        </w:trPr>
        <w:tc>
          <w:tcPr>
            <w:tcW w:w="3740" w:type="dxa"/>
            <w:vAlign w:val="bottom"/>
          </w:tcPr>
          <w:p>
            <w:pPr>
              <w:spacing w:after="0" w:line="195" w:lineRule="exact"/>
              <w:rPr>
                <w:sz w:val="20"/>
                <w:szCs w:val="20"/>
                <w:color w:val="auto"/>
              </w:rPr>
            </w:pPr>
            <w:r>
              <w:rPr>
                <w:rFonts w:ascii="Arial" w:cs="Arial" w:eastAsia="Arial" w:hAnsi="Arial"/>
                <w:sz w:val="18"/>
                <w:szCs w:val="18"/>
                <w:color w:val="auto"/>
              </w:rPr>
              <w:t>Date: February 14, 2025</w:t>
            </w:r>
          </w:p>
        </w:tc>
        <w:tc>
          <w:tcPr>
            <w:tcW w:w="2900" w:type="dxa"/>
            <w:vAlign w:val="bottom"/>
          </w:tcPr>
          <w:p>
            <w:pPr>
              <w:ind w:left="1800"/>
              <w:spacing w:after="0" w:line="195" w:lineRule="exact"/>
              <w:rPr>
                <w:sz w:val="20"/>
                <w:szCs w:val="20"/>
                <w:color w:val="auto"/>
              </w:rPr>
            </w:pPr>
            <w:r>
              <w:rPr>
                <w:rFonts w:ascii="Arial" w:cs="Arial" w:eastAsia="Arial" w:hAnsi="Arial"/>
                <w:sz w:val="18"/>
                <w:szCs w:val="18"/>
                <w:color w:val="auto"/>
              </w:rPr>
              <w:t>By:</w:t>
            </w:r>
          </w:p>
        </w:tc>
        <w:tc>
          <w:tcPr>
            <w:tcW w:w="3020" w:type="dxa"/>
            <w:vAlign w:val="bottom"/>
            <w:gridSpan w:val="2"/>
          </w:tcPr>
          <w:p>
            <w:pPr>
              <w:spacing w:after="0" w:line="195" w:lineRule="exact"/>
              <w:rPr>
                <w:sz w:val="20"/>
                <w:szCs w:val="20"/>
                <w:color w:val="auto"/>
              </w:rPr>
            </w:pPr>
            <w:r>
              <w:rPr>
                <w:rFonts w:ascii="Arial" w:cs="Arial" w:eastAsia="Arial" w:hAnsi="Arial"/>
                <w:sz w:val="18"/>
                <w:szCs w:val="18"/>
                <w:color w:val="auto"/>
              </w:rPr>
              <w:t>/s/ Vimal Kapur</w:t>
            </w:r>
          </w:p>
        </w:tc>
      </w:tr>
      <w:tr>
        <w:trPr>
          <w:trHeight w:val="196"/>
        </w:trPr>
        <w:tc>
          <w:tcPr>
            <w:tcW w:w="374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220" w:type="dxa"/>
            <w:vAlign w:val="bottom"/>
            <w:tcBorders>
              <w:top w:val="single" w:sz="8" w:color="auto"/>
            </w:tcBorders>
          </w:tcPr>
          <w:p>
            <w:pPr>
              <w:spacing w:after="0" w:line="196" w:lineRule="exact"/>
              <w:rPr>
                <w:sz w:val="20"/>
                <w:szCs w:val="20"/>
                <w:color w:val="auto"/>
              </w:rPr>
            </w:pPr>
            <w:r>
              <w:rPr>
                <w:rFonts w:ascii="Arial" w:cs="Arial" w:eastAsia="Arial" w:hAnsi="Arial"/>
                <w:sz w:val="18"/>
                <w:szCs w:val="18"/>
                <w:color w:val="auto"/>
              </w:rPr>
              <w:t>Vimal Kapur</w:t>
            </w:r>
          </w:p>
        </w:tc>
        <w:tc>
          <w:tcPr>
            <w:tcW w:w="1800" w:type="dxa"/>
            <w:vAlign w:val="bottom"/>
          </w:tcPr>
          <w:p>
            <w:pPr>
              <w:spacing w:after="0"/>
              <w:rPr>
                <w:sz w:val="17"/>
                <w:szCs w:val="17"/>
                <w:color w:val="auto"/>
              </w:rPr>
            </w:pPr>
          </w:p>
        </w:tc>
      </w:tr>
      <w:tr>
        <w:trPr>
          <w:trHeight w:val="239"/>
        </w:trPr>
        <w:tc>
          <w:tcPr>
            <w:tcW w:w="374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3020" w:type="dxa"/>
            <w:vAlign w:val="bottom"/>
            <w:gridSpan w:val="2"/>
          </w:tcPr>
          <w:p>
            <w:pPr>
              <w:spacing w:after="0"/>
              <w:rPr>
                <w:sz w:val="20"/>
                <w:szCs w:val="20"/>
                <w:color w:val="auto"/>
              </w:rPr>
            </w:pPr>
            <w:r>
              <w:rPr>
                <w:rFonts w:ascii="Arial" w:cs="Arial" w:eastAsia="Arial" w:hAnsi="Arial"/>
                <w:sz w:val="18"/>
                <w:szCs w:val="18"/>
                <w:color w:val="auto"/>
                <w:w w:val="99"/>
              </w:rPr>
              <w:t>Chairman and Chief Executive Officer</w:t>
            </w:r>
          </w:p>
        </w:tc>
      </w:tr>
    </w:tbl>
    <w:p>
      <w:pPr>
        <w:sectPr>
          <w:pgSz w:w="11900" w:h="16838" w:orient="portrait"/>
          <w:cols w:equalWidth="0" w:num="1">
            <w:col w:w="11240"/>
          </w:cols>
          <w:pgMar w:left="320" w:top="890" w:right="339" w:bottom="1440" w:gutter="0" w:footer="0" w:header="0"/>
        </w:sectPr>
      </w:pPr>
    </w:p>
    <w:bookmarkStart w:id="219" w:name="page220"/>
    <w:bookmarkEnd w:id="219"/>
    <w:p>
      <w:pPr>
        <w:jc w:val="right"/>
        <w:spacing w:after="0"/>
        <w:rPr>
          <w:sz w:val="20"/>
          <w:szCs w:val="20"/>
          <w:color w:val="auto"/>
        </w:rPr>
      </w:pPr>
      <w:r>
        <w:rPr>
          <w:rFonts w:ascii="Arial" w:cs="Arial" w:eastAsia="Arial" w:hAnsi="Arial"/>
          <w:sz w:val="18"/>
          <w:szCs w:val="18"/>
          <w:b w:val="1"/>
          <w:bCs w:val="1"/>
          <w:color w:val="auto"/>
        </w:rPr>
        <w:t>EXHIBIT 32.2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connection with the Annual Report of Honeywell International Inc. (the Company) on Form 10-K for the period ending December 31, 2024 as filed with the Securities and Exchange Commission on the date hereof (the Report), I, Gregory P. Lewis, Senior Vice President and Chief Financial Officer of the Company, certify, pursuant to 18 U.S.C. Section 1350, as adopted pursuant to Section 906 of the Sarbanes-Oxley Act of 2002, that:</w:t>
      </w:r>
    </w:p>
    <w:p>
      <w:pPr>
        <w:spacing w:after="0" w:line="2" w:lineRule="exact"/>
        <w:rPr>
          <w:sz w:val="20"/>
          <w:szCs w:val="20"/>
          <w:color w:val="auto"/>
        </w:rPr>
      </w:pPr>
    </w:p>
    <w:p>
      <w:pPr>
        <w:ind w:left="520" w:hanging="310"/>
        <w:spacing w:after="0"/>
        <w:tabs>
          <w:tab w:leader="none" w:pos="520" w:val="left"/>
        </w:tabs>
        <w:numPr>
          <w:ilvl w:val="0"/>
          <w:numId w:val="3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 w:lineRule="exact"/>
        <w:rPr>
          <w:rFonts w:ascii="Arial" w:cs="Arial" w:eastAsia="Arial" w:hAnsi="Arial"/>
          <w:sz w:val="18"/>
          <w:szCs w:val="18"/>
          <w:color w:val="auto"/>
        </w:rPr>
      </w:pPr>
    </w:p>
    <w:p>
      <w:pPr>
        <w:ind w:left="540" w:right="140" w:hanging="330"/>
        <w:spacing w:after="0" w:line="263" w:lineRule="auto"/>
        <w:tabs>
          <w:tab w:leader="none" w:pos="530" w:val="left"/>
        </w:tabs>
        <w:numPr>
          <w:ilvl w:val="0"/>
          <w:numId w:val="32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tbl>
      <w:tblPr>
        <w:tblLayout w:type="fixed"/>
        <w:tblInd w:w="560" w:type="dxa"/>
        <w:tblCellMar>
          <w:top w:w="0" w:type="dxa"/>
          <w:left w:w="0" w:type="dxa"/>
          <w:bottom w:w="0" w:type="dxa"/>
          <w:right w:w="0" w:type="dxa"/>
        </w:tblCellMar>
      </w:tblPr>
      <w:tr>
        <w:trPr>
          <w:trHeight w:val="195"/>
        </w:trPr>
        <w:tc>
          <w:tcPr>
            <w:tcW w:w="3740" w:type="dxa"/>
            <w:vAlign w:val="bottom"/>
          </w:tcPr>
          <w:p>
            <w:pPr>
              <w:spacing w:after="0" w:line="195" w:lineRule="exact"/>
              <w:rPr>
                <w:sz w:val="20"/>
                <w:szCs w:val="20"/>
                <w:color w:val="auto"/>
              </w:rPr>
            </w:pPr>
            <w:r>
              <w:rPr>
                <w:rFonts w:ascii="Arial" w:cs="Arial" w:eastAsia="Arial" w:hAnsi="Arial"/>
                <w:sz w:val="18"/>
                <w:szCs w:val="18"/>
                <w:color w:val="auto"/>
              </w:rPr>
              <w:t>Date: February 14, 2025</w:t>
            </w:r>
          </w:p>
        </w:tc>
        <w:tc>
          <w:tcPr>
            <w:tcW w:w="2900" w:type="dxa"/>
            <w:vAlign w:val="bottom"/>
          </w:tcPr>
          <w:p>
            <w:pPr>
              <w:ind w:left="1800"/>
              <w:spacing w:after="0" w:line="195" w:lineRule="exact"/>
              <w:rPr>
                <w:sz w:val="20"/>
                <w:szCs w:val="20"/>
                <w:color w:val="auto"/>
              </w:rPr>
            </w:pPr>
            <w:r>
              <w:rPr>
                <w:rFonts w:ascii="Arial" w:cs="Arial" w:eastAsia="Arial" w:hAnsi="Arial"/>
                <w:sz w:val="18"/>
                <w:szCs w:val="18"/>
                <w:color w:val="auto"/>
              </w:rPr>
              <w:t>By:</w:t>
            </w:r>
          </w:p>
        </w:tc>
        <w:tc>
          <w:tcPr>
            <w:tcW w:w="3900" w:type="dxa"/>
            <w:vAlign w:val="bottom"/>
            <w:gridSpan w:val="2"/>
          </w:tcPr>
          <w:p>
            <w:pPr>
              <w:spacing w:after="0" w:line="195" w:lineRule="exact"/>
              <w:rPr>
                <w:sz w:val="20"/>
                <w:szCs w:val="20"/>
                <w:color w:val="auto"/>
              </w:rPr>
            </w:pPr>
            <w:r>
              <w:rPr>
                <w:rFonts w:ascii="Arial" w:cs="Arial" w:eastAsia="Arial" w:hAnsi="Arial"/>
                <w:sz w:val="18"/>
                <w:szCs w:val="18"/>
                <w:color w:val="auto"/>
              </w:rPr>
              <w:t>/s/ Gregory P. Lewis</w:t>
            </w:r>
          </w:p>
        </w:tc>
      </w:tr>
      <w:tr>
        <w:trPr>
          <w:trHeight w:val="196"/>
        </w:trPr>
        <w:tc>
          <w:tcPr>
            <w:tcW w:w="374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600" w:type="dxa"/>
            <w:vAlign w:val="bottom"/>
            <w:tcBorders>
              <w:top w:val="single" w:sz="8" w:color="auto"/>
            </w:tcBorders>
          </w:tcPr>
          <w:p>
            <w:pPr>
              <w:spacing w:after="0" w:line="196" w:lineRule="exact"/>
              <w:rPr>
                <w:sz w:val="20"/>
                <w:szCs w:val="20"/>
                <w:color w:val="auto"/>
              </w:rPr>
            </w:pPr>
            <w:r>
              <w:rPr>
                <w:rFonts w:ascii="Arial" w:cs="Arial" w:eastAsia="Arial" w:hAnsi="Arial"/>
                <w:sz w:val="18"/>
                <w:szCs w:val="18"/>
                <w:color w:val="auto"/>
              </w:rPr>
              <w:t>Gregory P. Lewis</w:t>
            </w:r>
          </w:p>
        </w:tc>
        <w:tc>
          <w:tcPr>
            <w:tcW w:w="2300" w:type="dxa"/>
            <w:vAlign w:val="bottom"/>
          </w:tcPr>
          <w:p>
            <w:pPr>
              <w:spacing w:after="0"/>
              <w:rPr>
                <w:sz w:val="17"/>
                <w:szCs w:val="17"/>
                <w:color w:val="auto"/>
              </w:rPr>
            </w:pPr>
          </w:p>
        </w:tc>
      </w:tr>
      <w:tr>
        <w:trPr>
          <w:trHeight w:val="239"/>
        </w:trPr>
        <w:tc>
          <w:tcPr>
            <w:tcW w:w="374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w w:val="99"/>
              </w:rPr>
              <w:t>Senior Vice President and Chief Financial Officer</w:t>
            </w:r>
          </w:p>
        </w:tc>
      </w:tr>
    </w:tbl>
    <w:p>
      <w:pPr>
        <w:sectPr>
          <w:pgSz w:w="11900" w:h="16838" w:orient="portrait"/>
          <w:cols w:equalWidth="0" w:num="1">
            <w:col w:w="11240"/>
          </w:cols>
          <w:pgMar w:left="320" w:top="890" w:right="339" w:bottom="1440" w:gutter="0" w:footer="0" w:header="0"/>
        </w:sectPr>
      </w:pPr>
    </w:p>
    <w:bookmarkStart w:id="220" w:name="page221"/>
    <w:bookmarkEnd w:id="220"/>
    <w:p>
      <w:pPr>
        <w:jc w:val="right"/>
        <w:spacing w:after="0"/>
        <w:rPr>
          <w:sz w:val="20"/>
          <w:szCs w:val="20"/>
          <w:color w:val="auto"/>
        </w:rPr>
      </w:pPr>
      <w:r>
        <w:rPr>
          <w:rFonts w:ascii="Arial" w:cs="Arial" w:eastAsia="Arial" w:hAnsi="Arial"/>
          <w:sz w:val="18"/>
          <w:szCs w:val="18"/>
          <w:b w:val="1"/>
          <w:bCs w:val="1"/>
          <w:color w:val="auto"/>
        </w:rPr>
        <w:t>EXHIBIT 95</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Mine Safety Disclosures</w:t>
      </w:r>
    </w:p>
    <w:p>
      <w:pPr>
        <w:spacing w:after="0" w:line="333" w:lineRule="exact"/>
        <w:rPr>
          <w:sz w:val="20"/>
          <w:szCs w:val="20"/>
          <w:color w:val="auto"/>
        </w:rPr>
      </w:pPr>
    </w:p>
    <w:p>
      <w:pPr>
        <w:jc w:val="both"/>
        <w:ind w:firstLine="364"/>
        <w:spacing w:after="0" w:line="259" w:lineRule="auto"/>
        <w:rPr>
          <w:sz w:val="20"/>
          <w:szCs w:val="20"/>
          <w:color w:val="auto"/>
        </w:rPr>
      </w:pPr>
      <w:r>
        <w:rPr>
          <w:rFonts w:ascii="Arial" w:cs="Arial" w:eastAsia="Arial" w:hAnsi="Arial"/>
          <w:sz w:val="18"/>
          <w:szCs w:val="18"/>
          <w:color w:val="auto"/>
        </w:rPr>
        <w:t>The following disclosures are provided pursuant to Section 1503(a) of the Dodd-Frank Wall Street Reform and Consumer Protection Act and Item 104 of Regulation S-K, which require certain disclosures by companies required to file periodic reports under the Securities Exchange Act of 1934, as amended, that operate mines regulated under the Federal Mine Safety and Health Act of 1977 (the "Mine Safety Act"). One of the subsidiaries of Honeywell International Inc. (the "Company") has placer claims for and operates a surface mine for chabazite ore in Arizona.</w:t>
      </w:r>
    </w:p>
    <w:p>
      <w:pPr>
        <w:spacing w:after="0" w:line="71" w:lineRule="exact"/>
        <w:rPr>
          <w:sz w:val="20"/>
          <w:szCs w:val="20"/>
          <w:color w:val="auto"/>
        </w:rPr>
      </w:pPr>
    </w:p>
    <w:p>
      <w:pPr>
        <w:jc w:val="both"/>
        <w:ind w:firstLine="364"/>
        <w:spacing w:after="0" w:line="257" w:lineRule="auto"/>
        <w:rPr>
          <w:sz w:val="20"/>
          <w:szCs w:val="20"/>
          <w:color w:val="auto"/>
        </w:rPr>
      </w:pPr>
      <w:r>
        <w:rPr>
          <w:rFonts w:ascii="Arial" w:cs="Arial" w:eastAsia="Arial" w:hAnsi="Arial"/>
          <w:sz w:val="18"/>
          <w:szCs w:val="18"/>
          <w:color w:val="auto"/>
        </w:rPr>
        <w:t>During the year ended December 31, 2024, the Company did not receive any of the following: (a) a citation from the U.S. Mine Safety and Health Administration (“MSHA”) for a violation of mandatory health or safety standards that could significantly and substantially contribute to the cause and effect of a coal or other mine safety or health hazard under section 104 of the Mine Safety Act; (b) an order issued under section 104(b) of the Mine Safety Act; (c) a citation or order for unwarrantable failure of the mine operator to comply with mandatory health or safety standards under section 104(d) of the Mine Safety Act; (d) a flagrant violation under section 110(b)(2) of the Mine Safety Act; (e) an imminent danger order under section 107(a) of the Mine Safety Act; or (f) a proposed assessment from the MSHA.</w:t>
      </w:r>
    </w:p>
    <w:p>
      <w:pPr>
        <w:spacing w:after="0" w:line="74" w:lineRule="exact"/>
        <w:rPr>
          <w:sz w:val="20"/>
          <w:szCs w:val="20"/>
          <w:color w:val="auto"/>
        </w:rPr>
      </w:pPr>
    </w:p>
    <w:p>
      <w:pPr>
        <w:jc w:val="both"/>
        <w:ind w:firstLine="364"/>
        <w:spacing w:after="0" w:line="259" w:lineRule="auto"/>
        <w:rPr>
          <w:sz w:val="20"/>
          <w:szCs w:val="20"/>
          <w:color w:val="auto"/>
        </w:rPr>
      </w:pPr>
      <w:r>
        <w:rPr>
          <w:rFonts w:ascii="Arial" w:cs="Arial" w:eastAsia="Arial" w:hAnsi="Arial"/>
          <w:sz w:val="18"/>
          <w:szCs w:val="18"/>
          <w:color w:val="auto"/>
        </w:rPr>
        <w:t>In addition, during the year ended December 31, 2024, the Company had no mining-related fatalities, had no pending legal actions before the Federal Mine Safety and Health Review Commission involving a coal or other mine, and did not receive any written notice from the MSHA involving a pattern of violations, or the potential to have such a pattern, of mandatory health or safety standards that are of such nature as could have significantly and substantially contributed to the cause and effect of coal or other mine health or safety hazards under section 104(e) of the Mine Safety Act.</w:t>
      </w:r>
    </w:p>
    <w:sectPr>
      <w:pgSz w:w="11900" w:h="16838" w:orient="portrait"/>
      <w:cols w:equalWidth="0" w:num="1">
        <w:col w:w="11240"/>
      </w:cols>
      <w:pgMar w:left="32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CFAED9"/>
    <w:multiLevelType w:val="hybridMultilevel"/>
    <w:lvl w:ilvl="0">
      <w:lvlJc w:val="left"/>
      <w:lvlText w:val="☐"/>
      <w:numFmt w:val="bullet"/>
      <w:start w:val="1"/>
    </w:lvl>
  </w:abstractNum>
  <w:abstractNum w:abstractNumId="1">
    <w:nsid w:val="F856867"/>
    <w:multiLevelType w:val="hybridMultilevel"/>
    <w:lvl w:ilvl="0">
      <w:lvlJc w:val="left"/>
      <w:lvlText w:val="1"/>
      <w:numFmt w:val="bullet"/>
      <w:start w:val="1"/>
    </w:lvl>
  </w:abstractNum>
  <w:abstractNum w:abstractNumId="2">
    <w:nsid w:val="11B1CC33"/>
    <w:multiLevelType w:val="hybridMultilevel"/>
    <w:lvl w:ilvl="0">
      <w:lvlJc w:val="left"/>
      <w:lvlText w:val="%1"/>
      <w:numFmt w:val="decimal"/>
      <w:start w:val="15"/>
    </w:lvl>
  </w:abstractNum>
  <w:abstractNum w:abstractNumId="3">
    <w:nsid w:val="2E22FBB7"/>
    <w:multiLevelType w:val="hybridMultilevel"/>
    <w:lvl w:ilvl="0">
      <w:lvlJc w:val="left"/>
      <w:lvlText w:val="%1"/>
      <w:numFmt w:val="decimal"/>
      <w:start w:val="22"/>
    </w:lvl>
  </w:abstractNum>
  <w:abstractNum w:abstractNumId="4">
    <w:nsid w:val="29934699"/>
    <w:multiLevelType w:val="hybridMultilevel"/>
    <w:lvl w:ilvl="0">
      <w:lvlJc w:val="left"/>
      <w:lvlText w:val="%1"/>
      <w:numFmt w:val="decimal"/>
      <w:start w:val="28"/>
    </w:lvl>
  </w:abstractNum>
  <w:abstractNum w:abstractNumId="5">
    <w:nsid w:val="77485850"/>
    <w:multiLevelType w:val="hybridMultilevel"/>
    <w:lvl w:ilvl="0">
      <w:lvlJc w:val="left"/>
      <w:lvlText w:val="%1"/>
      <w:numFmt w:val="decimal"/>
      <w:start w:val="37"/>
    </w:lvl>
  </w:abstractNum>
  <w:abstractNum w:abstractNumId="6">
    <w:nsid w:val="744939A3"/>
    <w:multiLevelType w:val="hybridMultilevel"/>
    <w:lvl w:ilvl="0">
      <w:lvlJc w:val="left"/>
      <w:lvlText w:val="%1"/>
      <w:numFmt w:val="decimal"/>
      <w:start w:val="37"/>
    </w:lvl>
  </w:abstractNum>
  <w:abstractNum w:abstractNumId="7">
    <w:nsid w:val="4FA0D2E3"/>
    <w:multiLevelType w:val="hybridMultilevel"/>
    <w:lvl w:ilvl="0">
      <w:lvlJc w:val="left"/>
      <w:lvlText w:val="%1"/>
      <w:numFmt w:val="decimal"/>
      <w:start w:val="42"/>
    </w:lvl>
  </w:abstractNum>
  <w:abstractNum w:abstractNumId="8">
    <w:nsid w:val="6B1D2C14"/>
    <w:multiLevelType w:val="hybridMultilevel"/>
    <w:lvl w:ilvl="0">
      <w:lvlJc w:val="left"/>
      <w:lvlText w:val="%1"/>
      <w:numFmt w:val="decimal"/>
      <w:start w:val="45"/>
    </w:lvl>
  </w:abstractNum>
  <w:abstractNum w:abstractNumId="9">
    <w:nsid w:val="68B867D3"/>
    <w:multiLevelType w:val="hybridMultilevel"/>
    <w:lvl w:ilvl="0">
      <w:lvlJc w:val="left"/>
      <w:lvlText w:val="%1"/>
      <w:numFmt w:val="decimal"/>
      <w:start w:val="47"/>
    </w:lvl>
  </w:abstractNum>
  <w:abstractNum w:abstractNumId="10">
    <w:nsid w:val="3F7F5DD9"/>
    <w:multiLevelType w:val="hybridMultilevel"/>
    <w:lvl w:ilvl="0">
      <w:lvlJc w:val="left"/>
      <w:lvlText w:val="%1"/>
      <w:numFmt w:val="decimal"/>
      <w:start w:val="48"/>
    </w:lvl>
  </w:abstractNum>
  <w:abstractNum w:abstractNumId="11">
    <w:nsid w:val="2AE05A34"/>
    <w:multiLevelType w:val="hybridMultilevel"/>
    <w:lvl w:ilvl="0">
      <w:lvlJc w:val="left"/>
      <w:lvlText w:val="%1"/>
      <w:numFmt w:val="decimal"/>
      <w:start w:val="48"/>
    </w:lvl>
  </w:abstractNum>
  <w:abstractNum w:abstractNumId="12">
    <w:nsid w:val="32794FF7"/>
    <w:multiLevelType w:val="hybridMultilevel"/>
    <w:lvl w:ilvl="0">
      <w:lvlJc w:val="left"/>
      <w:lvlText w:val="%1"/>
      <w:numFmt w:val="decimal"/>
      <w:start w:val="51"/>
    </w:lvl>
  </w:abstractNum>
  <w:abstractNum w:abstractNumId="13">
    <w:nsid w:val="5454945E"/>
    <w:multiLevelType w:val="hybridMultilevel"/>
    <w:lvl w:ilvl="0">
      <w:lvlJc w:val="left"/>
      <w:lvlText w:val="%1"/>
      <w:numFmt w:val="decimal"/>
      <w:start w:val="114"/>
    </w:lvl>
  </w:abstractNum>
  <w:abstractNum w:abstractNumId="14">
    <w:nsid w:val="4DEFDFA0"/>
    <w:multiLevelType w:val="hybridMultilevel"/>
    <w:lvl w:ilvl="0">
      <w:lvlJc w:val="left"/>
      <w:lvlText w:val="%1"/>
      <w:numFmt w:val="decimal"/>
      <w:start w:val="116"/>
    </w:lvl>
  </w:abstractNum>
  <w:abstractNum w:abstractNumId="15">
    <w:nsid w:val="2123D5F2"/>
    <w:multiLevelType w:val="hybridMultilevel"/>
    <w:lvl w:ilvl="0">
      <w:lvlJc w:val="left"/>
      <w:lvlText w:val="%1"/>
      <w:numFmt w:val="decimal"/>
      <w:start w:val="116"/>
    </w:lvl>
  </w:abstractNum>
  <w:abstractNum w:abstractNumId="16">
    <w:nsid w:val="135B8110"/>
    <w:multiLevelType w:val="hybridMultilevel"/>
    <w:lvl w:ilvl="0">
      <w:lvlJc w:val="left"/>
      <w:lvlText w:val="%1"/>
      <w:numFmt w:val="decimal"/>
      <w:start w:val="116"/>
    </w:lvl>
  </w:abstractNum>
  <w:abstractNum w:abstractNumId="17">
    <w:nsid w:val="94927A8"/>
    <w:multiLevelType w:val="hybridMultilevel"/>
    <w:lvl w:ilvl="0">
      <w:lvlJc w:val="left"/>
      <w:lvlText w:val="%1"/>
      <w:numFmt w:val="decimal"/>
      <w:start w:val="117"/>
    </w:lvl>
  </w:abstractNum>
  <w:abstractNum w:abstractNumId="18">
    <w:nsid w:val="DCDF8F6"/>
    <w:multiLevelType w:val="hybridMultilevel"/>
    <w:lvl w:ilvl="0">
      <w:lvlJc w:val="left"/>
      <w:lvlText w:val="%1"/>
      <w:numFmt w:val="decimal"/>
      <w:start w:val="117"/>
    </w:lvl>
  </w:abstractNum>
  <w:abstractNum w:abstractNumId="19">
    <w:nsid w:val="52D7B105"/>
    <w:multiLevelType w:val="hybridMultilevel"/>
    <w:lvl w:ilvl="0">
      <w:lvlJc w:val="left"/>
      <w:lvlText w:val="%1"/>
      <w:numFmt w:val="decimal"/>
      <w:start w:val="117"/>
    </w:lvl>
  </w:abstractNum>
  <w:abstractNum w:abstractNumId="20">
    <w:nsid w:val="2E8A6394"/>
    <w:multiLevelType w:val="hybridMultilevel"/>
    <w:lvl w:ilvl="0">
      <w:lvlJc w:val="left"/>
      <w:lvlText w:val="%1"/>
      <w:numFmt w:val="decimal"/>
      <w:start w:val="119"/>
    </w:lvl>
  </w:abstractNum>
  <w:abstractNum w:abstractNumId="21">
    <w:nsid w:val="24E60401"/>
    <w:multiLevelType w:val="hybridMultilevel"/>
    <w:lvl w:ilvl="0">
      <w:lvlJc w:val="left"/>
      <w:lvlText w:val="%1"/>
      <w:numFmt w:val="decimal"/>
      <w:start w:val="119"/>
    </w:lvl>
  </w:abstractNum>
  <w:abstractNum w:abstractNumId="22">
    <w:nsid w:val="2A6AD9BE"/>
    <w:multiLevelType w:val="hybridMultilevel"/>
    <w:lvl w:ilvl="0">
      <w:lvlJc w:val="left"/>
      <w:lvlText w:val="%1"/>
      <w:numFmt w:val="decimal"/>
      <w:start w:val="119"/>
    </w:lvl>
  </w:abstractNum>
  <w:abstractNum w:abstractNumId="23">
    <w:nsid w:val="BAAC1B4"/>
    <w:multiLevelType w:val="hybridMultilevel"/>
    <w:lvl w:ilvl="0">
      <w:lvlJc w:val="left"/>
      <w:lvlText w:val="%1"/>
      <w:numFmt w:val="decimal"/>
      <w:start w:val="124"/>
    </w:lvl>
  </w:abstractNum>
  <w:abstractNum w:abstractNumId="24">
    <w:nsid w:val="36B2ACBC"/>
    <w:multiLevelType w:val="hybridMultilevel"/>
    <w:lvl w:ilvl="0">
      <w:lvlJc w:val="left"/>
      <w:lvlText w:val="%1"/>
      <w:numFmt w:val="decimal"/>
      <w:start w:val="126"/>
    </w:lvl>
  </w:abstractNum>
  <w:abstractNum w:abstractNumId="25">
    <w:nsid w:val="779D8544"/>
    <w:multiLevelType w:val="hybridMultilevel"/>
    <w:lvl w:ilvl="0">
      <w:lvlJc w:val="left"/>
      <w:lvlText w:val="1"/>
      <w:numFmt w:val="bullet"/>
      <w:start w:val="1"/>
    </w:lvl>
  </w:abstractNum>
  <w:abstractNum w:abstractNumId="26">
    <w:nsid w:val="4AB26E78"/>
    <w:multiLevelType w:val="hybridMultilevel"/>
    <w:lvl w:ilvl="0">
      <w:lvlJc w:val="left"/>
      <w:lvlText w:val="2"/>
      <w:numFmt w:val="bullet"/>
      <w:start w:val="1"/>
    </w:lvl>
  </w:abstractNum>
  <w:abstractNum w:abstractNumId="27">
    <w:nsid w:val="21FAA2FA"/>
    <w:multiLevelType w:val="hybridMultilevel"/>
    <w:lvl w:ilvl="0">
      <w:lvlJc w:val="left"/>
      <w:lvlText w:val="3"/>
      <w:numFmt w:val="bullet"/>
      <w:start w:val="1"/>
    </w:lvl>
  </w:abstractNum>
  <w:abstractNum w:abstractNumId="28">
    <w:nsid w:val="5451CF49"/>
    <w:multiLevelType w:val="hybridMultilevel"/>
    <w:lvl w:ilvl="0">
      <w:lvlJc w:val="left"/>
      <w:lvlText w:val="4"/>
      <w:numFmt w:val="bullet"/>
      <w:start w:val="1"/>
    </w:lvl>
  </w:abstractNum>
  <w:abstractNum w:abstractNumId="29">
    <w:nsid w:val="6181EF69"/>
    <w:multiLevelType w:val="hybridMultilevel"/>
    <w:lvl w:ilvl="0">
      <w:lvlJc w:val="left"/>
      <w:lvlText w:val="1"/>
      <w:numFmt w:val="bullet"/>
      <w:start w:val="1"/>
    </w:lvl>
  </w:abstractNum>
  <w:abstractNum w:abstractNumId="30">
    <w:nsid w:val="3E6400E6"/>
    <w:multiLevelType w:val="hybridMultilevel"/>
    <w:lvl w:ilvl="0">
      <w:lvlJc w:val="left"/>
      <w:lvlText w:val="1"/>
      <w:numFmt w:val="bullet"/>
      <w:start w:val="1"/>
    </w:lvl>
  </w:abstractNum>
  <w:abstractNum w:abstractNumId="31">
    <w:nsid w:val="14217E23"/>
    <w:multiLevelType w:val="hybridMultilevel"/>
    <w:lvl w:ilvl="0">
      <w:lvlJc w:val="left"/>
      <w:lvlText w:val="5"/>
      <w:numFmt w:val="bullet"/>
      <w:start w:val="1"/>
    </w:lvl>
  </w:abstractNum>
  <w:abstractNum w:abstractNumId="32">
    <w:nsid w:val="710757D0"/>
    <w:multiLevelType w:val="hybridMultilevel"/>
    <w:lvl w:ilvl="0">
      <w:lvlJc w:val="left"/>
      <w:lvlText w:val="1"/>
      <w:numFmt w:val="bullet"/>
      <w:start w:val="1"/>
    </w:lvl>
  </w:abstractNum>
  <w:abstractNum w:abstractNumId="33">
    <w:nsid w:val="5015CD1A"/>
    <w:multiLevelType w:val="hybridMultilevel"/>
    <w:lvl w:ilvl="0">
      <w:lvlJc w:val="left"/>
      <w:lvlText w:val="8"/>
      <w:numFmt w:val="bullet"/>
      <w:start w:val="1"/>
    </w:lvl>
  </w:abstractNum>
  <w:abstractNum w:abstractNumId="34">
    <w:nsid w:val="424479DA"/>
    <w:multiLevelType w:val="hybridMultilevel"/>
    <w:lvl w:ilvl="0">
      <w:lvlJc w:val="left"/>
      <w:lvlText w:val="9"/>
      <w:numFmt w:val="bullet"/>
      <w:start w:val="1"/>
    </w:lvl>
  </w:abstractNum>
  <w:abstractNum w:abstractNumId="35">
    <w:nsid w:val="1A9A9E69"/>
    <w:multiLevelType w:val="hybridMultilevel"/>
    <w:lvl w:ilvl="0">
      <w:lvlJc w:val="left"/>
      <w:lvlText w:val="•"/>
      <w:numFmt w:val="bullet"/>
      <w:start w:val="1"/>
    </w:lvl>
  </w:abstractNum>
  <w:abstractNum w:abstractNumId="36">
    <w:nsid w:val="475E256A"/>
    <w:multiLevelType w:val="hybridMultilevel"/>
    <w:lvl w:ilvl="0">
      <w:lvlJc w:val="left"/>
      <w:lvlText w:val="1"/>
      <w:numFmt w:val="bullet"/>
      <w:start w:val="1"/>
    </w:lvl>
  </w:abstractNum>
  <w:abstractNum w:abstractNumId="37">
    <w:nsid w:val="368DB37E"/>
    <w:multiLevelType w:val="hybridMultilevel"/>
    <w:lvl w:ilvl="0">
      <w:lvlJc w:val="left"/>
      <w:lvlText w:val="%1"/>
      <w:numFmt w:val="decimal"/>
      <w:start w:val="10"/>
    </w:lvl>
  </w:abstractNum>
  <w:abstractNum w:abstractNumId="38">
    <w:nsid w:val="6A3B714C"/>
    <w:multiLevelType w:val="hybridMultilevel"/>
    <w:lvl w:ilvl="0">
      <w:lvlJc w:val="left"/>
      <w:lvlText w:val="1"/>
      <w:numFmt w:val="bullet"/>
      <w:start w:val="1"/>
    </w:lvl>
  </w:abstractNum>
  <w:abstractNum w:abstractNumId="39">
    <w:nsid w:val="327B517E"/>
    <w:multiLevelType w:val="hybridMultilevel"/>
    <w:lvl w:ilvl="0">
      <w:lvlJc w:val="left"/>
      <w:lvlText w:val="%1"/>
      <w:numFmt w:val="decimal"/>
      <w:start w:val="11"/>
    </w:lvl>
  </w:abstractNum>
  <w:abstractNum w:abstractNumId="40">
    <w:nsid w:val="1F461B51"/>
    <w:multiLevelType w:val="hybridMultilevel"/>
    <w:lvl w:ilvl="0">
      <w:lvlJc w:val="left"/>
      <w:lvlText w:val="1"/>
      <w:numFmt w:val="bullet"/>
      <w:start w:val="1"/>
    </w:lvl>
  </w:abstractNum>
  <w:abstractNum w:abstractNumId="41">
    <w:nsid w:val="29BACF25"/>
    <w:multiLevelType w:val="hybridMultilevel"/>
    <w:lvl w:ilvl="0">
      <w:lvlJc w:val="left"/>
      <w:lvlText w:val="%1"/>
      <w:numFmt w:val="decimal"/>
      <w:start w:val="12"/>
    </w:lvl>
  </w:abstractNum>
  <w:abstractNum w:abstractNumId="42">
    <w:nsid w:val="5D5BABB3"/>
    <w:multiLevelType w:val="hybridMultilevel"/>
    <w:lvl w:ilvl="0">
      <w:lvlJc w:val="left"/>
      <w:lvlText w:val="%1"/>
      <w:numFmt w:val="decimal"/>
      <w:start w:val="13"/>
    </w:lvl>
  </w:abstractNum>
  <w:abstractNum w:abstractNumId="43">
    <w:nsid w:val="51BF6B48"/>
    <w:multiLevelType w:val="hybridMultilevel"/>
    <w:lvl w:ilvl="0">
      <w:lvlJc w:val="left"/>
      <w:lvlText w:val="%1"/>
      <w:numFmt w:val="decimal"/>
      <w:start w:val="14"/>
    </w:lvl>
  </w:abstractNum>
  <w:abstractNum w:abstractNumId="44">
    <w:nsid w:val="7E0F6384"/>
    <w:multiLevelType w:val="hybridMultilevel"/>
    <w:lvl w:ilvl="0">
      <w:lvlJc w:val="left"/>
      <w:lvlText w:val="%1"/>
      <w:numFmt w:val="decimal"/>
      <w:start w:val="15"/>
    </w:lvl>
  </w:abstractNum>
  <w:abstractNum w:abstractNumId="45">
    <w:nsid w:val="2B4B8B53"/>
    <w:multiLevelType w:val="hybridMultilevel"/>
    <w:lvl w:ilvl="0">
      <w:lvlJc w:val="left"/>
      <w:lvlText w:val="%1"/>
      <w:numFmt w:val="decimal"/>
      <w:start w:val="16"/>
    </w:lvl>
  </w:abstractNum>
  <w:abstractNum w:abstractNumId="46">
    <w:nsid w:val="72E3413A"/>
    <w:multiLevelType w:val="hybridMultilevel"/>
    <w:lvl w:ilvl="0">
      <w:lvlJc w:val="left"/>
      <w:lvlText w:val="%1"/>
      <w:numFmt w:val="decimal"/>
      <w:start w:val="17"/>
    </w:lvl>
  </w:abstractNum>
  <w:abstractNum w:abstractNumId="47">
    <w:nsid w:val="116AE494"/>
    <w:multiLevelType w:val="hybridMultilevel"/>
    <w:lvl w:ilvl="0">
      <w:lvlJc w:val="left"/>
      <w:lvlText w:val="•"/>
      <w:numFmt w:val="bullet"/>
      <w:start w:val="1"/>
    </w:lvl>
  </w:abstractNum>
  <w:abstractNum w:abstractNumId="48">
    <w:nsid w:val="3494B2FB"/>
    <w:multiLevelType w:val="hybridMultilevel"/>
    <w:lvl w:ilvl="0">
      <w:lvlJc w:val="left"/>
      <w:lvlText w:val="•"/>
      <w:numFmt w:val="bullet"/>
      <w:start w:val="1"/>
    </w:lvl>
  </w:abstractNum>
  <w:abstractNum w:abstractNumId="49">
    <w:nsid w:val="B13A31"/>
    <w:multiLevelType w:val="hybridMultilevel"/>
    <w:lvl w:ilvl="0">
      <w:lvlJc w:val="left"/>
      <w:lvlText w:val="%1"/>
      <w:numFmt w:val="decimal"/>
      <w:start w:val="18"/>
    </w:lvl>
  </w:abstractNum>
  <w:abstractNum w:abstractNumId="50">
    <w:nsid w:val="64429599"/>
    <w:multiLevelType w:val="hybridMultilevel"/>
    <w:lvl w:ilvl="0">
      <w:lvlJc w:val="left"/>
      <w:lvlText w:val="1"/>
      <w:numFmt w:val="bullet"/>
      <w:start w:val="1"/>
    </w:lvl>
  </w:abstractNum>
  <w:abstractNum w:abstractNumId="51">
    <w:nsid w:val="631F1690"/>
    <w:multiLevelType w:val="hybridMultilevel"/>
    <w:lvl w:ilvl="0">
      <w:lvlJc w:val="left"/>
      <w:lvlText w:val="•"/>
      <w:numFmt w:val="bullet"/>
      <w:start w:val="1"/>
    </w:lvl>
  </w:abstractNum>
  <w:abstractNum w:abstractNumId="52">
    <w:nsid w:val="25973E32"/>
    <w:multiLevelType w:val="hybridMultilevel"/>
    <w:lvl w:ilvl="0">
      <w:lvlJc w:val="left"/>
      <w:lvlText w:val="%1"/>
      <w:numFmt w:val="decimal"/>
      <w:start w:val="19"/>
    </w:lvl>
  </w:abstractNum>
  <w:abstractNum w:abstractNumId="53">
    <w:nsid w:val="EAD6F57"/>
    <w:multiLevelType w:val="hybridMultilevel"/>
    <w:lvl w:ilvl="0">
      <w:lvlJc w:val="left"/>
      <w:lvlText w:val="•"/>
      <w:numFmt w:val="bullet"/>
      <w:start w:val="1"/>
    </w:lvl>
  </w:abstractNum>
  <w:abstractNum w:abstractNumId="54">
    <w:nsid w:val="6EC9D844"/>
    <w:multiLevelType w:val="hybridMultilevel"/>
    <w:lvl w:ilvl="0">
      <w:lvlJc w:val="left"/>
      <w:lvlText w:val="•"/>
      <w:numFmt w:val="bullet"/>
      <w:start w:val="1"/>
    </w:lvl>
  </w:abstractNum>
  <w:abstractNum w:abstractNumId="55">
    <w:nsid w:val="5C49EAEE"/>
    <w:multiLevelType w:val="hybridMultilevel"/>
    <w:lvl w:ilvl="0">
      <w:lvlJc w:val="left"/>
      <w:lvlText w:val="%1"/>
      <w:numFmt w:val="decimal"/>
      <w:start w:val="20"/>
    </w:lvl>
  </w:abstractNum>
  <w:abstractNum w:abstractNumId="56">
    <w:nsid w:val="64AF49B"/>
    <w:multiLevelType w:val="hybridMultilevel"/>
    <w:lvl w:ilvl="0">
      <w:lvlJc w:val="left"/>
      <w:lvlText w:val="•"/>
      <w:numFmt w:val="bullet"/>
      <w:start w:val="1"/>
    </w:lvl>
  </w:abstractNum>
  <w:abstractNum w:abstractNumId="57">
    <w:nsid w:val="397C46BC"/>
    <w:multiLevelType w:val="hybridMultilevel"/>
    <w:lvl w:ilvl="0">
      <w:lvlJc w:val="left"/>
      <w:lvlText w:val="%1"/>
      <w:numFmt w:val="decimal"/>
      <w:start w:val="21"/>
    </w:lvl>
  </w:abstractNum>
  <w:abstractNum w:abstractNumId="58">
    <w:nsid w:val="7E448DE9"/>
    <w:multiLevelType w:val="hybridMultilevel"/>
    <w:lvl w:ilvl="0">
      <w:lvlJc w:val="left"/>
      <w:lvlText w:val="1"/>
      <w:numFmt w:val="bullet"/>
      <w:start w:val="1"/>
    </w:lvl>
  </w:abstractNum>
  <w:abstractNum w:abstractNumId="59">
    <w:nsid w:val="5A9CC3E5"/>
    <w:multiLevelType w:val="hybridMultilevel"/>
    <w:lvl w:ilvl="0">
      <w:lvlJc w:val="left"/>
      <w:lvlText w:val="%1"/>
      <w:numFmt w:val="decimal"/>
      <w:start w:val="22"/>
    </w:lvl>
  </w:abstractNum>
  <w:abstractNum w:abstractNumId="60">
    <w:nsid w:val="1AFE3625"/>
    <w:multiLevelType w:val="hybridMultilevel"/>
    <w:lvl w:ilvl="0">
      <w:lvlJc w:val="left"/>
      <w:lvlText w:val="%1"/>
      <w:numFmt w:val="decimal"/>
      <w:start w:val="24"/>
    </w:lvl>
  </w:abstractNum>
  <w:abstractNum w:abstractNumId="61">
    <w:nsid w:val="3CA88ECF"/>
    <w:multiLevelType w:val="hybridMultilevel"/>
    <w:lvl w:ilvl="0">
      <w:lvlJc w:val="left"/>
      <w:lvlText w:val="%1"/>
      <w:numFmt w:val="decimal"/>
      <w:start w:val="25"/>
    </w:lvl>
  </w:abstractNum>
  <w:abstractNum w:abstractNumId="62">
    <w:nsid w:val="6EBE4208"/>
    <w:multiLevelType w:val="hybridMultilevel"/>
    <w:lvl w:ilvl="0">
      <w:lvlJc w:val="left"/>
      <w:lvlText w:val="%1"/>
      <w:numFmt w:val="decimal"/>
      <w:start w:val="26"/>
    </w:lvl>
  </w:abstractNum>
  <w:abstractNum w:abstractNumId="63">
    <w:nsid w:val="C058DF5"/>
    <w:multiLevelType w:val="hybridMultilevel"/>
    <w:lvl w:ilvl="0">
      <w:lvlJc w:val="left"/>
      <w:lvlText w:val="%1"/>
      <w:numFmt w:val="decimal"/>
      <w:start w:val="27"/>
    </w:lvl>
  </w:abstractNum>
  <w:abstractNum w:abstractNumId="64">
    <w:nsid w:val="CBE5BE9"/>
    <w:multiLevelType w:val="hybridMultilevel"/>
    <w:lvl w:ilvl="0">
      <w:lvlJc w:val="left"/>
      <w:lvlText w:val="•"/>
      <w:numFmt w:val="bullet"/>
      <w:start w:val="1"/>
    </w:lvl>
  </w:abstractNum>
  <w:abstractNum w:abstractNumId="65">
    <w:nsid w:val="3102BBE2"/>
    <w:multiLevelType w:val="hybridMultilevel"/>
    <w:lvl w:ilvl="0">
      <w:lvlJc w:val="left"/>
      <w:lvlText w:val="%1"/>
      <w:numFmt w:val="decimal"/>
      <w:start w:val="28"/>
    </w:lvl>
  </w:abstractNum>
  <w:abstractNum w:abstractNumId="66">
    <w:nsid w:val="26A02C5E"/>
    <w:multiLevelType w:val="hybridMultilevel"/>
    <w:lvl w:ilvl="0">
      <w:lvlJc w:val="left"/>
      <w:lvlText w:val="%1"/>
      <w:numFmt w:val="decimal"/>
      <w:start w:val="29"/>
    </w:lvl>
  </w:abstractNum>
  <w:abstractNum w:abstractNumId="67">
    <w:nsid w:val="541C8153"/>
    <w:multiLevelType w:val="hybridMultilevel"/>
    <w:lvl w:ilvl="0">
      <w:lvlJc w:val="left"/>
      <w:lvlText w:val="%1"/>
      <w:numFmt w:val="decimal"/>
      <w:start w:val="30"/>
    </w:lvl>
  </w:abstractNum>
  <w:abstractNum w:abstractNumId="68">
    <w:nsid w:val="67906F60"/>
    <w:multiLevelType w:val="hybridMultilevel"/>
    <w:lvl w:ilvl="0">
      <w:lvlJc w:val="left"/>
      <w:lvlText w:val="(%1)"/>
      <w:numFmt w:val="lowerRoman"/>
      <w:start w:val="3"/>
    </w:lvl>
  </w:abstractNum>
  <w:abstractNum w:abstractNumId="69">
    <w:nsid w:val="10DB9DAA"/>
    <w:multiLevelType w:val="hybridMultilevel"/>
    <w:lvl w:ilvl="0">
      <w:lvlJc w:val="left"/>
      <w:lvlText w:val="(%1)"/>
      <w:numFmt w:val="lowerRoman"/>
      <w:start w:val="7"/>
    </w:lvl>
  </w:abstractNum>
  <w:abstractNum w:abstractNumId="70">
    <w:nsid w:val="697D2D2"/>
    <w:multiLevelType w:val="hybridMultilevel"/>
    <w:lvl w:ilvl="0">
      <w:lvlJc w:val="left"/>
      <w:lvlText w:val="%1"/>
      <w:numFmt w:val="decimal"/>
      <w:start w:val="31"/>
    </w:lvl>
  </w:abstractNum>
  <w:abstractNum w:abstractNumId="71">
    <w:nsid w:val="6D68AB2"/>
    <w:multiLevelType w:val="hybridMultilevel"/>
    <w:lvl w:ilvl="0">
      <w:lvlJc w:val="left"/>
      <w:lvlText w:val="%1"/>
      <w:numFmt w:val="decimal"/>
      <w:start w:val="32"/>
    </w:lvl>
  </w:abstractNum>
  <w:abstractNum w:abstractNumId="72">
    <w:nsid w:val="3A966CD0"/>
    <w:multiLevelType w:val="hybridMultilevel"/>
    <w:lvl w:ilvl="0">
      <w:lvlJc w:val="left"/>
      <w:lvlText w:val="%1"/>
      <w:numFmt w:val="decimal"/>
      <w:start w:val="33"/>
    </w:lvl>
  </w:abstractNum>
  <w:abstractNum w:abstractNumId="73">
    <w:nsid w:val="63F37E85"/>
    <w:multiLevelType w:val="hybridMultilevel"/>
    <w:lvl w:ilvl="0">
      <w:lvlJc w:val="left"/>
      <w:lvlText w:val="%1"/>
      <w:numFmt w:val="decimal"/>
      <w:start w:val="34"/>
    </w:lvl>
  </w:abstractNum>
  <w:abstractNum w:abstractNumId="74">
    <w:nsid w:val="5895F5FA"/>
    <w:multiLevelType w:val="hybridMultilevel"/>
    <w:lvl w:ilvl="0">
      <w:lvlJc w:val="left"/>
      <w:lvlText w:val="%1"/>
      <w:numFmt w:val="decimal"/>
      <w:start w:val="35"/>
    </w:lvl>
  </w:abstractNum>
  <w:abstractNum w:abstractNumId="75">
    <w:nsid w:val="38A5D054"/>
    <w:multiLevelType w:val="hybridMultilevel"/>
    <w:lvl w:ilvl="0">
      <w:lvlJc w:val="left"/>
      <w:lvlText w:val="%1"/>
      <w:numFmt w:val="decimal"/>
      <w:start w:val="36"/>
    </w:lvl>
  </w:abstractNum>
  <w:abstractNum w:abstractNumId="76">
    <w:nsid w:val="F3F09D8"/>
    <w:multiLevelType w:val="hybridMultilevel"/>
    <w:lvl w:ilvl="0">
      <w:lvlJc w:val="left"/>
      <w:lvlText w:val="•"/>
      <w:numFmt w:val="bullet"/>
      <w:start w:val="1"/>
    </w:lvl>
  </w:abstractNum>
  <w:abstractNum w:abstractNumId="77">
    <w:nsid w:val="4B793735"/>
    <w:multiLevelType w:val="hybridMultilevel"/>
    <w:lvl w:ilvl="0">
      <w:lvlJc w:val="left"/>
      <w:lvlText w:val="%1"/>
      <w:numFmt w:val="decimal"/>
      <w:start w:val="38"/>
    </w:lvl>
  </w:abstractNum>
  <w:abstractNum w:abstractNumId="78">
    <w:nsid w:val="4A10B4E8"/>
    <w:multiLevelType w:val="hybridMultilevel"/>
    <w:lvl w:ilvl="0">
      <w:lvlJc w:val="left"/>
      <w:lvlText w:val="•"/>
      <w:numFmt w:val="bullet"/>
      <w:start w:val="1"/>
    </w:lvl>
  </w:abstractNum>
  <w:abstractNum w:abstractNumId="79">
    <w:nsid w:val="43D3BCD4"/>
    <w:multiLevelType w:val="hybridMultilevel"/>
    <w:lvl w:ilvl="0">
      <w:lvlJc w:val="left"/>
      <w:lvlText w:val="%1"/>
      <w:numFmt w:val="decimal"/>
      <w:start w:val="39"/>
    </w:lvl>
  </w:abstractNum>
  <w:abstractNum w:abstractNumId="80">
    <w:nsid w:val="4C2A7166"/>
    <w:multiLevelType w:val="hybridMultilevel"/>
    <w:lvl w:ilvl="0">
      <w:lvlJc w:val="left"/>
      <w:lvlText w:val="1"/>
      <w:numFmt w:val="bullet"/>
      <w:start w:val="1"/>
    </w:lvl>
  </w:abstractNum>
  <w:abstractNum w:abstractNumId="81">
    <w:nsid w:val="2E534A82"/>
    <w:multiLevelType w:val="hybridMultilevel"/>
    <w:lvl w:ilvl="0">
      <w:lvlJc w:val="left"/>
      <w:lvlText w:val="2"/>
      <w:numFmt w:val="bullet"/>
      <w:start w:val="1"/>
    </w:lvl>
  </w:abstractNum>
  <w:abstractNum w:abstractNumId="82">
    <w:nsid w:val="26F2D364"/>
    <w:multiLevelType w:val="hybridMultilevel"/>
    <w:lvl w:ilvl="0">
      <w:lvlJc w:val="left"/>
      <w:lvlText w:val="3"/>
      <w:numFmt w:val="bullet"/>
      <w:start w:val="1"/>
    </w:lvl>
  </w:abstractNum>
  <w:abstractNum w:abstractNumId="83">
    <w:nsid w:val="71C1AF98"/>
    <w:multiLevelType w:val="hybridMultilevel"/>
    <w:lvl w:ilvl="0">
      <w:lvlJc w:val="left"/>
      <w:lvlText w:val="4"/>
      <w:numFmt w:val="bullet"/>
      <w:start w:val="1"/>
    </w:lvl>
  </w:abstractNum>
  <w:abstractNum w:abstractNumId="84">
    <w:nsid w:val="3D00B9D9"/>
    <w:multiLevelType w:val="hybridMultilevel"/>
    <w:lvl w:ilvl="0">
      <w:lvlJc w:val="left"/>
      <w:lvlText w:val="5"/>
      <w:numFmt w:val="bullet"/>
      <w:start w:val="1"/>
    </w:lvl>
  </w:abstractNum>
  <w:abstractNum w:abstractNumId="85">
    <w:nsid w:val="15BCABA8"/>
    <w:multiLevelType w:val="hybridMultilevel"/>
    <w:lvl w:ilvl="0">
      <w:lvlJc w:val="left"/>
      <w:lvlText w:val="6"/>
      <w:numFmt w:val="bullet"/>
      <w:start w:val="1"/>
    </w:lvl>
  </w:abstractNum>
  <w:abstractNum w:abstractNumId="86">
    <w:nsid w:val="4E0B9A87"/>
    <w:multiLevelType w:val="hybridMultilevel"/>
    <w:lvl w:ilvl="0">
      <w:lvlJc w:val="left"/>
      <w:lvlText w:val="7"/>
      <w:numFmt w:val="bullet"/>
      <w:start w:val="1"/>
    </w:lvl>
  </w:abstractNum>
  <w:abstractNum w:abstractNumId="87">
    <w:nsid w:val="434BAE75"/>
    <w:multiLevelType w:val="hybridMultilevel"/>
    <w:lvl w:ilvl="0">
      <w:lvlJc w:val="left"/>
      <w:lvlText w:val="%1"/>
      <w:numFmt w:val="decimal"/>
      <w:start w:val="40"/>
    </w:lvl>
  </w:abstractNum>
  <w:abstractNum w:abstractNumId="88">
    <w:nsid w:val="4F38F265"/>
    <w:multiLevelType w:val="hybridMultilevel"/>
    <w:lvl w:ilvl="0">
      <w:lvlJc w:val="left"/>
      <w:lvlText w:val="1"/>
      <w:numFmt w:val="bullet"/>
      <w:start w:val="1"/>
    </w:lvl>
  </w:abstractNum>
  <w:abstractNum w:abstractNumId="89">
    <w:nsid w:val="4C502870"/>
    <w:multiLevelType w:val="hybridMultilevel"/>
    <w:lvl w:ilvl="0">
      <w:lvlJc w:val="left"/>
      <w:lvlText w:val="2"/>
      <w:numFmt w:val="bullet"/>
      <w:start w:val="1"/>
    </w:lvl>
  </w:abstractNum>
  <w:abstractNum w:abstractNumId="90">
    <w:nsid w:val="1DE8725A"/>
    <w:multiLevelType w:val="hybridMultilevel"/>
    <w:lvl w:ilvl="0">
      <w:lvlJc w:val="left"/>
      <w:lvlText w:val="3"/>
      <w:numFmt w:val="bullet"/>
      <w:start w:val="1"/>
    </w:lvl>
  </w:abstractNum>
  <w:abstractNum w:abstractNumId="91">
    <w:nsid w:val="6A37288A"/>
    <w:multiLevelType w:val="hybridMultilevel"/>
    <w:lvl w:ilvl="0">
      <w:lvlJc w:val="left"/>
      <w:lvlText w:val="%1"/>
      <w:numFmt w:val="decimal"/>
      <w:start w:val="41"/>
    </w:lvl>
  </w:abstractNum>
  <w:abstractNum w:abstractNumId="92">
    <w:nsid w:val="8F8B73F"/>
    <w:multiLevelType w:val="hybridMultilevel"/>
    <w:lvl w:ilvl="0">
      <w:lvlJc w:val="left"/>
      <w:lvlText w:val="%1"/>
      <w:numFmt w:val="decimal"/>
      <w:start w:val="42"/>
    </w:lvl>
  </w:abstractNum>
  <w:abstractNum w:abstractNumId="93">
    <w:nsid w:val="CA6B462"/>
    <w:multiLevelType w:val="hybridMultilevel"/>
    <w:lvl w:ilvl="0">
      <w:lvlJc w:val="left"/>
      <w:lvlText w:val="•"/>
      <w:numFmt w:val="bullet"/>
      <w:start w:val="1"/>
    </w:lvl>
  </w:abstractNum>
  <w:abstractNum w:abstractNumId="94">
    <w:nsid w:val="763CB680"/>
    <w:multiLevelType w:val="hybridMultilevel"/>
    <w:lvl w:ilvl="0">
      <w:lvlJc w:val="left"/>
      <w:lvlText w:val="%1"/>
      <w:numFmt w:val="decimal"/>
      <w:start w:val="44"/>
    </w:lvl>
  </w:abstractNum>
  <w:abstractNum w:abstractNumId="95">
    <w:nsid w:val="15B71329"/>
    <w:multiLevelType w:val="hybridMultilevel"/>
    <w:lvl w:ilvl="0">
      <w:lvlJc w:val="left"/>
      <w:lvlText w:val="%1"/>
      <w:numFmt w:val="decimal"/>
      <w:start w:val="45"/>
    </w:lvl>
  </w:abstractNum>
  <w:abstractNum w:abstractNumId="96">
    <w:nsid w:val="3DA97044"/>
    <w:multiLevelType w:val="hybridMultilevel"/>
    <w:lvl w:ilvl="0">
      <w:lvlJc w:val="left"/>
      <w:lvlText w:val="%1"/>
      <w:numFmt w:val="decimal"/>
      <w:start w:val="46"/>
    </w:lvl>
  </w:abstractNum>
  <w:abstractNum w:abstractNumId="97">
    <w:nsid w:val="1CDCE2DE"/>
    <w:multiLevelType w:val="hybridMultilevel"/>
    <w:lvl w:ilvl="0">
      <w:lvlJc w:val="left"/>
      <w:lvlText w:val="%1"/>
      <w:numFmt w:val="decimal"/>
      <w:start w:val="47"/>
    </w:lvl>
  </w:abstractNum>
  <w:abstractNum w:abstractNumId="98">
    <w:nsid w:val="69D3947C"/>
    <w:multiLevelType w:val="hybridMultilevel"/>
    <w:lvl w:ilvl="0">
      <w:lvlJc w:val="left"/>
      <w:lvlText w:val="%1"/>
      <w:numFmt w:val="decimal"/>
      <w:start w:val="48"/>
    </w:lvl>
  </w:abstractNum>
  <w:abstractNum w:abstractNumId="99">
    <w:nsid w:val="2539DFA5"/>
    <w:multiLevelType w:val="hybridMultilevel"/>
    <w:lvl w:ilvl="0">
      <w:lvlJc w:val="left"/>
      <w:lvlText w:val="1"/>
      <w:numFmt w:val="bullet"/>
      <w:start w:val="1"/>
    </w:lvl>
  </w:abstractNum>
  <w:abstractNum w:abstractNumId="100">
    <w:nsid w:val="2DB88089"/>
    <w:multiLevelType w:val="hybridMultilevel"/>
    <w:lvl w:ilvl="0">
      <w:lvlJc w:val="left"/>
      <w:lvlText w:val="%1"/>
      <w:numFmt w:val="decimal"/>
      <w:start w:val="49"/>
    </w:lvl>
  </w:abstractNum>
  <w:abstractNum w:abstractNumId="101">
    <w:nsid w:val="706B674E"/>
    <w:multiLevelType w:val="hybridMultilevel"/>
    <w:lvl w:ilvl="0">
      <w:lvlJc w:val="left"/>
      <w:lvlText w:val="%1"/>
      <w:numFmt w:val="decimal"/>
      <w:start w:val="50"/>
    </w:lvl>
  </w:abstractNum>
  <w:abstractNum w:abstractNumId="102">
    <w:nsid w:val="2C106A57"/>
    <w:multiLevelType w:val="hybridMultilevel"/>
    <w:lvl w:ilvl="0">
      <w:lvlJc w:val="left"/>
      <w:lvlText w:val="%1"/>
      <w:numFmt w:val="decimal"/>
      <w:start w:val="51"/>
    </w:lvl>
  </w:abstractNum>
  <w:abstractNum w:abstractNumId="103">
    <w:nsid w:val="684EED59"/>
    <w:multiLevelType w:val="hybridMultilevel"/>
    <w:lvl w:ilvl="0">
      <w:lvlJc w:val="left"/>
      <w:lvlText w:val="%1"/>
      <w:numFmt w:val="decimal"/>
      <w:start w:val="52"/>
    </w:lvl>
  </w:abstractNum>
  <w:abstractNum w:abstractNumId="104">
    <w:nsid w:val="545EE5D3"/>
    <w:multiLevelType w:val="hybridMultilevel"/>
    <w:lvl w:ilvl="0">
      <w:lvlJc w:val="left"/>
      <w:lvlText w:val="%1"/>
      <w:numFmt w:val="decimal"/>
      <w:start w:val="53"/>
    </w:lvl>
  </w:abstractNum>
  <w:abstractNum w:abstractNumId="105">
    <w:nsid w:val="4A66051"/>
    <w:multiLevelType w:val="hybridMultilevel"/>
    <w:lvl w:ilvl="0">
      <w:lvlJc w:val="left"/>
      <w:lvlText w:val="%1"/>
      <w:numFmt w:val="decimal"/>
      <w:start w:val="54"/>
    </w:lvl>
  </w:abstractNum>
  <w:abstractNum w:abstractNumId="106">
    <w:nsid w:val="20F4BDAD"/>
    <w:multiLevelType w:val="hybridMultilevel"/>
    <w:lvl w:ilvl="0">
      <w:lvlJc w:val="left"/>
      <w:lvlText w:val="%1"/>
      <w:numFmt w:val="decimal"/>
      <w:start w:val="55"/>
    </w:lvl>
  </w:abstractNum>
  <w:abstractNum w:abstractNumId="107">
    <w:nsid w:val="639DEFAC"/>
    <w:multiLevelType w:val="hybridMultilevel"/>
    <w:lvl w:ilvl="0">
      <w:lvlJc w:val="left"/>
      <w:lvlText w:val="%1"/>
      <w:numFmt w:val="decimal"/>
      <w:start w:val="56"/>
    </w:lvl>
  </w:abstractNum>
  <w:abstractNum w:abstractNumId="108">
    <w:nsid w:val="501F9786"/>
    <w:multiLevelType w:val="hybridMultilevel"/>
    <w:lvl w:ilvl="0">
      <w:lvlJc w:val="left"/>
      <w:lvlText w:val="%1"/>
      <w:numFmt w:val="decimal"/>
      <w:start w:val="57"/>
    </w:lvl>
  </w:abstractNum>
  <w:abstractNum w:abstractNumId="109">
    <w:nsid w:val="6B057295"/>
    <w:multiLevelType w:val="hybridMultilevel"/>
    <w:lvl w:ilvl="0">
      <w:lvlJc w:val="left"/>
      <w:lvlText w:val="%1"/>
      <w:numFmt w:val="decimal"/>
      <w:start w:val="58"/>
    </w:lvl>
  </w:abstractNum>
  <w:abstractNum w:abstractNumId="110">
    <w:nsid w:val="2771AC80"/>
    <w:multiLevelType w:val="hybridMultilevel"/>
    <w:lvl w:ilvl="0">
      <w:lvlJc w:val="left"/>
      <w:lvlText w:val="%1"/>
      <w:numFmt w:val="decimal"/>
      <w:start w:val="59"/>
    </w:lvl>
  </w:abstractNum>
  <w:abstractNum w:abstractNumId="111">
    <w:nsid w:val="1C4A08EC"/>
    <w:multiLevelType w:val="hybridMultilevel"/>
    <w:lvl w:ilvl="0">
      <w:lvlJc w:val="left"/>
      <w:lvlText w:val="%1"/>
      <w:numFmt w:val="decimal"/>
      <w:start w:val="61"/>
    </w:lvl>
  </w:abstractNum>
  <w:abstractNum w:abstractNumId="112">
    <w:nsid w:val="1958BD17"/>
    <w:multiLevelType w:val="hybridMultilevel"/>
    <w:lvl w:ilvl="0">
      <w:lvlJc w:val="left"/>
      <w:lvlText w:val="%1"/>
      <w:numFmt w:val="decimal"/>
      <w:start w:val="62"/>
    </w:lvl>
  </w:abstractNum>
  <w:abstractNum w:abstractNumId="113">
    <w:nsid w:val="4E647FE4"/>
    <w:multiLevelType w:val="hybridMultilevel"/>
    <w:lvl w:ilvl="0">
      <w:lvlJc w:val="left"/>
      <w:lvlText w:val="%1"/>
      <w:numFmt w:val="decimal"/>
      <w:start w:val="63"/>
    </w:lvl>
  </w:abstractNum>
  <w:abstractNum w:abstractNumId="114">
    <w:nsid w:val="E0BB885"/>
    <w:multiLevelType w:val="hybridMultilevel"/>
    <w:lvl w:ilvl="0">
      <w:lvlJc w:val="left"/>
      <w:lvlText w:val="%1"/>
      <w:numFmt w:val="decimal"/>
      <w:start w:val="64"/>
    </w:lvl>
  </w:abstractNum>
  <w:abstractNum w:abstractNumId="115">
    <w:nsid w:val="565976F1"/>
    <w:multiLevelType w:val="hybridMultilevel"/>
    <w:lvl w:ilvl="0">
      <w:lvlJc w:val="left"/>
      <w:lvlText w:val="%1"/>
      <w:numFmt w:val="decimal"/>
      <w:start w:val="66"/>
    </w:lvl>
  </w:abstractNum>
  <w:abstractNum w:abstractNumId="116">
    <w:nsid w:val="64212B8C"/>
    <w:multiLevelType w:val="hybridMultilevel"/>
    <w:lvl w:ilvl="0">
      <w:lvlJc w:val="left"/>
      <w:lvlText w:val="%1"/>
      <w:numFmt w:val="decimal"/>
      <w:start w:val="67"/>
    </w:lvl>
  </w:abstractNum>
  <w:abstractNum w:abstractNumId="117">
    <w:nsid w:val="5C17530C"/>
    <w:multiLevelType w:val="hybridMultilevel"/>
    <w:lvl w:ilvl="0">
      <w:lvlJc w:val="left"/>
      <w:lvlText w:val="1"/>
      <w:numFmt w:val="bullet"/>
      <w:start w:val="1"/>
    </w:lvl>
  </w:abstractNum>
  <w:abstractNum w:abstractNumId="118">
    <w:nsid w:val="19A52566"/>
    <w:multiLevelType w:val="hybridMultilevel"/>
    <w:lvl w:ilvl="0">
      <w:lvlJc w:val="left"/>
      <w:lvlText w:val="2"/>
      <w:numFmt w:val="bullet"/>
      <w:start w:val="1"/>
    </w:lvl>
  </w:abstractNum>
  <w:abstractNum w:abstractNumId="119">
    <w:nsid w:val="335A1DF1"/>
    <w:multiLevelType w:val="hybridMultilevel"/>
    <w:lvl w:ilvl="0">
      <w:lvlJc w:val="left"/>
      <w:lvlText w:val="%1"/>
      <w:numFmt w:val="decimal"/>
      <w:start w:val="68"/>
    </w:lvl>
  </w:abstractNum>
  <w:abstractNum w:abstractNumId="120">
    <w:nsid w:val="28677B7C"/>
    <w:multiLevelType w:val="hybridMultilevel"/>
    <w:lvl w:ilvl="0">
      <w:lvlJc w:val="left"/>
      <w:lvlText w:val="1"/>
      <w:numFmt w:val="bullet"/>
      <w:start w:val="1"/>
    </w:lvl>
  </w:abstractNum>
  <w:abstractNum w:abstractNumId="121">
    <w:nsid w:val="378D97C0"/>
    <w:multiLevelType w:val="hybridMultilevel"/>
    <w:lvl w:ilvl="0">
      <w:lvlJc w:val="left"/>
      <w:lvlText w:val="%1"/>
      <w:numFmt w:val="decimal"/>
      <w:start w:val="70"/>
    </w:lvl>
  </w:abstractNum>
  <w:abstractNum w:abstractNumId="122">
    <w:nsid w:val="1D91467C"/>
    <w:multiLevelType w:val="hybridMultilevel"/>
    <w:lvl w:ilvl="0">
      <w:lvlJc w:val="left"/>
      <w:lvlText w:val="%1"/>
      <w:numFmt w:val="decimal"/>
      <w:start w:val="71"/>
    </w:lvl>
  </w:abstractNum>
  <w:abstractNum w:abstractNumId="123">
    <w:nsid w:val="316032BB"/>
    <w:multiLevelType w:val="hybridMultilevel"/>
    <w:lvl w:ilvl="0">
      <w:lvlJc w:val="left"/>
      <w:lvlText w:val="1"/>
      <w:numFmt w:val="bullet"/>
      <w:start w:val="1"/>
    </w:lvl>
  </w:abstractNum>
  <w:abstractNum w:abstractNumId="124">
    <w:nsid w:val="44344C22"/>
    <w:multiLevelType w:val="hybridMultilevel"/>
    <w:lvl w:ilvl="0">
      <w:lvlJc w:val="left"/>
      <w:lvlText w:val="2"/>
      <w:numFmt w:val="bullet"/>
      <w:start w:val="1"/>
    </w:lvl>
  </w:abstractNum>
  <w:abstractNum w:abstractNumId="125">
    <w:nsid w:val="13CDFCFC"/>
    <w:multiLevelType w:val="hybridMultilevel"/>
    <w:lvl w:ilvl="0">
      <w:lvlJc w:val="left"/>
      <w:lvlText w:val="3"/>
      <w:numFmt w:val="bullet"/>
      <w:start w:val="1"/>
    </w:lvl>
  </w:abstractNum>
  <w:abstractNum w:abstractNumId="126">
    <w:nsid w:val="471745E4"/>
    <w:multiLevelType w:val="hybridMultilevel"/>
    <w:lvl w:ilvl="0">
      <w:lvlJc w:val="left"/>
      <w:lvlText w:val="4"/>
      <w:numFmt w:val="bullet"/>
      <w:start w:val="1"/>
    </w:lvl>
  </w:abstractNum>
  <w:abstractNum w:abstractNumId="127">
    <w:nsid w:val="1DDBC66"/>
    <w:multiLevelType w:val="hybridMultilevel"/>
    <w:lvl w:ilvl="0">
      <w:lvlJc w:val="left"/>
      <w:lvlText w:val="%1"/>
      <w:numFmt w:val="decimal"/>
      <w:start w:val="73"/>
    </w:lvl>
  </w:abstractNum>
  <w:abstractNum w:abstractNumId="128">
    <w:nsid w:val="30AADFDA"/>
    <w:multiLevelType w:val="hybridMultilevel"/>
    <w:lvl w:ilvl="0">
      <w:lvlJc w:val="left"/>
      <w:lvlText w:val="1"/>
      <w:numFmt w:val="bullet"/>
      <w:start w:val="1"/>
    </w:lvl>
  </w:abstractNum>
  <w:abstractNum w:abstractNumId="129">
    <w:nsid w:val="30EADA61"/>
    <w:multiLevelType w:val="hybridMultilevel"/>
    <w:lvl w:ilvl="0">
      <w:lvlJc w:val="left"/>
      <w:lvlText w:val="%1"/>
      <w:numFmt w:val="decimal"/>
      <w:start w:val="74"/>
    </w:lvl>
  </w:abstractNum>
  <w:abstractNum w:abstractNumId="130">
    <w:nsid w:val="27179C0B"/>
    <w:multiLevelType w:val="hybridMultilevel"/>
    <w:lvl w:ilvl="0">
      <w:lvlJc w:val="left"/>
      <w:lvlText w:val="%1"/>
      <w:numFmt w:val="decimal"/>
      <w:start w:val="75"/>
    </w:lvl>
  </w:abstractNum>
  <w:abstractNum w:abstractNumId="131">
    <w:nsid w:val="5E636063"/>
    <w:multiLevelType w:val="hybridMultilevel"/>
    <w:lvl w:ilvl="0">
      <w:lvlJc w:val="left"/>
      <w:lvlText w:val="1"/>
      <w:numFmt w:val="bullet"/>
      <w:start w:val="1"/>
    </w:lvl>
  </w:abstractNum>
  <w:abstractNum w:abstractNumId="132">
    <w:nsid w:val="215641AF"/>
    <w:multiLevelType w:val="hybridMultilevel"/>
    <w:lvl w:ilvl="0">
      <w:lvlJc w:val="left"/>
      <w:lvlText w:val="1"/>
      <w:numFmt w:val="bullet"/>
      <w:start w:val="1"/>
    </w:lvl>
  </w:abstractNum>
  <w:abstractNum w:abstractNumId="133">
    <w:nsid w:val="53280662"/>
    <w:multiLevelType w:val="hybridMultilevel"/>
    <w:lvl w:ilvl="0">
      <w:lvlJc w:val="left"/>
      <w:lvlText w:val="%1"/>
      <w:numFmt w:val="decimal"/>
      <w:start w:val="76"/>
    </w:lvl>
  </w:abstractNum>
  <w:abstractNum w:abstractNumId="134">
    <w:nsid w:val="46B24DBC"/>
    <w:multiLevelType w:val="hybridMultilevel"/>
    <w:lvl w:ilvl="0">
      <w:lvlJc w:val="left"/>
      <w:lvlText w:val="1"/>
      <w:numFmt w:val="bullet"/>
      <w:start w:val="1"/>
    </w:lvl>
  </w:abstractNum>
  <w:abstractNum w:abstractNumId="135">
    <w:nsid w:val="75B52783"/>
    <w:multiLevelType w:val="hybridMultilevel"/>
    <w:lvl w:ilvl="0">
      <w:lvlJc w:val="left"/>
      <w:lvlText w:val="2"/>
      <w:numFmt w:val="bullet"/>
      <w:start w:val="1"/>
    </w:lvl>
  </w:abstractNum>
  <w:abstractNum w:abstractNumId="136">
    <w:nsid w:val="57CE66B4"/>
    <w:multiLevelType w:val="hybridMultilevel"/>
    <w:lvl w:ilvl="0">
      <w:lvlJc w:val="left"/>
      <w:lvlText w:val="%1"/>
      <w:numFmt w:val="decimal"/>
      <w:start w:val="77"/>
    </w:lvl>
  </w:abstractNum>
  <w:abstractNum w:abstractNumId="137">
    <w:nsid w:val="67A70B69"/>
    <w:multiLevelType w:val="hybridMultilevel"/>
    <w:lvl w:ilvl="0">
      <w:lvlJc w:val="left"/>
      <w:lvlText w:val="%1"/>
      <w:numFmt w:val="decimal"/>
      <w:start w:val="79"/>
    </w:lvl>
  </w:abstractNum>
  <w:abstractNum w:abstractNumId="138">
    <w:nsid w:val="5953172F"/>
    <w:multiLevelType w:val="hybridMultilevel"/>
    <w:lvl w:ilvl="0">
      <w:lvlJc w:val="left"/>
      <w:lvlText w:val="1"/>
      <w:numFmt w:val="bullet"/>
      <w:start w:val="1"/>
    </w:lvl>
  </w:abstractNum>
  <w:abstractNum w:abstractNumId="139">
    <w:nsid w:val="27EDFE3A"/>
    <w:multiLevelType w:val="hybridMultilevel"/>
    <w:lvl w:ilvl="0">
      <w:lvlJc w:val="left"/>
      <w:lvlText w:val="2"/>
      <w:numFmt w:val="bullet"/>
      <w:start w:val="1"/>
    </w:lvl>
  </w:abstractNum>
  <w:abstractNum w:abstractNumId="140">
    <w:nsid w:val="52AC7DFF"/>
    <w:multiLevelType w:val="hybridMultilevel"/>
    <w:lvl w:ilvl="0">
      <w:lvlJc w:val="left"/>
      <w:lvlText w:val="%1"/>
      <w:numFmt w:val="decimal"/>
      <w:start w:val="81"/>
    </w:lvl>
  </w:abstractNum>
  <w:abstractNum w:abstractNumId="141">
    <w:nsid w:val="C4C3AF"/>
    <w:multiLevelType w:val="hybridMultilevel"/>
    <w:lvl w:ilvl="0">
      <w:lvlJc w:val="left"/>
      <w:lvlText w:val="%1"/>
      <w:numFmt w:val="decimal"/>
      <w:start w:val="82"/>
    </w:lvl>
  </w:abstractNum>
  <w:abstractNum w:abstractNumId="142">
    <w:nsid w:val="44380727"/>
    <w:multiLevelType w:val="hybridMultilevel"/>
    <w:lvl w:ilvl="0">
      <w:lvlJc w:val="left"/>
      <w:lvlText w:val="%1"/>
      <w:numFmt w:val="decimal"/>
      <w:start w:val="83"/>
    </w:lvl>
  </w:abstractNum>
  <w:abstractNum w:abstractNumId="143">
    <w:nsid w:val="6C053B16"/>
    <w:multiLevelType w:val="hybridMultilevel"/>
    <w:lvl w:ilvl="0">
      <w:lvlJc w:val="left"/>
      <w:lvlText w:val="•"/>
      <w:numFmt w:val="bullet"/>
      <w:start w:val="1"/>
    </w:lvl>
  </w:abstractNum>
  <w:abstractNum w:abstractNumId="144">
    <w:nsid w:val="4F294393"/>
    <w:multiLevelType w:val="hybridMultilevel"/>
    <w:lvl w:ilvl="0">
      <w:lvlJc w:val="left"/>
      <w:lvlText w:val="%1"/>
      <w:numFmt w:val="decimal"/>
      <w:start w:val="85"/>
    </w:lvl>
  </w:abstractNum>
  <w:abstractNum w:abstractNumId="145">
    <w:nsid w:val="5243BFAC"/>
    <w:multiLevelType w:val="hybridMultilevel"/>
    <w:lvl w:ilvl="0">
      <w:lvlJc w:val="left"/>
      <w:lvlText w:val="%1"/>
      <w:numFmt w:val="decimal"/>
      <w:start w:val="86"/>
    </w:lvl>
  </w:abstractNum>
  <w:abstractNum w:abstractNumId="146">
    <w:nsid w:val="425EB207"/>
    <w:multiLevelType w:val="hybridMultilevel"/>
    <w:lvl w:ilvl="0">
      <w:lvlJc w:val="left"/>
      <w:lvlText w:val="1"/>
      <w:numFmt w:val="bullet"/>
      <w:start w:val="1"/>
    </w:lvl>
  </w:abstractNum>
  <w:abstractNum w:abstractNumId="147">
    <w:nsid w:val="334A6F1F"/>
    <w:multiLevelType w:val="hybridMultilevel"/>
    <w:lvl w:ilvl="0">
      <w:lvlJc w:val="left"/>
      <w:lvlText w:val="1"/>
      <w:numFmt w:val="bullet"/>
      <w:start w:val="1"/>
    </w:lvl>
  </w:abstractNum>
  <w:abstractNum w:abstractNumId="148">
    <w:nsid w:val="2E5B12B8"/>
    <w:multiLevelType w:val="hybridMultilevel"/>
    <w:lvl w:ilvl="0">
      <w:lvlJc w:val="left"/>
      <w:lvlText w:val="%1"/>
      <w:numFmt w:val="decimal"/>
      <w:start w:val="87"/>
    </w:lvl>
  </w:abstractNum>
  <w:abstractNum w:abstractNumId="149">
    <w:nsid w:val="5C03D76D"/>
    <w:multiLevelType w:val="hybridMultilevel"/>
    <w:lvl w:ilvl="0">
      <w:lvlJc w:val="left"/>
      <w:lvlText w:val="1"/>
      <w:numFmt w:val="bullet"/>
      <w:start w:val="1"/>
    </w:lvl>
  </w:abstractNum>
  <w:abstractNum w:abstractNumId="150">
    <w:nsid w:val="66A48D11"/>
    <w:multiLevelType w:val="hybridMultilevel"/>
    <w:lvl w:ilvl="0">
      <w:lvlJc w:val="left"/>
      <w:lvlText w:val="%1"/>
      <w:numFmt w:val="decimal"/>
      <w:start w:val="88"/>
    </w:lvl>
  </w:abstractNum>
  <w:abstractNum w:abstractNumId="151">
    <w:nsid w:val="56C28E34"/>
    <w:multiLevelType w:val="hybridMultilevel"/>
    <w:lvl w:ilvl="0">
      <w:lvlJc w:val="left"/>
      <w:lvlText w:val="1"/>
      <w:numFmt w:val="bullet"/>
      <w:start w:val="1"/>
    </w:lvl>
  </w:abstractNum>
  <w:abstractNum w:abstractNumId="152">
    <w:nsid w:val="13916F2D"/>
    <w:multiLevelType w:val="hybridMultilevel"/>
    <w:lvl w:ilvl="0">
      <w:lvlJc w:val="left"/>
      <w:lvlText w:val="1"/>
      <w:numFmt w:val="bullet"/>
      <w:start w:val="1"/>
    </w:lvl>
  </w:abstractNum>
  <w:abstractNum w:abstractNumId="153">
    <w:nsid w:val="435D38D"/>
    <w:multiLevelType w:val="hybridMultilevel"/>
    <w:lvl w:ilvl="0">
      <w:lvlJc w:val="left"/>
      <w:lvlText w:val="1"/>
      <w:numFmt w:val="bullet"/>
      <w:start w:val="1"/>
    </w:lvl>
  </w:abstractNum>
  <w:abstractNum w:abstractNumId="154">
    <w:nsid w:val="822C0EF"/>
    <w:multiLevelType w:val="hybridMultilevel"/>
    <w:lvl w:ilvl="0">
      <w:lvlJc w:val="left"/>
      <w:lvlText w:val="%1"/>
      <w:numFmt w:val="decimal"/>
      <w:start w:val="89"/>
    </w:lvl>
  </w:abstractNum>
  <w:abstractNum w:abstractNumId="155">
    <w:nsid w:val="57C5BB4F"/>
    <w:multiLevelType w:val="hybridMultilevel"/>
    <w:lvl w:ilvl="0">
      <w:lvlJc w:val="left"/>
      <w:lvlText w:val="%1"/>
      <w:numFmt w:val="decimal"/>
      <w:start w:val="91"/>
    </w:lvl>
  </w:abstractNum>
  <w:abstractNum w:abstractNumId="156">
    <w:nsid w:val="1803D089"/>
    <w:multiLevelType w:val="hybridMultilevel"/>
    <w:lvl w:ilvl="0">
      <w:lvlJc w:val="left"/>
      <w:lvlText w:val="1"/>
      <w:numFmt w:val="bullet"/>
      <w:start w:val="1"/>
    </w:lvl>
  </w:abstractNum>
  <w:abstractNum w:abstractNumId="157">
    <w:nsid w:val="4F3A06D4"/>
    <w:multiLevelType w:val="hybridMultilevel"/>
    <w:lvl w:ilvl="0">
      <w:lvlJc w:val="left"/>
      <w:lvlText w:val="%1"/>
      <w:numFmt w:val="decimal"/>
      <w:start w:val="94"/>
    </w:lvl>
  </w:abstractNum>
  <w:abstractNum w:abstractNumId="158">
    <w:nsid w:val="59A377B6"/>
    <w:multiLevelType w:val="hybridMultilevel"/>
    <w:lvl w:ilvl="0">
      <w:lvlJc w:val="left"/>
      <w:lvlText w:val="%1"/>
      <w:numFmt w:val="decimal"/>
      <w:start w:val="95"/>
    </w:lvl>
  </w:abstractNum>
  <w:abstractNum w:abstractNumId="159">
    <w:nsid w:val="48AEB063"/>
    <w:multiLevelType w:val="hybridMultilevel"/>
    <w:lvl w:ilvl="0">
      <w:lvlJc w:val="left"/>
      <w:lvlText w:val="%1"/>
      <w:numFmt w:val="decimal"/>
      <w:start w:val="97"/>
    </w:lvl>
  </w:abstractNum>
  <w:abstractNum w:abstractNumId="160">
    <w:nsid w:val="24E135"/>
    <w:multiLevelType w:val="hybridMultilevel"/>
    <w:lvl w:ilvl="0">
      <w:lvlJc w:val="left"/>
      <w:lvlText w:val="%1"/>
      <w:numFmt w:val="decimal"/>
      <w:start w:val="98"/>
    </w:lvl>
  </w:abstractNum>
  <w:abstractNum w:abstractNumId="161">
    <w:nsid w:val="BB13C1"/>
    <w:multiLevelType w:val="hybridMultilevel"/>
    <w:lvl w:ilvl="0">
      <w:lvlJc w:val="left"/>
      <w:lvlText w:val="%1"/>
      <w:numFmt w:val="decimal"/>
      <w:start w:val="99"/>
    </w:lvl>
  </w:abstractNum>
  <w:abstractNum w:abstractNumId="162">
    <w:nsid w:val="271210C7"/>
    <w:multiLevelType w:val="hybridMultilevel"/>
    <w:lvl w:ilvl="0">
      <w:lvlJc w:val="left"/>
      <w:lvlText w:val="%1"/>
      <w:numFmt w:val="decimal"/>
      <w:start w:val="100"/>
    </w:lvl>
  </w:abstractNum>
  <w:abstractNum w:abstractNumId="163">
    <w:nsid w:val="217B22E4"/>
    <w:multiLevelType w:val="hybridMultilevel"/>
    <w:lvl w:ilvl="0">
      <w:lvlJc w:val="left"/>
      <w:lvlText w:val="1"/>
      <w:numFmt w:val="bullet"/>
      <w:start w:val="1"/>
    </w:lvl>
  </w:abstractNum>
  <w:abstractNum w:abstractNumId="164">
    <w:nsid w:val="53E31A24"/>
    <w:multiLevelType w:val="hybridMultilevel"/>
    <w:lvl w:ilvl="0">
      <w:lvlJc w:val="left"/>
      <w:lvlText w:val="2"/>
      <w:numFmt w:val="bullet"/>
      <w:start w:val="1"/>
    </w:lvl>
  </w:abstractNum>
  <w:abstractNum w:abstractNumId="165">
    <w:nsid w:val="6DC45E83"/>
    <w:multiLevelType w:val="hybridMultilevel"/>
    <w:lvl w:ilvl="0">
      <w:lvlJc w:val="left"/>
      <w:lvlText w:val="3"/>
      <w:numFmt w:val="bullet"/>
      <w:start w:val="1"/>
    </w:lvl>
  </w:abstractNum>
  <w:abstractNum w:abstractNumId="166">
    <w:nsid w:val="17304A67"/>
    <w:multiLevelType w:val="hybridMultilevel"/>
    <w:lvl w:ilvl="0">
      <w:lvlJc w:val="left"/>
      <w:lvlText w:val="%1"/>
      <w:numFmt w:val="decimal"/>
      <w:start w:val="101"/>
    </w:lvl>
  </w:abstractNum>
  <w:abstractNum w:abstractNumId="167">
    <w:nsid w:val="2BB180D8"/>
    <w:multiLevelType w:val="hybridMultilevel"/>
    <w:lvl w:ilvl="0">
      <w:lvlJc w:val="left"/>
      <w:lvlText w:val="1"/>
      <w:numFmt w:val="bullet"/>
      <w:start w:val="1"/>
    </w:lvl>
  </w:abstractNum>
  <w:abstractNum w:abstractNumId="168">
    <w:nsid w:val="556B69ED"/>
    <w:multiLevelType w:val="hybridMultilevel"/>
    <w:lvl w:ilvl="0">
      <w:lvlJc w:val="left"/>
      <w:lvlText w:val="%1"/>
      <w:numFmt w:val="decimal"/>
      <w:start w:val="102"/>
    </w:lvl>
  </w:abstractNum>
  <w:abstractNum w:abstractNumId="169">
    <w:nsid w:val="70836196"/>
    <w:multiLevelType w:val="hybridMultilevel"/>
    <w:lvl w:ilvl="0">
      <w:lvlJc w:val="left"/>
      <w:lvlText w:val="%1"/>
      <w:numFmt w:val="decimal"/>
      <w:start w:val="104"/>
    </w:lvl>
  </w:abstractNum>
  <w:abstractNum w:abstractNumId="170">
    <w:nsid w:val="539F7F12"/>
    <w:multiLevelType w:val="hybridMultilevel"/>
    <w:lvl w:ilvl="0">
      <w:lvlJc w:val="left"/>
      <w:lvlText w:val="%1"/>
      <w:numFmt w:val="decimal"/>
      <w:start w:val="105"/>
    </w:lvl>
  </w:abstractNum>
  <w:abstractNum w:abstractNumId="171">
    <w:nsid w:val="2817E7EC"/>
    <w:multiLevelType w:val="hybridMultilevel"/>
    <w:lvl w:ilvl="0">
      <w:lvlJc w:val="left"/>
      <w:lvlText w:val="%1"/>
      <w:numFmt w:val="decimal"/>
      <w:start w:val="108"/>
    </w:lvl>
  </w:abstractNum>
  <w:abstractNum w:abstractNumId="172">
    <w:nsid w:val="71482545"/>
    <w:multiLevelType w:val="hybridMultilevel"/>
    <w:lvl w:ilvl="0">
      <w:lvlJc w:val="left"/>
      <w:lvlText w:val="%1"/>
      <w:numFmt w:val="decimal"/>
      <w:start w:val="110"/>
    </w:lvl>
  </w:abstractNum>
  <w:abstractNum w:abstractNumId="173">
    <w:nsid w:val="17D78639"/>
    <w:multiLevelType w:val="hybridMultilevel"/>
    <w:lvl w:ilvl="0">
      <w:lvlJc w:val="left"/>
      <w:lvlText w:val="1"/>
      <w:numFmt w:val="bullet"/>
      <w:start w:val="1"/>
    </w:lvl>
  </w:abstractNum>
  <w:abstractNum w:abstractNumId="174">
    <w:nsid w:val="141D2302"/>
    <w:multiLevelType w:val="hybridMultilevel"/>
    <w:lvl w:ilvl="0">
      <w:lvlJc w:val="left"/>
      <w:lvlText w:val="1"/>
      <w:numFmt w:val="bullet"/>
      <w:start w:val="1"/>
    </w:lvl>
  </w:abstractNum>
  <w:abstractNum w:abstractNumId="175">
    <w:nsid w:val="407168D8"/>
    <w:multiLevelType w:val="hybridMultilevel"/>
    <w:lvl w:ilvl="0">
      <w:lvlJc w:val="left"/>
      <w:lvlText w:val="%1"/>
      <w:numFmt w:val="decimal"/>
      <w:start w:val="111"/>
    </w:lvl>
  </w:abstractNum>
  <w:abstractNum w:abstractNumId="176">
    <w:nsid w:val="6A1B45E5"/>
    <w:multiLevelType w:val="hybridMultilevel"/>
    <w:lvl w:ilvl="0">
      <w:lvlJc w:val="left"/>
      <w:lvlText w:val="1"/>
      <w:numFmt w:val="bullet"/>
      <w:start w:val="1"/>
    </w:lvl>
  </w:abstractNum>
  <w:abstractNum w:abstractNumId="177">
    <w:nsid w:val="567BD50A"/>
    <w:multiLevelType w:val="hybridMultilevel"/>
    <w:lvl w:ilvl="0">
      <w:lvlJc w:val="left"/>
      <w:lvlText w:val="1"/>
      <w:numFmt w:val="bullet"/>
      <w:start w:val="1"/>
    </w:lvl>
  </w:abstractNum>
  <w:abstractNum w:abstractNumId="178">
    <w:nsid w:val="73BBD7F8"/>
    <w:multiLevelType w:val="hybridMultilevel"/>
    <w:lvl w:ilvl="0">
      <w:lvlJc w:val="left"/>
      <w:lvlText w:val="2"/>
      <w:numFmt w:val="bullet"/>
      <w:start w:val="1"/>
    </w:lvl>
  </w:abstractNum>
  <w:abstractNum w:abstractNumId="179">
    <w:nsid w:val="1876589D"/>
    <w:multiLevelType w:val="hybridMultilevel"/>
    <w:lvl w:ilvl="0">
      <w:lvlJc w:val="left"/>
      <w:lvlText w:val="3"/>
      <w:numFmt w:val="bullet"/>
      <w:start w:val="1"/>
    </w:lvl>
  </w:abstractNum>
  <w:abstractNum w:abstractNumId="180">
    <w:nsid w:val="327FAC77"/>
    <w:multiLevelType w:val="hybridMultilevel"/>
    <w:lvl w:ilvl="0">
      <w:lvlJc w:val="left"/>
      <w:lvlText w:val="4"/>
      <w:numFmt w:val="bullet"/>
      <w:start w:val="1"/>
    </w:lvl>
  </w:abstractNum>
  <w:abstractNum w:abstractNumId="181">
    <w:nsid w:val="5A606509"/>
    <w:multiLevelType w:val="hybridMultilevel"/>
    <w:lvl w:ilvl="0">
      <w:lvlJc w:val="left"/>
      <w:lvlText w:val="5"/>
      <w:numFmt w:val="bullet"/>
      <w:start w:val="1"/>
    </w:lvl>
  </w:abstractNum>
  <w:abstractNum w:abstractNumId="182">
    <w:nsid w:val="6F38E6D1"/>
    <w:multiLevelType w:val="hybridMultilevel"/>
    <w:lvl w:ilvl="0">
      <w:lvlJc w:val="left"/>
      <w:lvlText w:val="6"/>
      <w:numFmt w:val="bullet"/>
      <w:start w:val="1"/>
    </w:lvl>
  </w:abstractNum>
  <w:abstractNum w:abstractNumId="183">
    <w:nsid w:val="46111BA5"/>
    <w:multiLevelType w:val="hybridMultilevel"/>
    <w:lvl w:ilvl="0">
      <w:lvlJc w:val="left"/>
      <w:lvlText w:val="%1"/>
      <w:numFmt w:val="decimal"/>
      <w:start w:val="112"/>
    </w:lvl>
  </w:abstractNum>
  <w:abstractNum w:abstractNumId="184">
    <w:nsid w:val="5E963896"/>
    <w:multiLevelType w:val="hybridMultilevel"/>
    <w:lvl w:ilvl="0">
      <w:lvlJc w:val="left"/>
      <w:lvlText w:val="1"/>
      <w:numFmt w:val="bullet"/>
      <w:start w:val="1"/>
    </w:lvl>
  </w:abstractNum>
  <w:abstractNum w:abstractNumId="185">
    <w:nsid w:val="775BA7C1"/>
    <w:multiLevelType w:val="hybridMultilevel"/>
    <w:lvl w:ilvl="0">
      <w:lvlJc w:val="left"/>
      <w:lvlText w:val="2"/>
      <w:numFmt w:val="bullet"/>
      <w:start w:val="1"/>
    </w:lvl>
  </w:abstractNum>
  <w:abstractNum w:abstractNumId="186">
    <w:nsid w:val="1DD6D6F4"/>
    <w:multiLevelType w:val="hybridMultilevel"/>
    <w:lvl w:ilvl="0">
      <w:lvlJc w:val="left"/>
      <w:lvlText w:val="3"/>
      <w:numFmt w:val="bullet"/>
      <w:start w:val="1"/>
    </w:lvl>
  </w:abstractNum>
  <w:abstractNum w:abstractNumId="187">
    <w:nsid w:val="769A091F"/>
    <w:multiLevelType w:val="hybridMultilevel"/>
    <w:lvl w:ilvl="0">
      <w:lvlJc w:val="left"/>
      <w:lvlText w:val="%1"/>
      <w:numFmt w:val="decimal"/>
      <w:start w:val="114"/>
    </w:lvl>
  </w:abstractNum>
  <w:abstractNum w:abstractNumId="188">
    <w:nsid w:val="4695AE95"/>
    <w:multiLevelType w:val="hybridMultilevel"/>
    <w:lvl w:ilvl="0">
      <w:lvlJc w:val="left"/>
      <w:lvlText w:val="•"/>
      <w:numFmt w:val="bullet"/>
      <w:start w:val="1"/>
    </w:lvl>
  </w:abstractNum>
  <w:abstractNum w:abstractNumId="189">
    <w:nsid w:val="777A4EAA"/>
    <w:multiLevelType w:val="hybridMultilevel"/>
    <w:lvl w:ilvl="0">
      <w:lvlJc w:val="left"/>
      <w:lvlText w:val="%1"/>
      <w:numFmt w:val="decimal"/>
      <w:start w:val="115"/>
    </w:lvl>
  </w:abstractNum>
  <w:abstractNum w:abstractNumId="190">
    <w:nsid w:val="3F48B982"/>
    <w:multiLevelType w:val="hybridMultilevel"/>
    <w:lvl w:ilvl="0">
      <w:lvlJc w:val="left"/>
      <w:lvlText w:val="%1"/>
      <w:numFmt w:val="decimal"/>
      <w:start w:val="116"/>
    </w:lvl>
  </w:abstractNum>
  <w:abstractNum w:abstractNumId="191">
    <w:nsid w:val="46BA8FCA"/>
    <w:multiLevelType w:val="hybridMultilevel"/>
    <w:lvl w:ilvl="0">
      <w:lvlJc w:val="left"/>
      <w:lvlText w:val="%1"/>
      <w:numFmt w:val="decimal"/>
      <w:start w:val="117"/>
    </w:lvl>
  </w:abstractNum>
  <w:abstractNum w:abstractNumId="192">
    <w:nsid w:val="7835626C"/>
    <w:multiLevelType w:val="hybridMultilevel"/>
    <w:lvl w:ilvl="0">
      <w:lvlJc w:val="left"/>
      <w:lvlText w:val="2"/>
      <w:numFmt w:val="bullet"/>
      <w:start w:val="1"/>
    </w:lvl>
  </w:abstractNum>
  <w:abstractNum w:abstractNumId="193">
    <w:nsid w:val="665ACA49"/>
    <w:multiLevelType w:val="hybridMultilevel"/>
    <w:lvl w:ilvl="0">
      <w:lvlJc w:val="left"/>
      <w:lvlText w:val="•"/>
      <w:numFmt w:val="bullet"/>
      <w:start w:val="1"/>
    </w:lvl>
  </w:abstractNum>
  <w:abstractNum w:abstractNumId="194">
    <w:nsid w:val="6835B2AE"/>
    <w:multiLevelType w:val="hybridMultilevel"/>
    <w:lvl w:ilvl="0">
      <w:lvlJc w:val="left"/>
      <w:lvlText w:val="5"/>
      <w:numFmt w:val="bullet"/>
      <w:start w:val="1"/>
    </w:lvl>
  </w:abstractNum>
  <w:abstractNum w:abstractNumId="195">
    <w:nsid w:val="4C187C90"/>
    <w:multiLevelType w:val="hybridMultilevel"/>
    <w:lvl w:ilvl="0">
      <w:lvlJc w:val="left"/>
      <w:lvlText w:val="6"/>
      <w:numFmt w:val="bullet"/>
      <w:start w:val="1"/>
    </w:lvl>
  </w:abstractNum>
  <w:abstractNum w:abstractNumId="196">
    <w:nsid w:val="541F28CD"/>
    <w:multiLevelType w:val="hybridMultilevel"/>
    <w:lvl w:ilvl="0">
      <w:lvlJc w:val="left"/>
      <w:lvlText w:val="%1"/>
      <w:numFmt w:val="decimal"/>
      <w:start w:val="118"/>
    </w:lvl>
  </w:abstractNum>
  <w:abstractNum w:abstractNumId="197">
    <w:nsid w:val="7F65FD16"/>
    <w:multiLevelType w:val="hybridMultilevel"/>
    <w:lvl w:ilvl="0">
      <w:lvlJc w:val="left"/>
      <w:lvlText w:val="%1"/>
      <w:numFmt w:val="decimal"/>
      <w:start w:val="119"/>
    </w:lvl>
  </w:abstractNum>
  <w:abstractNum w:abstractNumId="198">
    <w:nsid w:val="77C9FD68"/>
    <w:multiLevelType w:val="hybridMultilevel"/>
    <w:lvl w:ilvl="0">
      <w:lvlJc w:val="left"/>
      <w:lvlText w:val="%1"/>
      <w:numFmt w:val="decimal"/>
      <w:start w:val="120"/>
    </w:lvl>
  </w:abstractNum>
  <w:abstractNum w:abstractNumId="199">
    <w:nsid w:val="298A92BA"/>
    <w:multiLevelType w:val="hybridMultilevel"/>
    <w:lvl w:ilvl="0">
      <w:lvlJc w:val="left"/>
      <w:lvlText w:val="%1"/>
      <w:numFmt w:val="decimal"/>
      <w:start w:val="121"/>
    </w:lvl>
  </w:abstractNum>
  <w:abstractNum w:abstractNumId="200">
    <w:nsid w:val="6FE95EAC"/>
    <w:multiLevelType w:val="hybridMultilevel"/>
    <w:lvl w:ilvl="0">
      <w:lvlJc w:val="left"/>
      <w:lvlText w:val="%1"/>
      <w:numFmt w:val="decimal"/>
      <w:start w:val="122"/>
    </w:lvl>
  </w:abstractNum>
  <w:abstractNum w:abstractNumId="201">
    <w:nsid w:val="4B697C7A"/>
    <w:multiLevelType w:val="hybridMultilevel"/>
    <w:lvl w:ilvl="0">
      <w:lvlJc w:val="left"/>
      <w:lvlText w:val="%1"/>
      <w:numFmt w:val="decimal"/>
      <w:start w:val="97"/>
    </w:lvl>
  </w:abstractNum>
  <w:abstractNum w:abstractNumId="202">
    <w:nsid w:val="51A27AA6"/>
    <w:multiLevelType w:val="hybridMultilevel"/>
    <w:lvl w:ilvl="0">
      <w:lvlJc w:val="left"/>
      <w:lvlText w:val="(%1)"/>
      <w:numFmt w:val="lowerRoman"/>
      <w:start w:val="1"/>
    </w:lvl>
  </w:abstractNum>
  <w:abstractNum w:abstractNumId="203">
    <w:nsid w:val="613183F2"/>
    <w:multiLevelType w:val="hybridMultilevel"/>
    <w:lvl w:ilvl="0">
      <w:lvlJc w:val="left"/>
      <w:lvlText w:val="%1"/>
      <w:numFmt w:val="decimal"/>
      <w:start w:val="104"/>
    </w:lvl>
  </w:abstractNum>
  <w:abstractNum w:abstractNumId="204">
    <w:nsid w:val="634102B4"/>
    <w:multiLevelType w:val="hybridMultilevel"/>
    <w:lvl w:ilvl="0">
      <w:lvlJc w:val="left"/>
      <w:lvlText w:val="%1"/>
      <w:numFmt w:val="decimal"/>
      <w:start w:val="123"/>
    </w:lvl>
  </w:abstractNum>
  <w:abstractNum w:abstractNumId="205">
    <w:nsid w:val="65BF9DA8"/>
    <w:multiLevelType w:val="hybridMultilevel"/>
    <w:lvl w:ilvl="0">
      <w:lvlJc w:val="left"/>
      <w:lvlText w:val="%1"/>
      <w:numFmt w:val="decimal"/>
      <w:start w:val="124"/>
    </w:lvl>
  </w:abstractNum>
  <w:abstractNum w:abstractNumId="206">
    <w:nsid w:val="21A2ECCA"/>
    <w:multiLevelType w:val="hybridMultilevel"/>
    <w:lvl w:ilvl="0">
      <w:lvlJc w:val="left"/>
      <w:lvlText w:val="%1"/>
      <w:numFmt w:val="decimal"/>
      <w:start w:val="125"/>
    </w:lvl>
  </w:abstractNum>
  <w:abstractNum w:abstractNumId="207">
    <w:nsid w:val="4D5C4899"/>
    <w:multiLevelType w:val="hybridMultilevel"/>
    <w:lvl w:ilvl="0">
      <w:lvlJc w:val="left"/>
      <w:lvlText w:val="%1"/>
      <w:numFmt w:val="decimal"/>
      <w:start w:val="126"/>
    </w:lvl>
  </w:abstractNum>
  <w:abstractNum w:abstractNumId="208">
    <w:nsid w:val="3C3B72B2"/>
    <w:multiLevelType w:val="hybridMultilevel"/>
    <w:lvl w:ilvl="0">
      <w:lvlJc w:val="left"/>
      <w:lvlText w:val="•"/>
      <w:numFmt w:val="bullet"/>
      <w:start w:val="1"/>
    </w:lvl>
  </w:abstractNum>
  <w:abstractNum w:abstractNumId="209">
    <w:nsid w:val="155EC4C2"/>
    <w:multiLevelType w:val="hybridMultilevel"/>
    <w:lvl w:ilvl="0">
      <w:lvlJc w:val="left"/>
      <w:lvlText w:val="•"/>
      <w:numFmt w:val="bullet"/>
      <w:start w:val="1"/>
    </w:lvl>
  </w:abstractNum>
  <w:abstractNum w:abstractNumId="210">
    <w:nsid w:val="65D2A137"/>
    <w:multiLevelType w:val="hybridMultilevel"/>
    <w:lvl w:ilvl="0">
      <w:lvlJc w:val="left"/>
      <w:lvlText w:val="•"/>
      <w:numFmt w:val="bullet"/>
      <w:start w:val="1"/>
    </w:lvl>
  </w:abstractNum>
  <w:abstractNum w:abstractNumId="211">
    <w:nsid w:val="6EBB1F2A"/>
    <w:multiLevelType w:val="hybridMultilevel"/>
    <w:lvl w:ilvl="0">
      <w:lvlJc w:val="left"/>
      <w:lvlText w:val="•"/>
      <w:numFmt w:val="bullet"/>
      <w:start w:val="1"/>
    </w:lvl>
  </w:abstractNum>
  <w:abstractNum w:abstractNumId="212">
    <w:nsid w:val="6FBF29CB"/>
    <w:multiLevelType w:val="hybridMultilevel"/>
    <w:lvl w:ilvl="0">
      <w:lvlJc w:val="left"/>
      <w:lvlText w:val="•"/>
      <w:numFmt w:val="bullet"/>
      <w:start w:val="1"/>
    </w:lvl>
  </w:abstractNum>
  <w:abstractNum w:abstractNumId="213">
    <w:nsid w:val="550B8808"/>
    <w:multiLevelType w:val="hybridMultilevel"/>
    <w:lvl w:ilvl="0">
      <w:lvlJc w:val="left"/>
      <w:lvlText w:val="•"/>
      <w:numFmt w:val="bullet"/>
      <w:start w:val="1"/>
    </w:lvl>
  </w:abstractNum>
  <w:abstractNum w:abstractNumId="214">
    <w:nsid w:val="34CC3ACF"/>
    <w:multiLevelType w:val="hybridMultilevel"/>
    <w:lvl w:ilvl="0">
      <w:lvlJc w:val="left"/>
      <w:lvlText w:val="•"/>
      <w:numFmt w:val="bullet"/>
      <w:start w:val="1"/>
    </w:lvl>
  </w:abstractNum>
  <w:abstractNum w:abstractNumId="215">
    <w:nsid w:val="4E556261"/>
    <w:multiLevelType w:val="hybridMultilevel"/>
    <w:lvl w:ilvl="0">
      <w:lvlJc w:val="left"/>
      <w:lvlText w:val="(%1)"/>
      <w:numFmt w:val="decimal"/>
      <w:start w:val="1"/>
    </w:lvl>
  </w:abstractNum>
  <w:abstractNum w:abstractNumId="216">
    <w:nsid w:val="4C672FC9"/>
    <w:multiLevelType w:val="hybridMultilevel"/>
    <w:lvl w:ilvl="0">
      <w:lvlJc w:val="left"/>
      <w:lvlText w:val="•"/>
      <w:numFmt w:val="bullet"/>
      <w:start w:val="1"/>
    </w:lvl>
  </w:abstractNum>
  <w:abstractNum w:abstractNumId="217">
    <w:nsid w:val="52A311C3"/>
    <w:multiLevelType w:val="hybridMultilevel"/>
    <w:lvl w:ilvl="0">
      <w:lvlJc w:val="left"/>
      <w:lvlText w:val="•"/>
      <w:numFmt w:val="bullet"/>
      <w:start w:val="1"/>
    </w:lvl>
  </w:abstractNum>
  <w:abstractNum w:abstractNumId="218">
    <w:nsid w:val="44EF6B80"/>
    <w:multiLevelType w:val="hybridMultilevel"/>
    <w:lvl w:ilvl="0">
      <w:lvlJc w:val="left"/>
      <w:lvlText w:val="•"/>
      <w:numFmt w:val="bullet"/>
      <w:start w:val="1"/>
    </w:lvl>
  </w:abstractNum>
  <w:abstractNum w:abstractNumId="219">
    <w:nsid w:val="12FCDE5E"/>
    <w:multiLevelType w:val="hybridMultilevel"/>
    <w:lvl w:ilvl="0">
      <w:lvlJc w:val="left"/>
      <w:lvlText w:val="•"/>
      <w:numFmt w:val="bullet"/>
      <w:start w:val="1"/>
    </w:lvl>
  </w:abstractNum>
  <w:abstractNum w:abstractNumId="220">
    <w:nsid w:val="4A1D606E"/>
    <w:multiLevelType w:val="hybridMultilevel"/>
    <w:lvl w:ilvl="0">
      <w:lvlJc w:val="left"/>
      <w:lvlText w:val="•"/>
      <w:numFmt w:val="bullet"/>
      <w:start w:val="1"/>
    </w:lvl>
  </w:abstractNum>
  <w:abstractNum w:abstractNumId="221">
    <w:nsid w:val="4382503"/>
    <w:multiLevelType w:val="hybridMultilevel"/>
    <w:lvl w:ilvl="0">
      <w:lvlJc w:val="left"/>
      <w:lvlText w:val="(%1)"/>
      <w:numFmt w:val="decimal"/>
      <w:start w:val="1"/>
    </w:lvl>
    <w:lvl w:ilvl="1">
      <w:lvlJc w:val="left"/>
      <w:lvlText w:val="%2."/>
      <w:numFmt w:val="lowerLetter"/>
      <w:start w:val="1"/>
    </w:lvl>
  </w:abstractNum>
  <w:abstractNum w:abstractNumId="222">
    <w:nsid w:val="59B76E28"/>
    <w:multiLevelType w:val="hybridMultilevel"/>
    <w:lvl w:ilvl="0">
      <w:lvlJc w:val="left"/>
      <w:lvlText w:val="%1"/>
      <w:numFmt w:val="decimal"/>
      <w:start w:val="1"/>
    </w:lvl>
    <w:lvl w:ilvl="1">
      <w:lvlJc w:val="left"/>
      <w:lvlText w:val="%2."/>
      <w:numFmt w:val="lowerLetter"/>
      <w:start w:val="5"/>
    </w:lvl>
  </w:abstractNum>
  <w:abstractNum w:abstractNumId="223">
    <w:nsid w:val="4252C2DA"/>
    <w:multiLevelType w:val="hybridMultilevel"/>
    <w:lvl w:ilvl="0">
      <w:lvlJc w:val="left"/>
      <w:lvlText w:val="(%1)"/>
      <w:numFmt w:val="decimal"/>
      <w:start w:val="2"/>
    </w:lvl>
    <w:lvl w:ilvl="1">
      <w:lvlJc w:val="left"/>
      <w:lvlText w:val="%2"/>
      <w:numFmt w:val="lowerLetter"/>
      <w:start w:val="1"/>
    </w:lvl>
  </w:abstractNum>
  <w:abstractNum w:abstractNumId="224">
    <w:nsid w:val="6A92EF4C"/>
    <w:multiLevelType w:val="hybridMultilevel"/>
    <w:lvl w:ilvl="0">
      <w:lvlJc w:val="left"/>
      <w:lvlText w:val="•"/>
      <w:numFmt w:val="bullet"/>
      <w:start w:val="1"/>
    </w:lvl>
  </w:abstractNum>
  <w:abstractNum w:abstractNumId="225">
    <w:nsid w:val="41ED20D7"/>
    <w:multiLevelType w:val="hybridMultilevel"/>
    <w:lvl w:ilvl="0">
      <w:lvlJc w:val="left"/>
      <w:lvlText w:val="%1."/>
      <w:numFmt w:val="decimal"/>
      <w:start w:val="1"/>
    </w:lvl>
  </w:abstractNum>
  <w:abstractNum w:abstractNumId="226">
    <w:nsid w:val="E6B3F6A"/>
    <w:multiLevelType w:val="hybridMultilevel"/>
    <w:lvl w:ilvl="0">
      <w:lvlJc w:val="left"/>
      <w:lvlText w:val="%1."/>
      <w:numFmt w:val="decimal"/>
      <w:start w:val="2"/>
    </w:lvl>
  </w:abstractNum>
  <w:abstractNum w:abstractNumId="227">
    <w:nsid w:val="3EB21819"/>
    <w:multiLevelType w:val="hybridMultilevel"/>
    <w:lvl w:ilvl="0">
      <w:lvlJc w:val="left"/>
      <w:lvlText w:val="%1."/>
      <w:numFmt w:val="decimal"/>
      <w:start w:val="3"/>
    </w:lvl>
    <w:lvl w:ilvl="1">
      <w:lvlJc w:val="left"/>
      <w:lvlText w:val="%2"/>
      <w:numFmt w:val="lowerLetter"/>
      <w:start w:val="1"/>
    </w:lvl>
    <w:lvl w:ilvl="2">
      <w:lvlJc w:val="left"/>
      <w:lvlText w:val="(%3)"/>
      <w:numFmt w:val="upperLetter"/>
      <w:start w:val="1"/>
    </w:lvl>
  </w:abstractNum>
  <w:abstractNum w:abstractNumId="228">
    <w:nsid w:val="41531DED"/>
    <w:multiLevelType w:val="hybridMultilevel"/>
    <w:lvl w:ilvl="0">
      <w:lvlJc w:val="left"/>
      <w:lvlText w:val="%1"/>
      <w:numFmt w:val="decimal"/>
      <w:start w:val="1"/>
    </w:lvl>
    <w:lvl w:ilvl="1">
      <w:lvlJc w:val="left"/>
      <w:lvlText w:val="%2"/>
      <w:numFmt w:val="lowerLetter"/>
      <w:start w:val="1"/>
    </w:lvl>
    <w:lvl w:ilvl="2">
      <w:lvlJc w:val="left"/>
      <w:lvlText w:val="(%3)"/>
      <w:numFmt w:val="upperLetter"/>
      <w:start w:val="2"/>
    </w:lvl>
    <w:lvl w:ilvl="3">
      <w:lvlJc w:val="left"/>
      <w:lvlText w:val="%4"/>
      <w:numFmt w:val="lowerRoman"/>
      <w:start w:val="1"/>
    </w:lvl>
  </w:abstractNum>
  <w:abstractNum w:abstractNumId="229">
    <w:nsid w:val="6353CD2"/>
    <w:multiLevelType w:val="hybridMultilevel"/>
    <w:lvl w:ilvl="0">
      <w:lvlJc w:val="left"/>
      <w:lvlText w:val="%1"/>
      <w:numFmt w:val="decimal"/>
      <w:start w:val="1"/>
    </w:lvl>
    <w:lvl w:ilvl="1">
      <w:lvlJc w:val="left"/>
      <w:lvlText w:val="%2."/>
      <w:numFmt w:val="lowerLetter"/>
      <w:start w:val="2"/>
    </w:lvl>
    <w:lvl w:ilvl="2">
      <w:lvlJc w:val="left"/>
      <w:lvlText w:val="%3"/>
      <w:numFmt w:val="upperLetter"/>
      <w:start w:val="1"/>
    </w:lvl>
    <w:lvl w:ilvl="3">
      <w:lvlJc w:val="left"/>
      <w:lvlText w:val="(%4)"/>
      <w:numFmt w:val="lowerRoman"/>
      <w:start w:val="1"/>
    </w:lvl>
  </w:abstractNum>
  <w:abstractNum w:abstractNumId="230">
    <w:nsid w:val="683CAAD3"/>
    <w:multiLevelType w:val="hybridMultilevel"/>
    <w:lvl w:ilvl="0">
      <w:lvlJc w:val="left"/>
      <w:lvlText w:val="%1."/>
      <w:numFmt w:val="decimal"/>
      <w:start w:val="8"/>
    </w:lvl>
    <w:lvl w:ilvl="1">
      <w:lvlJc w:val="left"/>
      <w:lvlText w:val="%2."/>
      <w:numFmt w:val="lowerLetter"/>
      <w:start w:val="1"/>
    </w:lvl>
    <w:lvl w:ilvl="2">
      <w:lvlJc w:val="left"/>
      <w:lvlText w:val="%3"/>
      <w:numFmt w:val="upperLetter"/>
      <w:start w:val="1"/>
    </w:lvl>
    <w:lvl w:ilvl="3">
      <w:lvlJc w:val="left"/>
      <w:lvlText w:val="%4"/>
      <w:numFmt w:val="lowerRoman"/>
      <w:start w:val="1"/>
    </w:lvl>
  </w:abstractNum>
  <w:abstractNum w:abstractNumId="231">
    <w:nsid w:val="313C7C99"/>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232">
    <w:nsid w:val="519EB94C"/>
    <w:multiLevelType w:val="hybridMultilevel"/>
    <w:lvl w:ilvl="0">
      <w:lvlJc w:val="left"/>
      <w:lvlText w:val="%1."/>
      <w:numFmt w:val="decimal"/>
      <w:start w:val="9"/>
    </w:lvl>
    <w:lvl w:ilvl="1">
      <w:lvlJc w:val="left"/>
      <w:lvlText w:val="%2"/>
      <w:numFmt w:val="lowerLetter"/>
      <w:start w:val="1"/>
    </w:lvl>
    <w:lvl w:ilvl="2">
      <w:lvlJc w:val="left"/>
      <w:lvlText w:val="%3"/>
      <w:numFmt w:val="lowerLetter"/>
      <w:start w:val="1"/>
    </w:lvl>
  </w:abstractNum>
  <w:abstractNum w:abstractNumId="233">
    <w:nsid w:val="39DF2579"/>
    <w:multiLevelType w:val="hybridMultilevel"/>
    <w:lvl w:ilvl="0">
      <w:lvlJc w:val="left"/>
      <w:lvlText w:val="%1."/>
      <w:numFmt w:val="lowerLetter"/>
      <w:start w:val="2"/>
    </w:lvl>
    <w:lvl w:ilvl="1">
      <w:lvlJc w:val="left"/>
      <w:lvlText w:val="%2."/>
      <w:numFmt w:val="decimal"/>
      <w:start w:val="1"/>
    </w:lvl>
  </w:abstractNum>
  <w:abstractNum w:abstractNumId="234">
    <w:nsid w:val="126E008B"/>
    <w:multiLevelType w:val="hybridMultilevel"/>
    <w:lvl w:ilvl="0">
      <w:lvlJc w:val="left"/>
      <w:lvlText w:val="%1."/>
      <w:numFmt w:val="decimal"/>
      <w:start w:val="2"/>
    </w:lvl>
  </w:abstractNum>
  <w:abstractNum w:abstractNumId="235">
    <w:nsid w:val="34DFBC00"/>
    <w:multiLevelType w:val="hybridMultilevel"/>
    <w:lvl w:ilvl="0">
      <w:lvlJc w:val="left"/>
      <w:lvlText w:val="%1"/>
      <w:numFmt w:val="decimal"/>
      <w:start w:val="1"/>
    </w:lvl>
    <w:lvl w:ilvl="1">
      <w:lvlJc w:val="left"/>
      <w:lvlText w:val="%2."/>
      <w:numFmt w:val="decimal"/>
      <w:start w:val="3"/>
    </w:lvl>
  </w:abstractNum>
  <w:abstractNum w:abstractNumId="236">
    <w:nsid w:val="1F9EC322"/>
    <w:multiLevelType w:val="hybridMultilevel"/>
    <w:lvl w:ilvl="0">
      <w:lvlJc w:val="left"/>
      <w:lvlText w:val="%1."/>
      <w:numFmt w:val="decimal"/>
      <w:start w:val="12"/>
    </w:lvl>
    <w:lvl w:ilvl="1">
      <w:lvlJc w:val="left"/>
      <w:lvlText w:val="%2"/>
      <w:numFmt w:val="decimal"/>
      <w:start w:val="1"/>
    </w:lvl>
  </w:abstractNum>
  <w:abstractNum w:abstractNumId="237">
    <w:nsid w:val="3410ED56"/>
    <w:multiLevelType w:val="hybridMultilevel"/>
    <w:lvl w:ilvl="0">
      <w:lvlJc w:val="left"/>
      <w:lvlText w:val="%1."/>
      <w:numFmt w:val="decimal"/>
      <w:start w:val="15"/>
    </w:lvl>
    <w:lvl w:ilvl="1">
      <w:lvlJc w:val="left"/>
      <w:lvlText w:val="%2"/>
      <w:numFmt w:val="lowerLetter"/>
      <w:start w:val="1"/>
    </w:lvl>
    <w:lvl w:ilvl="2">
      <w:lvlJc w:val="left"/>
      <w:lvlText w:val="%3"/>
      <w:numFmt w:val="lowerLetter"/>
      <w:start w:val="1"/>
    </w:lvl>
    <w:lvl w:ilvl="3">
      <w:lvlJc w:val="left"/>
      <w:lvlText w:val="%4"/>
      <w:numFmt w:val="lowerLetter"/>
      <w:start w:val="1"/>
    </w:lvl>
    <w:lvl w:ilvl="4">
      <w:lvlJc w:val="left"/>
      <w:lvlText w:val="%5"/>
      <w:numFmt w:val="lowerLetter"/>
      <w:start w:val="1"/>
    </w:lvl>
    <w:lvl w:ilvl="5">
      <w:lvlJc w:val="left"/>
      <w:lvlText w:val="%6"/>
      <w:numFmt w:val="lowerLetter"/>
      <w:start w:val="1"/>
    </w:lvl>
  </w:abstractNum>
  <w:abstractNum w:abstractNumId="238">
    <w:nsid w:val="23C049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Letter"/>
      <w:start w:val="6"/>
    </w:lvl>
  </w:abstractNum>
  <w:abstractNum w:abstractNumId="239">
    <w:nsid w:val="5BDA35D4"/>
    <w:multiLevelType w:val="hybridMultilevel"/>
    <w:lvl w:ilvl="0">
      <w:lvlJc w:val="left"/>
      <w:lvlText w:val="%1."/>
      <w:numFmt w:val="decimal"/>
      <w:start w:val="17"/>
    </w:lvl>
    <w:lvl w:ilvl="1">
      <w:lvlJc w:val="left"/>
      <w:lvlText w:val="%2."/>
      <w:numFmt w:val="lowerLetter"/>
      <w:start w:val="2"/>
    </w:lvl>
    <w:lvl w:ilvl="2">
      <w:lvlJc w:val="left"/>
      <w:lvlText w:val="%3."/>
      <w:numFmt w:val="lowerLetter"/>
      <w:start w:val="1"/>
    </w:lvl>
    <w:lvl w:ilvl="3">
      <w:lvlJc w:val="left"/>
      <w:lvlText w:val="%4."/>
      <w:numFmt w:val="lowerLetter"/>
      <w:start w:val="1"/>
    </w:lvl>
  </w:abstractNum>
  <w:abstractNum w:abstractNumId="240">
    <w:nsid w:val="496FB218"/>
    <w:multiLevelType w:val="hybridMultilevel"/>
    <w:lvl w:ilvl="0">
      <w:lvlJc w:val="left"/>
      <w:lvlText w:val="%1"/>
      <w:numFmt w:val="decimal"/>
      <w:start w:val="1"/>
    </w:lvl>
    <w:lvl w:ilvl="1">
      <w:lvlJc w:val="left"/>
      <w:lvlText w:val="%2."/>
      <w:numFmt w:val="lowerLetter"/>
      <w:start w:val="5"/>
    </w:lvl>
    <w:lvl w:ilvl="2">
      <w:lvlJc w:val="left"/>
      <w:lvlText w:val="%3."/>
      <w:numFmt w:val="lowerLetter"/>
      <w:start w:val="7"/>
    </w:lvl>
  </w:abstractNum>
  <w:abstractNum w:abstractNumId="241">
    <w:nsid w:val="680EA5D1"/>
    <w:multiLevelType w:val="hybridMultilevel"/>
    <w:lvl w:ilvl="0">
      <w:lvlJc w:val="left"/>
      <w:lvlText w:val="%1."/>
      <w:numFmt w:val="decimal"/>
      <w:start w:val="18"/>
    </w:lvl>
    <w:lvl w:ilvl="1">
      <w:lvlJc w:val="left"/>
      <w:lvlText w:val="%2"/>
      <w:numFmt w:val="lowerLetter"/>
      <w:start w:val="1"/>
    </w:lvl>
    <w:lvl w:ilvl="2">
      <w:lvlJc w:val="left"/>
      <w:lvlText w:val="%3"/>
      <w:numFmt w:val="lowerLetter"/>
      <w:start w:val="1"/>
    </w:lvl>
  </w:abstractNum>
  <w:abstractNum w:abstractNumId="242">
    <w:nsid w:val="4A9554FE"/>
    <w:multiLevelType w:val="hybridMultilevel"/>
    <w:lvl w:ilvl="0">
      <w:lvlJc w:val="left"/>
      <w:lvlText w:val="%1."/>
      <w:numFmt w:val="decimal"/>
      <w:start w:val="22"/>
    </w:lvl>
  </w:abstractNum>
  <w:abstractNum w:abstractNumId="243">
    <w:nsid w:val="392EDBE4"/>
    <w:multiLevelType w:val="hybridMultilevel"/>
    <w:lvl w:ilvl="0">
      <w:lvlJc w:val="left"/>
      <w:lvlText w:val="%1."/>
      <w:numFmt w:val="decimal"/>
      <w:start w:val="1"/>
    </w:lvl>
  </w:abstractNum>
  <w:abstractNum w:abstractNumId="244">
    <w:nsid w:val="3D1A2DD9"/>
    <w:multiLevelType w:val="hybridMultilevel"/>
    <w:lvl w:ilvl="0">
      <w:lvlJc w:val="left"/>
      <w:lvlText w:val="%1."/>
      <w:numFmt w:val="decimal"/>
      <w:start w:val="2"/>
    </w:lvl>
    <w:lvl w:ilvl="1">
      <w:lvlJc w:val="left"/>
      <w:lvlText w:val="%2."/>
      <w:numFmt w:val="lowerLetter"/>
      <w:start w:val="3"/>
    </w:lvl>
    <w:lvl w:ilvl="2">
      <w:lvlJc w:val="left"/>
      <w:lvlText w:val="%3"/>
      <w:numFmt w:val="lowerLetter"/>
      <w:start w:val="1"/>
    </w:lvl>
    <w:lvl w:ilvl="3">
      <w:lvlJc w:val="left"/>
      <w:lvlText w:val="%4"/>
      <w:numFmt w:val="lowerLetter"/>
      <w:start w:val="1"/>
    </w:lvl>
    <w:lvl w:ilvl="4">
      <w:lvlJc w:val="left"/>
      <w:lvlText w:val="%5"/>
      <w:numFmt w:val="lowerLetter"/>
      <w:start w:val="1"/>
    </w:lvl>
  </w:abstractNum>
  <w:abstractNum w:abstractNumId="245">
    <w:nsid w:val="7F618FCD"/>
    <w:multiLevelType w:val="hybridMultilevel"/>
    <w:lvl w:ilvl="0">
      <w:lvlJc w:val="left"/>
      <w:lvlText w:val="%1"/>
      <w:numFmt w:val="decimal"/>
      <w:start w:val="1"/>
    </w:lvl>
    <w:lvl w:ilvl="1">
      <w:lvlJc w:val="left"/>
      <w:lvlText w:val="%2."/>
      <w:numFmt w:val="lowerLetter"/>
      <w:start w:val="6"/>
    </w:lvl>
    <w:lvl w:ilvl="2">
      <w:lvlJc w:val="left"/>
      <w:lvlText w:val="%3."/>
      <w:numFmt w:val="lowerLetter"/>
      <w:start w:val="7"/>
    </w:lvl>
  </w:abstractNum>
  <w:abstractNum w:abstractNumId="246">
    <w:nsid w:val="7843E45"/>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247">
    <w:nsid w:val="9815DA3"/>
    <w:multiLevelType w:val="hybridMultilevel"/>
    <w:lvl w:ilvl="0">
      <w:lvlJc w:val="left"/>
      <w:lvlText w:val="%1."/>
      <w:numFmt w:val="decimal"/>
      <w:start w:val="4"/>
    </w:lvl>
  </w:abstractNum>
  <w:abstractNum w:abstractNumId="248">
    <w:nsid w:val="5204A191"/>
    <w:multiLevelType w:val="hybridMultilevel"/>
    <w:lvl w:ilvl="0">
      <w:lvlJc w:val="left"/>
      <w:lvlText w:val="%1."/>
      <w:numFmt w:val="decimal"/>
      <w:start w:val="5"/>
    </w:lvl>
  </w:abstractNum>
  <w:abstractNum w:abstractNumId="249">
    <w:nsid w:val="4C73A9C6"/>
    <w:multiLevelType w:val="hybridMultilevel"/>
    <w:lvl w:ilvl="0">
      <w:lvlJc w:val="left"/>
      <w:lvlText w:val="%1."/>
      <w:numFmt w:val="decimal"/>
      <w:start w:val="7"/>
    </w:lvl>
    <w:lvl w:ilvl="1">
      <w:lvlJc w:val="left"/>
      <w:lvlText w:val="%2"/>
      <w:numFmt w:val="lowerLetter"/>
      <w:start w:val="1"/>
    </w:lvl>
    <w:lvl w:ilvl="2">
      <w:lvlJc w:val="left"/>
      <w:lvlText w:val="(%3)"/>
      <w:numFmt w:val="upperLetter"/>
      <w:start w:val="1"/>
    </w:lvl>
    <w:lvl w:ilvl="3">
      <w:lvlJc w:val="left"/>
      <w:lvlText w:val="(%4)"/>
      <w:numFmt w:val="upperLetter"/>
      <w:start w:val="2"/>
    </w:lvl>
  </w:abstractNum>
  <w:abstractNum w:abstractNumId="250">
    <w:nsid w:val="1C7E3C01"/>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251">
    <w:nsid w:val="1C2201FF"/>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252">
    <w:nsid w:val="50ABCEC9"/>
    <w:multiLevelType w:val="hybridMultilevel"/>
    <w:lvl w:ilvl="0">
      <w:lvlJc w:val="left"/>
      <w:lvlText w:val="%1."/>
      <w:numFmt w:val="decimal"/>
      <w:start w:val="10"/>
    </w:lvl>
  </w:abstractNum>
  <w:abstractNum w:abstractNumId="253">
    <w:nsid w:val="7635AA2A"/>
    <w:multiLevelType w:val="hybridMultilevel"/>
    <w:lvl w:ilvl="0">
      <w:lvlJc w:val="left"/>
      <w:lvlText w:val="%1"/>
      <w:numFmt w:val="decimal"/>
      <w:start w:val="1"/>
    </w:lvl>
    <w:lvl w:ilvl="1">
      <w:lvlJc w:val="left"/>
      <w:lvlText w:val="%2."/>
      <w:numFmt w:val="lowerLetter"/>
      <w:start w:val="1"/>
    </w:lvl>
  </w:abstractNum>
  <w:abstractNum w:abstractNumId="254">
    <w:nsid w:val="5E74C4D9"/>
    <w:multiLevelType w:val="hybridMultilevel"/>
    <w:lvl w:ilvl="0">
      <w:lvlJc w:val="left"/>
      <w:lvlText w:val="%1)"/>
      <w:numFmt w:val="decimal"/>
      <w:start w:val="10"/>
    </w:lvl>
    <w:lvl w:ilvl="1">
      <w:lvlJc w:val="left"/>
      <w:lvlText w:val="%2"/>
      <w:numFmt w:val="lowerLetter"/>
      <w:start w:val="1"/>
    </w:lvl>
  </w:abstractNum>
  <w:abstractNum w:abstractNumId="255">
    <w:nsid w:val="3B3EBE15"/>
    <w:multiLevelType w:val="hybridMultilevel"/>
    <w:lvl w:ilvl="0">
      <w:lvlJc w:val="left"/>
      <w:lvlText w:val="%1."/>
      <w:numFmt w:val="decimal"/>
      <w:start w:val="11"/>
    </w:lvl>
    <w:lvl w:ilvl="1">
      <w:lvlJc w:val="left"/>
      <w:lvlText w:val="%2."/>
      <w:numFmt w:val="lowerLetter"/>
      <w:start w:val="1"/>
    </w:lvl>
  </w:abstractNum>
  <w:abstractNum w:abstractNumId="256">
    <w:nsid w:val="3822CB01"/>
    <w:multiLevelType w:val="hybridMultilevel"/>
    <w:lvl w:ilvl="0">
      <w:lvlJc w:val="left"/>
      <w:lvlText w:val="%1."/>
      <w:numFmt w:val="decimal"/>
      <w:start w:val="1"/>
    </w:lvl>
  </w:abstractNum>
  <w:abstractNum w:abstractNumId="257">
    <w:nsid w:val="6CE00443"/>
    <w:multiLevelType w:val="hybridMultilevel"/>
    <w:lvl w:ilvl="0">
      <w:lvlJc w:val="left"/>
      <w:lvlText w:val="%1."/>
      <w:numFmt w:val="decimal"/>
      <w:start w:val="2"/>
    </w:lvl>
  </w:abstractNum>
  <w:abstractNum w:abstractNumId="258">
    <w:nsid w:val="79F0D62F"/>
    <w:multiLevelType w:val="hybridMultilevel"/>
    <w:lvl w:ilvl="0">
      <w:lvlJc w:val="left"/>
      <w:lvlText w:val="%1"/>
      <w:numFmt w:val="decimal"/>
      <w:start w:val="1"/>
    </w:lvl>
    <w:lvl w:ilvl="1">
      <w:lvlJc w:val="left"/>
      <w:lvlText w:val="%2."/>
      <w:numFmt w:val="decimal"/>
      <w:start w:val="3"/>
    </w:lvl>
  </w:abstractNum>
  <w:abstractNum w:abstractNumId="259">
    <w:nsid w:val="7975E8EE"/>
    <w:multiLevelType w:val="hybridMultilevel"/>
    <w:lvl w:ilvl="0">
      <w:lvlJc w:val="left"/>
      <w:lvlText w:val="%1."/>
      <w:numFmt w:val="decimal"/>
      <w:start w:val="15"/>
    </w:lvl>
    <w:lvl w:ilvl="1">
      <w:lvlJc w:val="left"/>
      <w:lvlText w:val="%2"/>
      <w:numFmt w:val="decimal"/>
      <w:start w:val="1"/>
    </w:lvl>
  </w:abstractNum>
  <w:abstractNum w:abstractNumId="260">
    <w:nsid w:val="73154115"/>
    <w:multiLevelType w:val="hybridMultilevel"/>
    <w:lvl w:ilvl="0">
      <w:lvlJc w:val="left"/>
      <w:lvlText w:val="%1."/>
      <w:numFmt w:val="decimal"/>
      <w:start w:val="19"/>
    </w:lvl>
    <w:lvl w:ilvl="1">
      <w:lvlJc w:val="left"/>
      <w:lvlText w:val="%2."/>
      <w:numFmt w:val="lowerLetter"/>
      <w:start w:val="1"/>
    </w:lvl>
  </w:abstractNum>
  <w:abstractNum w:abstractNumId="261">
    <w:nsid w:val="622D8102"/>
    <w:multiLevelType w:val="hybridMultilevel"/>
    <w:lvl w:ilvl="0">
      <w:lvlJc w:val="left"/>
      <w:lvlText w:val="%1"/>
      <w:numFmt w:val="decimal"/>
      <w:start w:val="1"/>
    </w:lvl>
    <w:lvl w:ilvl="1">
      <w:lvlJc w:val="left"/>
      <w:lvlText w:val="%2."/>
      <w:numFmt w:val="lowerLetter"/>
      <w:start w:val="6"/>
    </w:lvl>
  </w:abstractNum>
  <w:abstractNum w:abstractNumId="262">
    <w:nsid w:val="2AB26587"/>
    <w:multiLevelType w:val="hybridMultilevel"/>
    <w:lvl w:ilvl="0">
      <w:lvlJc w:val="left"/>
      <w:lvlText w:val="%1."/>
      <w:numFmt w:val="decimal"/>
      <w:start w:val="20"/>
    </w:lvl>
    <w:lvl w:ilvl="1">
      <w:lvlJc w:val="left"/>
      <w:lvlText w:val="%2."/>
      <w:numFmt w:val="lowerLetter"/>
      <w:start w:val="1"/>
    </w:lvl>
  </w:abstractNum>
  <w:abstractNum w:abstractNumId="263">
    <w:nsid w:val="44B3FA61"/>
    <w:multiLevelType w:val="hybridMultilevel"/>
    <w:lvl w:ilvl="0">
      <w:lvlJc w:val="left"/>
      <w:lvlText w:val="%1"/>
      <w:numFmt w:val="decimal"/>
      <w:start w:val="1"/>
    </w:lvl>
    <w:lvl w:ilvl="1">
      <w:lvlJc w:val="left"/>
      <w:lvlText w:val="%2."/>
      <w:numFmt w:val="lowerLetter"/>
      <w:start w:val="6"/>
    </w:lvl>
  </w:abstractNum>
  <w:abstractNum w:abstractNumId="264">
    <w:nsid w:val="1C0CA67C"/>
    <w:multiLevelType w:val="hybridMultilevel"/>
    <w:lvl w:ilvl="0">
      <w:lvlJc w:val="left"/>
      <w:lvlText w:val="%1."/>
      <w:numFmt w:val="decimal"/>
      <w:start w:val="21"/>
    </w:lvl>
    <w:lvl w:ilvl="1">
      <w:lvlJc w:val="left"/>
      <w:lvlText w:val="%2"/>
      <w:numFmt w:val="lowerLetter"/>
      <w:start w:val="1"/>
    </w:lvl>
  </w:abstractNum>
  <w:abstractNum w:abstractNumId="265">
    <w:nsid w:val="3D206613"/>
    <w:multiLevelType w:val="hybridMultilevel"/>
    <w:lvl w:ilvl="0">
      <w:lvlJc w:val="left"/>
      <w:lvlText w:val="%1."/>
      <w:numFmt w:val="decimal"/>
      <w:start w:val="26"/>
    </w:lvl>
  </w:abstractNum>
  <w:abstractNum w:abstractNumId="266">
    <w:nsid w:val="7993B662"/>
    <w:multiLevelType w:val="hybridMultilevel"/>
    <w:lvl w:ilvl="0">
      <w:lvlJc w:val="left"/>
      <w:lvlText w:val="%1."/>
      <w:numFmt w:val="decimal"/>
      <w:start w:val="1"/>
    </w:lvl>
  </w:abstractNum>
  <w:abstractNum w:abstractNumId="267">
    <w:nsid w:val="3BAB699E"/>
    <w:multiLevelType w:val="hybridMultilevel"/>
    <w:lvl w:ilvl="0">
      <w:lvlJc w:val="left"/>
      <w:lvlText w:val="%1."/>
      <w:numFmt w:val="decimal"/>
      <w:start w:val="2"/>
    </w:lvl>
  </w:abstractNum>
  <w:abstractNum w:abstractNumId="268">
    <w:nsid w:val="71315369"/>
    <w:multiLevelType w:val="hybridMultilevel"/>
    <w:lvl w:ilvl="0">
      <w:lvlJc w:val="left"/>
      <w:lvlText w:val="%1."/>
      <w:numFmt w:val="decimal"/>
      <w:start w:val="7"/>
    </w:lvl>
  </w:abstractNum>
  <w:abstractNum w:abstractNumId="269">
    <w:nsid w:val="7BCFBAFC"/>
    <w:multiLevelType w:val="hybridMultilevel"/>
    <w:lvl w:ilvl="0">
      <w:lvlJc w:val="left"/>
      <w:lvlText w:val="%1"/>
      <w:numFmt w:val="decimal"/>
      <w:start w:val="1"/>
    </w:lvl>
    <w:lvl w:ilvl="1">
      <w:lvlJc w:val="left"/>
      <w:lvlText w:val="(%2)"/>
      <w:numFmt w:val="upperLetter"/>
      <w:start w:val="1"/>
    </w:lvl>
  </w:abstractNum>
  <w:abstractNum w:abstractNumId="270">
    <w:nsid w:val="17859F72"/>
    <w:multiLevelType w:val="hybridMultilevel"/>
    <w:lvl w:ilvl="0">
      <w:lvlJc w:val="left"/>
      <w:lvlText w:val="%1."/>
      <w:numFmt w:val="decimal"/>
      <w:start w:val="8"/>
    </w:lvl>
    <w:lvl w:ilvl="1">
      <w:lvlJc w:val="left"/>
      <w:lvlText w:val="%2"/>
      <w:numFmt w:val="upperLetter"/>
      <w:start w:val="1"/>
    </w:lvl>
  </w:abstractNum>
  <w:abstractNum w:abstractNumId="271">
    <w:nsid w:val="3AA10581"/>
    <w:multiLevelType w:val="hybridMultilevel"/>
    <w:lvl w:ilvl="0">
      <w:lvlJc w:val="left"/>
      <w:lvlText w:val="%1."/>
      <w:numFmt w:val="decimal"/>
      <w:start w:val="10"/>
    </w:lvl>
    <w:lvl w:ilvl="1">
      <w:lvlJc w:val="left"/>
      <w:lvlText w:val="%2."/>
      <w:numFmt w:val="decimal"/>
    </w:lvl>
    <w:lvl w:ilvl="2">
      <w:lvlJc w:val="left"/>
      <w:lvlText w:val="%3."/>
      <w:numFmt w:val="lowerLetter"/>
      <w:start w:val="1"/>
    </w:lvl>
  </w:abstractNum>
  <w:abstractNum w:abstractNumId="272">
    <w:nsid w:val="63DE60CD"/>
    <w:multiLevelType w:val="hybridMultilevel"/>
    <w:lvl w:ilvl="0">
      <w:lvlJc w:val="left"/>
      <w:lvlText w:val="%1"/>
      <w:numFmt w:val="decimal"/>
      <w:start w:val="1"/>
    </w:lvl>
    <w:lvl w:ilvl="1">
      <w:lvlJc w:val="left"/>
      <w:lvlText w:val="%2"/>
      <w:numFmt w:val="decimal"/>
      <w:start w:val="1"/>
    </w:lvl>
    <w:lvl w:ilvl="2">
      <w:lvlJc w:val="left"/>
      <w:lvlText w:val="%3."/>
      <w:numFmt w:val="decimal"/>
      <w:start w:val="2"/>
    </w:lvl>
  </w:abstractNum>
  <w:abstractNum w:abstractNumId="273">
    <w:nsid w:val="621AF471"/>
    <w:multiLevelType w:val="hybridMultilevel"/>
    <w:lvl w:ilvl="0">
      <w:lvlJc w:val="left"/>
      <w:lvlText w:val="%1"/>
      <w:numFmt w:val="decimal"/>
      <w:start w:val="1"/>
    </w:lvl>
    <w:lvl w:ilvl="1">
      <w:lvlJc w:val="left"/>
      <w:lvlText w:val="%2."/>
      <w:numFmt w:val="decimal"/>
      <w:start w:val="3"/>
    </w:lvl>
    <w:lvl w:ilvl="2">
      <w:lvlJc w:val="left"/>
      <w:lvlText w:val="%3"/>
      <w:numFmt w:val="decimal"/>
      <w:start w:val="1"/>
    </w:lvl>
  </w:abstractNum>
  <w:abstractNum w:abstractNumId="274">
    <w:nsid w:val="73CFE165"/>
    <w:multiLevelType w:val="hybridMultilevel"/>
    <w:lvl w:ilvl="0">
      <w:lvlJc w:val="left"/>
      <w:lvlText w:val="%1."/>
      <w:numFmt w:val="decimal"/>
      <w:start w:val="12"/>
    </w:lvl>
    <w:lvl w:ilvl="1">
      <w:lvlJc w:val="left"/>
      <w:lvlText w:val="%2"/>
      <w:numFmt w:val="decimal"/>
      <w:start w:val="1"/>
    </w:lvl>
    <w:lvl w:ilvl="2">
      <w:lvlJc w:val="left"/>
      <w:lvlText w:val="%3"/>
      <w:numFmt w:val="decimal"/>
      <w:start w:val="1"/>
    </w:lvl>
  </w:abstractNum>
  <w:abstractNum w:abstractNumId="275">
    <w:nsid w:val="20F88EA6"/>
    <w:multiLevelType w:val="hybridMultilevel"/>
    <w:lvl w:ilvl="0">
      <w:lvlJc w:val="left"/>
      <w:lvlText w:val="%1."/>
      <w:numFmt w:val="decimal"/>
      <w:start w:val="14"/>
    </w:lvl>
    <w:lvl w:ilvl="1">
      <w:lvlJc w:val="left"/>
      <w:lvlText w:val="%2."/>
      <w:numFmt w:val="lowerLetter"/>
      <w:start w:val="1"/>
    </w:lvl>
  </w:abstractNum>
  <w:abstractNum w:abstractNumId="276">
    <w:nsid w:val="617C843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4"/>
    </w:lvl>
  </w:abstractNum>
  <w:abstractNum w:abstractNumId="277">
    <w:nsid w:val="7B541FAB"/>
    <w:multiLevelType w:val="hybridMultilevel"/>
    <w:lvl w:ilvl="0">
      <w:lvlJc w:val="left"/>
      <w:lvlText w:val="%1."/>
      <w:numFmt w:val="decimal"/>
      <w:start w:val="17"/>
    </w:lvl>
    <w:lvl w:ilvl="1">
      <w:lvlJc w:val="left"/>
      <w:lvlText w:val="%2."/>
      <w:numFmt w:val="lowerLetter"/>
      <w:start w:val="1"/>
    </w:lvl>
    <w:lvl w:ilvl="2">
      <w:lvlJc w:val="left"/>
      <w:lvlText w:val="%3."/>
      <w:numFmt w:val="lowerLetter"/>
      <w:start w:val="1"/>
    </w:lvl>
  </w:abstractNum>
  <w:abstractNum w:abstractNumId="278">
    <w:nsid w:val="2A79EC4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abstractNum>
  <w:abstractNum w:abstractNumId="279">
    <w:nsid w:val="338125CF"/>
    <w:multiLevelType w:val="hybridMultilevel"/>
    <w:lvl w:ilvl="0">
      <w:lvlJc w:val="left"/>
      <w:lvlText w:val="%1"/>
      <w:numFmt w:val="decimal"/>
      <w:start w:val="1"/>
    </w:lvl>
    <w:lvl w:ilvl="1">
      <w:lvlJc w:val="left"/>
      <w:lvlText w:val="%2."/>
      <w:numFmt w:val="lowerLetter"/>
      <w:start w:val="4"/>
    </w:lvl>
  </w:abstractNum>
  <w:abstractNum w:abstractNumId="280">
    <w:nsid w:val="47C7C971"/>
    <w:multiLevelType w:val="hybridMultilevel"/>
    <w:lvl w:ilvl="0">
      <w:lvlJc w:val="left"/>
      <w:lvlText w:val="%1."/>
      <w:numFmt w:val="decimal"/>
      <w:start w:val="18"/>
    </w:lvl>
    <w:lvl w:ilvl="1">
      <w:lvlJc w:val="left"/>
      <w:lvlText w:val="%2"/>
      <w:numFmt w:val="lowerLetter"/>
      <w:start w:val="1"/>
    </w:lvl>
  </w:abstractNum>
  <w:abstractNum w:abstractNumId="281">
    <w:nsid w:val="46F8284B"/>
    <w:multiLevelType w:val="hybridMultilevel"/>
    <w:lvl w:ilvl="0">
      <w:lvlJc w:val="left"/>
      <w:lvlText w:val="%1."/>
      <w:numFmt w:val="decimal"/>
      <w:start w:val="21"/>
    </w:lvl>
  </w:abstractNum>
  <w:abstractNum w:abstractNumId="282">
    <w:nsid w:val="4FA327CE"/>
    <w:multiLevelType w:val="hybridMultilevel"/>
    <w:lvl w:ilvl="0">
      <w:lvlJc w:val="left"/>
      <w:lvlText w:val="%1."/>
      <w:numFmt w:val="decimal"/>
      <w:start w:val="1"/>
    </w:lvl>
  </w:abstractNum>
  <w:abstractNum w:abstractNumId="283">
    <w:nsid w:val="1873983A"/>
    <w:multiLevelType w:val="hybridMultilevel"/>
    <w:lvl w:ilvl="0">
      <w:lvlJc w:val="left"/>
      <w:lvlText w:val="%1."/>
      <w:numFmt w:val="decimal"/>
      <w:start w:val="2"/>
    </w:lvl>
    <w:lvl w:ilvl="1">
      <w:lvlJc w:val="left"/>
      <w:lvlText w:val="%2."/>
      <w:numFmt w:val="lowerLetter"/>
      <w:start w:val="1"/>
    </w:lvl>
  </w:abstractNum>
  <w:abstractNum w:abstractNumId="284">
    <w:nsid w:val="3D2DD275"/>
    <w:multiLevelType w:val="hybridMultilevel"/>
    <w:lvl w:ilvl="0">
      <w:lvlJc w:val="left"/>
      <w:lvlText w:val="%1."/>
      <w:numFmt w:val="decimal"/>
      <w:start w:val="4"/>
    </w:lvl>
  </w:abstractNum>
  <w:abstractNum w:abstractNumId="285">
    <w:nsid w:val="2E17ECA7"/>
    <w:multiLevelType w:val="hybridMultilevel"/>
    <w:lvl w:ilvl="0">
      <w:lvlJc w:val="left"/>
      <w:lvlText w:val="%1."/>
      <w:numFmt w:val="decimal"/>
      <w:start w:val="7"/>
    </w:lvl>
  </w:abstractNum>
  <w:abstractNum w:abstractNumId="286">
    <w:nsid w:val="53B2564F"/>
    <w:multiLevelType w:val="hybridMultilevel"/>
    <w:lvl w:ilvl="0">
      <w:lvlJc w:val="left"/>
      <w:lvlText w:val="%1."/>
      <w:numFmt w:val="decimal"/>
      <w:start w:val="9"/>
    </w:lvl>
  </w:abstractNum>
  <w:abstractNum w:abstractNumId="287">
    <w:nsid w:val="75509D76"/>
    <w:multiLevelType w:val="hybridMultilevel"/>
    <w:lvl w:ilvl="0">
      <w:lvlJc w:val="left"/>
      <w:lvlText w:val="%1"/>
      <w:numFmt w:val="decimal"/>
      <w:start w:val="1"/>
    </w:lvl>
    <w:lvl w:ilvl="1">
      <w:lvlJc w:val="left"/>
      <w:lvlText w:val="%2"/>
      <w:numFmt w:val="lowerLetter"/>
      <w:start w:val="1"/>
    </w:lvl>
    <w:lvl w:ilvl="2">
      <w:lvlJc w:val="left"/>
      <w:lvlText w:val="(%3)"/>
      <w:numFmt w:val="upperLetter"/>
      <w:start w:val="1"/>
    </w:lvl>
    <w:lvl w:ilvl="3">
      <w:lvlJc w:val="left"/>
      <w:lvlText w:val="(%4)"/>
      <w:numFmt w:val="upperLetter"/>
      <w:start w:val="2"/>
    </w:lvl>
  </w:abstractNum>
  <w:abstractNum w:abstractNumId="288">
    <w:nsid w:val="1AF7F0EA"/>
    <w:multiLevelType w:val="hybridMultilevel"/>
    <w:lvl w:ilvl="0">
      <w:lvlJc w:val="left"/>
      <w:lvlText w:val="%1."/>
      <w:numFmt w:val="decimal"/>
      <w:start w:val="10"/>
    </w:lvl>
    <w:lvl w:ilvl="1">
      <w:lvlJc w:val="left"/>
      <w:lvlText w:val="%2."/>
      <w:numFmt w:val="lowerLetter"/>
      <w:start w:val="1"/>
    </w:lvl>
    <w:lvl w:ilvl="2">
      <w:lvlJc w:val="left"/>
      <w:lvlText w:val="%3"/>
      <w:numFmt w:val="upperLetter"/>
      <w:start w:val="1"/>
    </w:lvl>
    <w:lvl w:ilvl="3">
      <w:lvlJc w:val="left"/>
      <w:lvlText w:val="%4"/>
      <w:numFmt w:val="upperLetter"/>
      <w:start w:val="1"/>
    </w:lvl>
  </w:abstractNum>
  <w:abstractNum w:abstractNumId="289">
    <w:nsid w:val="4DA32C7E"/>
    <w:multiLevelType w:val="hybridMultilevel"/>
    <w:lvl w:ilvl="0">
      <w:lvlJc w:val="left"/>
      <w:lvlText w:val="%1"/>
      <w:numFmt w:val="decimal"/>
      <w:start w:val="1"/>
    </w:lvl>
    <w:lvl w:ilvl="1">
      <w:lvlJc w:val="left"/>
      <w:lvlText w:val="%2."/>
      <w:numFmt w:val="lowerLetter"/>
      <w:start w:val="2"/>
    </w:lvl>
  </w:abstractNum>
  <w:abstractNum w:abstractNumId="290">
    <w:nsid w:val="6EC68664"/>
    <w:multiLevelType w:val="hybridMultilevel"/>
    <w:lvl w:ilvl="0">
      <w:lvlJc w:val="left"/>
      <w:lvlText w:val="%1."/>
      <w:numFmt w:val="decimal"/>
      <w:start w:val="11"/>
    </w:lvl>
    <w:lvl w:ilvl="1">
      <w:lvlJc w:val="left"/>
      <w:lvlText w:val="%2"/>
      <w:numFmt w:val="lowerLetter"/>
      <w:start w:val="1"/>
    </w:lvl>
  </w:abstractNum>
  <w:abstractNum w:abstractNumId="291">
    <w:nsid w:val="E0D31FF"/>
    <w:multiLevelType w:val="hybridMultilevel"/>
    <w:lvl w:ilvl="0">
      <w:lvlJc w:val="left"/>
      <w:lvlText w:val="%1."/>
      <w:numFmt w:val="decimal"/>
      <w:start w:val="13"/>
    </w:lvl>
    <w:lvl w:ilvl="1">
      <w:lvlJc w:val="left"/>
      <w:lvlText w:val="%2."/>
      <w:numFmt w:val="decimal"/>
    </w:lvl>
    <w:lvl w:ilvl="2">
      <w:lvlJc w:val="left"/>
      <w:lvlText w:val="%3."/>
      <w:numFmt w:val="lowerLetter"/>
      <w:start w:val="1"/>
    </w:lvl>
  </w:abstractNum>
  <w:abstractNum w:abstractNumId="292">
    <w:nsid w:val="2FD0AD81"/>
    <w:multiLevelType w:val="hybridMultilevel"/>
    <w:lvl w:ilvl="0">
      <w:lvlJc w:val="left"/>
      <w:lvlText w:val="%1"/>
      <w:numFmt w:val="decimal"/>
      <w:start w:val="1"/>
    </w:lvl>
    <w:lvl w:ilvl="1">
      <w:lvlJc w:val="left"/>
      <w:lvlText w:val="%2."/>
      <w:numFmt w:val="decimal"/>
      <w:start w:val="2"/>
    </w:lvl>
  </w:abstractNum>
  <w:abstractNum w:abstractNumId="293">
    <w:nsid w:val="1978EBEB"/>
    <w:multiLevelType w:val="hybridMultilevel"/>
    <w:lvl w:ilvl="0">
      <w:lvlJc w:val="left"/>
      <w:lvlText w:val="%1."/>
      <w:numFmt w:val="decimal"/>
      <w:start w:val="14"/>
    </w:lvl>
    <w:lvl w:ilvl="1">
      <w:lvlJc w:val="left"/>
      <w:lvlText w:val="%2"/>
      <w:numFmt w:val="decimal"/>
      <w:start w:val="1"/>
    </w:lvl>
  </w:abstractNum>
  <w:abstractNum w:abstractNumId="294">
    <w:nsid w:val="52C12C61"/>
    <w:multiLevelType w:val="hybridMultilevel"/>
    <w:lvl w:ilvl="0">
      <w:lvlJc w:val="left"/>
      <w:lvlText w:val="%1."/>
      <w:numFmt w:val="decimal"/>
      <w:start w:val="15"/>
    </w:lvl>
    <w:lvl w:ilvl="1">
      <w:lvlJc w:val="left"/>
      <w:lvlText w:val="%2."/>
      <w:numFmt w:val="lowerLetter"/>
      <w:start w:val="1"/>
    </w:lvl>
  </w:abstractNum>
  <w:abstractNum w:abstractNumId="295">
    <w:nsid w:val="4BDD53FD"/>
    <w:multiLevelType w:val="hybridMultilevel"/>
    <w:lvl w:ilvl="0">
      <w:lvlJc w:val="left"/>
      <w:lvlText w:val="%1"/>
      <w:numFmt w:val="decimal"/>
      <w:start w:val="1"/>
    </w:lvl>
    <w:lvl w:ilvl="1">
      <w:lvlJc w:val="left"/>
      <w:lvlText w:val="%2."/>
      <w:numFmt w:val="lowerLetter"/>
      <w:start w:val="4"/>
    </w:lvl>
  </w:abstractNum>
  <w:abstractNum w:abstractNumId="296">
    <w:nsid w:val="569951FE"/>
    <w:multiLevelType w:val="hybridMultilevel"/>
    <w:lvl w:ilvl="0">
      <w:lvlJc w:val="left"/>
      <w:lvlText w:val="%1."/>
      <w:numFmt w:val="decimal"/>
      <w:start w:val="19"/>
    </w:lvl>
    <w:lvl w:ilvl="1">
      <w:lvlJc w:val="left"/>
      <w:lvlText w:val="%2."/>
      <w:numFmt w:val="lowerLetter"/>
      <w:start w:val="1"/>
    </w:lvl>
  </w:abstractNum>
  <w:abstractNum w:abstractNumId="297">
    <w:nsid w:val="4C54E2C3"/>
    <w:multiLevelType w:val="hybridMultilevel"/>
    <w:lvl w:ilvl="0">
      <w:lvlJc w:val="left"/>
      <w:lvlText w:val="%1"/>
      <w:numFmt w:val="decimal"/>
      <w:start w:val="1"/>
    </w:lvl>
    <w:lvl w:ilvl="1">
      <w:lvlJc w:val="left"/>
      <w:lvlText w:val="%2."/>
      <w:numFmt w:val="lowerLetter"/>
      <w:start w:val="3"/>
    </w:lvl>
  </w:abstractNum>
  <w:abstractNum w:abstractNumId="298">
    <w:nsid w:val="788BD9B"/>
    <w:multiLevelType w:val="hybridMultilevel"/>
    <w:lvl w:ilvl="0">
      <w:lvlJc w:val="left"/>
      <w:lvlText w:val="%1."/>
      <w:numFmt w:val="decimal"/>
      <w:start w:val="20"/>
    </w:lvl>
    <w:lvl w:ilvl="1">
      <w:lvlJc w:val="left"/>
      <w:lvlText w:val="%2"/>
      <w:numFmt w:val="lowerLetter"/>
      <w:start w:val="1"/>
    </w:lvl>
  </w:abstractNum>
  <w:abstractNum w:abstractNumId="299">
    <w:nsid w:val="47CAA567"/>
    <w:multiLevelType w:val="hybridMultilevel"/>
    <w:lvl w:ilvl="0">
      <w:lvlJc w:val="left"/>
      <w:lvlText w:val="%1."/>
      <w:numFmt w:val="decimal"/>
      <w:start w:val="22"/>
    </w:lvl>
  </w:abstractNum>
  <w:abstractNum w:abstractNumId="300">
    <w:nsid w:val="48249DBF"/>
    <w:multiLevelType w:val="hybridMultilevel"/>
    <w:lvl w:ilvl="0">
      <w:lvlJc w:val="left"/>
      <w:lvlText w:val="%1."/>
      <w:numFmt w:val="upperLetter"/>
      <w:start w:val="9"/>
    </w:lvl>
  </w:abstractNum>
  <w:abstractNum w:abstractNumId="301">
    <w:nsid w:val="1F0E5D0D"/>
    <w:multiLevelType w:val="hybridMultilevel"/>
    <w:lvl w:ilvl="0">
      <w:lvlJc w:val="left"/>
      <w:lvlText w:val="%1."/>
      <w:numFmt w:val="upperLetter"/>
      <w:start w:val="35"/>
    </w:lvl>
  </w:abstractNum>
  <w:abstractNum w:abstractNumId="302">
    <w:nsid w:val="26BAAE9"/>
    <w:multiLevelType w:val="hybridMultilevel"/>
    <w:lvl w:ilvl="0">
      <w:lvlJc w:val="left"/>
      <w:lvlText w:val="1"/>
      <w:numFmt w:val="bullet"/>
      <w:start w:val="1"/>
    </w:lvl>
  </w:abstractNum>
  <w:abstractNum w:abstractNumId="303">
    <w:nsid w:val="2C02FE8C"/>
    <w:multiLevelType w:val="hybridMultilevel"/>
    <w:lvl w:ilvl="0">
      <w:lvlJc w:val="left"/>
      <w:lvlText w:val="%1."/>
      <w:numFmt w:val="upperLetter"/>
      <w:start w:val="61"/>
    </w:lvl>
  </w:abstractNum>
  <w:abstractNum w:abstractNumId="304">
    <w:nsid w:val="129517E"/>
    <w:multiLevelType w:val="hybridMultilevel"/>
    <w:lvl w:ilvl="0">
      <w:lvlJc w:val="left"/>
      <w:lvlText w:val="2"/>
      <w:numFmt w:val="bullet"/>
      <w:start w:val="1"/>
    </w:lvl>
  </w:abstractNum>
  <w:abstractNum w:abstractNumId="305">
    <w:nsid w:val="763B8C4E"/>
    <w:multiLevelType w:val="hybridMultilevel"/>
    <w:lvl w:ilvl="0">
      <w:lvlJc w:val="left"/>
      <w:lvlText w:val="•"/>
      <w:numFmt w:val="bullet"/>
      <w:start w:val="1"/>
    </w:lvl>
  </w:abstractNum>
  <w:abstractNum w:abstractNumId="306">
    <w:nsid w:val="4CFB8D32"/>
    <w:multiLevelType w:val="hybridMultilevel"/>
    <w:lvl w:ilvl="0">
      <w:lvlJc w:val="left"/>
      <w:lvlText w:val="•"/>
      <w:numFmt w:val="bullet"/>
      <w:start w:val="1"/>
    </w:lvl>
  </w:abstractNum>
  <w:abstractNum w:abstractNumId="307">
    <w:nsid w:val="62A5D5BD"/>
    <w:multiLevelType w:val="hybridMultilevel"/>
    <w:lvl w:ilvl="0">
      <w:lvlJc w:val="left"/>
      <w:lvlText w:val="3"/>
      <w:numFmt w:val="bullet"/>
      <w:start w:val="1"/>
    </w:lvl>
  </w:abstractNum>
  <w:abstractNum w:abstractNumId="308">
    <w:nsid w:val="718FABF9"/>
    <w:multiLevelType w:val="hybridMultilevel"/>
    <w:lvl w:ilvl="0">
      <w:lvlJc w:val="left"/>
      <w:lvlText w:val="•"/>
      <w:numFmt w:val="bullet"/>
      <w:start w:val="1"/>
    </w:lvl>
  </w:abstractNum>
  <w:abstractNum w:abstractNumId="309">
    <w:nsid w:val="7775797C"/>
    <w:multiLevelType w:val="hybridMultilevel"/>
    <w:lvl w:ilvl="0">
      <w:lvlJc w:val="left"/>
      <w:lvlText w:val="•"/>
      <w:numFmt w:val="bullet"/>
      <w:start w:val="1"/>
    </w:lvl>
  </w:abstractNum>
  <w:abstractNum w:abstractNumId="310">
    <w:nsid w:val="1626FB8C"/>
    <w:multiLevelType w:val="hybridMultilevel"/>
    <w:lvl w:ilvl="0">
      <w:lvlJc w:val="left"/>
      <w:lvlText w:val="%1."/>
      <w:numFmt w:val="upperLetter"/>
      <w:start w:val="22"/>
    </w:lvl>
  </w:abstractNum>
  <w:abstractNum w:abstractNumId="311">
    <w:nsid w:val="3957756A"/>
    <w:multiLevelType w:val="hybridMultilevel"/>
    <w:lvl w:ilvl="0">
      <w:lvlJc w:val="left"/>
      <w:lvlText w:val="•"/>
      <w:numFmt w:val="bullet"/>
      <w:start w:val="1"/>
    </w:lvl>
  </w:abstractNum>
  <w:abstractNum w:abstractNumId="312">
    <w:nsid w:val="3E6DA1C7"/>
    <w:multiLevelType w:val="hybridMultilevel"/>
    <w:lvl w:ilvl="0">
      <w:lvlJc w:val="left"/>
      <w:lvlText w:val="4"/>
      <w:numFmt w:val="bullet"/>
      <w:start w:val="1"/>
    </w:lvl>
  </w:abstractNum>
  <w:abstractNum w:abstractNumId="313">
    <w:nsid w:val="65CA235B"/>
    <w:multiLevelType w:val="hybridMultilevel"/>
    <w:lvl w:ilvl="0">
      <w:lvlJc w:val="left"/>
      <w:lvlText w:val="5"/>
      <w:numFmt w:val="bullet"/>
      <w:start w:val="1"/>
    </w:lvl>
  </w:abstractNum>
  <w:abstractNum w:abstractNumId="314">
    <w:nsid w:val="51CB0DA4"/>
    <w:multiLevelType w:val="hybridMultilevel"/>
    <w:lvl w:ilvl="0">
      <w:lvlJc w:val="left"/>
      <w:lvlText w:val="6"/>
      <w:numFmt w:val="bullet"/>
      <w:start w:val="1"/>
    </w:lvl>
  </w:abstractNum>
  <w:abstractNum w:abstractNumId="315">
    <w:nsid w:val="7B9B743C"/>
    <w:multiLevelType w:val="hybridMultilevel"/>
    <w:lvl w:ilvl="0">
      <w:lvlJc w:val="left"/>
      <w:lvlText w:val="•"/>
      <w:numFmt w:val="bullet"/>
      <w:start w:val="1"/>
    </w:lvl>
  </w:abstractNum>
  <w:abstractNum w:abstractNumId="316">
    <w:nsid w:val="13E21002"/>
    <w:multiLevelType w:val="hybridMultilevel"/>
    <w:lvl w:ilvl="0">
      <w:lvlJc w:val="left"/>
      <w:lvlText w:val="(%1)"/>
      <w:numFmt w:val="lowerRoman"/>
      <w:start w:val="1"/>
    </w:lvl>
  </w:abstractNum>
  <w:abstractNum w:abstractNumId="317">
    <w:nsid w:val="257D63F4"/>
    <w:multiLevelType w:val="hybridMultilevel"/>
    <w:lvl w:ilvl="0">
      <w:lvlJc w:val="left"/>
      <w:lvlText w:val="(%1)"/>
      <w:numFmt w:val="lowerRoman"/>
      <w:start w:val="1"/>
    </w:lvl>
  </w:abstractNum>
  <w:abstractNum w:abstractNumId="318">
    <w:nsid w:val="70EC11B2"/>
    <w:multiLevelType w:val="hybridMultilevel"/>
    <w:lvl w:ilvl="0">
      <w:lvlJc w:val="left"/>
      <w:lvlText w:val="(%1)"/>
      <w:numFmt w:val="lowerRoman"/>
      <w:start w:val="1"/>
    </w:lvl>
  </w:abstractNum>
  <w:abstractNum w:abstractNumId="319">
    <w:nsid w:val="2EDA00ED"/>
    <w:multiLevelType w:val="hybridMultilevel"/>
    <w:lvl w:ilvl="0">
      <w:lvlJc w:val="left"/>
      <w:lvlText w:val="(%1)"/>
      <w:numFmt w:val="lowerRoman"/>
      <w:start w:val="1"/>
    </w:lvl>
  </w:abstractNum>
  <w:abstractNum w:abstractNumId="320">
    <w:nsid w:val="73209072"/>
    <w:multiLevelType w:val="hybridMultilevel"/>
    <w:lvl w:ilvl="0">
      <w:lvlJc w:val="left"/>
      <w:lvlText w:val="%1."/>
      <w:numFmt w:val="decimal"/>
      <w:start w:val="1"/>
    </w:lvl>
    <w:lvl w:ilvl="1">
      <w:lvlJc w:val="left"/>
      <w:lvlText w:val="%2)"/>
      <w:numFmt w:val="lowerLetter"/>
      <w:start w:val="1"/>
    </w:lvl>
  </w:abstractNum>
  <w:abstractNum w:abstractNumId="321">
    <w:nsid w:val="5FB29816"/>
    <w:multiLevelType w:val="hybridMultilevel"/>
    <w:lvl w:ilvl="0">
      <w:lvlJc w:val="left"/>
      <w:lvlText w:val="%1."/>
      <w:numFmt w:val="decimal"/>
      <w:start w:val="1"/>
    </w:lvl>
    <w:lvl w:ilvl="1">
      <w:lvlJc w:val="left"/>
      <w:lvlText w:val="%2)"/>
      <w:numFmt w:val="lowerLetter"/>
      <w:start w:val="1"/>
    </w:lvl>
  </w:abstractNum>
  <w:abstractNum w:abstractNumId="322">
    <w:nsid w:val="3CE732EC"/>
    <w:multiLevelType w:val="hybridMultilevel"/>
    <w:lvl w:ilvl="0">
      <w:lvlJc w:val="left"/>
      <w:lvlText w:val="(%1)"/>
      <w:numFmt w:val="decimal"/>
      <w:start w:val="1"/>
    </w:lvl>
  </w:abstractNum>
  <w:abstractNum w:abstractNumId="323">
    <w:nsid w:val="22F13DF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jpeg"/><Relationship Id="rId88" Type="http://schemas.openxmlformats.org/officeDocument/2006/relationships/image" Target="media/image80.jpeg"/><Relationship Id="rId89" Type="http://schemas.openxmlformats.org/officeDocument/2006/relationships/image" Target="media/image81.png"/><Relationship Id="rId90" Type="http://schemas.openxmlformats.org/officeDocument/2006/relationships/image" Target="media/image82.jpeg"/><Relationship Id="rId91" Type="http://schemas.openxmlformats.org/officeDocument/2006/relationships/image" Target="media/image83.jpeg"/><Relationship Id="rId92" Type="http://schemas.openxmlformats.org/officeDocument/2006/relationships/image" Target="media/image84.png"/><Relationship Id="rId93" Type="http://schemas.openxmlformats.org/officeDocument/2006/relationships/image" Target="media/image85.jpeg"/><Relationship Id="rId94" Type="http://schemas.openxmlformats.org/officeDocument/2006/relationships/image" Target="media/image86.jpeg"/><Relationship Id="rId95" Type="http://schemas.openxmlformats.org/officeDocument/2006/relationships/image" Target="media/image87.png"/><Relationship Id="rId96" Type="http://schemas.openxmlformats.org/officeDocument/2006/relationships/image" Target="media/image88.jpeg"/><Relationship Id="rId97" Type="http://schemas.openxmlformats.org/officeDocument/2006/relationships/image" Target="media/image89.jpe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jpe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jpeg"/><Relationship Id="rId109" Type="http://schemas.openxmlformats.org/officeDocument/2006/relationships/image" Target="media/image101.png"/><Relationship Id="rId110" Type="http://schemas.openxmlformats.org/officeDocument/2006/relationships/image" Target="media/image102.jpeg"/><Relationship Id="rId111" Type="http://schemas.openxmlformats.org/officeDocument/2006/relationships/image" Target="media/image103.png"/><Relationship Id="rId112" Type="http://schemas.openxmlformats.org/officeDocument/2006/relationships/image" Target="media/image104.jpe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jpeg"/><Relationship Id="rId116" Type="http://schemas.openxmlformats.org/officeDocument/2006/relationships/image" Target="media/image108.png"/><Relationship Id="rId117" Type="http://schemas.openxmlformats.org/officeDocument/2006/relationships/image" Target="media/image109.jpe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jpeg"/><Relationship Id="rId141" Type="http://schemas.openxmlformats.org/officeDocument/2006/relationships/image" Target="media/image133.png"/><Relationship Id="rId142" Type="http://schemas.openxmlformats.org/officeDocument/2006/relationships/image" Target="media/image134.jpeg"/><Relationship Id="rId143" Type="http://schemas.openxmlformats.org/officeDocument/2006/relationships/image" Target="media/image135.png"/><Relationship Id="rId144" Type="http://schemas.openxmlformats.org/officeDocument/2006/relationships/image" Target="media/image136.jpeg"/><Relationship Id="rId145" Type="http://schemas.openxmlformats.org/officeDocument/2006/relationships/image" Target="media/image137.jpeg"/><Relationship Id="rId146" Type="http://schemas.openxmlformats.org/officeDocument/2006/relationships/image" Target="media/image138.jpeg"/><Relationship Id="rId147" Type="http://schemas.openxmlformats.org/officeDocument/2006/relationships/image" Target="media/image139.jpe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53" Type="http://schemas.openxmlformats.org/officeDocument/2006/relationships/image" Target="media/image145.png"/><Relationship Id="rId154" Type="http://schemas.openxmlformats.org/officeDocument/2006/relationships/image" Target="media/image146.jpeg"/><Relationship Id="rId155" Type="http://schemas.openxmlformats.org/officeDocument/2006/relationships/image" Target="media/image147.jpeg"/><Relationship Id="rId156" Type="http://schemas.openxmlformats.org/officeDocument/2006/relationships/image" Target="media/image148.jpeg"/><Relationship Id="rId157" Type="http://schemas.openxmlformats.org/officeDocument/2006/relationships/image" Target="media/image149.jpeg"/><Relationship Id="rId158" Type="http://schemas.openxmlformats.org/officeDocument/2006/relationships/image" Target="media/image150.jpeg"/><Relationship Id="rId159" Type="http://schemas.openxmlformats.org/officeDocument/2006/relationships/image" Target="media/image151.png"/><Relationship Id="rId160" Type="http://schemas.openxmlformats.org/officeDocument/2006/relationships/image" Target="media/image152.png"/><Relationship Id="rId161" Type="http://schemas.openxmlformats.org/officeDocument/2006/relationships/image" Target="media/image153.png"/><Relationship Id="rId162" Type="http://schemas.openxmlformats.org/officeDocument/2006/relationships/image" Target="media/image154.png"/><Relationship Id="rId163" Type="http://schemas.openxmlformats.org/officeDocument/2006/relationships/image" Target="media/image155.png"/><Relationship Id="rId164" Type="http://schemas.openxmlformats.org/officeDocument/2006/relationships/image" Target="media/image156.png"/><Relationship Id="rId165" Type="http://schemas.openxmlformats.org/officeDocument/2006/relationships/image" Target="media/image157.png"/><Relationship Id="rId166" Type="http://schemas.openxmlformats.org/officeDocument/2006/relationships/image" Target="media/image158.png"/><Relationship Id="rId167" Type="http://schemas.openxmlformats.org/officeDocument/2006/relationships/image" Target="media/image159.png"/><Relationship Id="rId168" Type="http://schemas.openxmlformats.org/officeDocument/2006/relationships/image" Target="media/image160.png"/><Relationship Id="rId169" Type="http://schemas.openxmlformats.org/officeDocument/2006/relationships/image" Target="media/image161.png"/><Relationship Id="rId170" Type="http://schemas.openxmlformats.org/officeDocument/2006/relationships/image" Target="media/image162.png"/><Relationship Id="rId171" Type="http://schemas.openxmlformats.org/officeDocument/2006/relationships/image" Target="media/image163.png"/><Relationship Id="rId172" Type="http://schemas.openxmlformats.org/officeDocument/2006/relationships/image" Target="media/image164.png"/><Relationship Id="rId173" Type="http://schemas.openxmlformats.org/officeDocument/2006/relationships/image" Target="media/image165.png"/><Relationship Id="rId174" Type="http://schemas.openxmlformats.org/officeDocument/2006/relationships/image" Target="media/image166.png"/><Relationship Id="rId175" Type="http://schemas.openxmlformats.org/officeDocument/2006/relationships/image" Target="media/image167.png"/><Relationship Id="rId176" Type="http://schemas.openxmlformats.org/officeDocument/2006/relationships/image" Target="media/image168.png"/><Relationship Id="rId177" Type="http://schemas.openxmlformats.org/officeDocument/2006/relationships/image" Target="media/image169.png"/><Relationship Id="rId178" Type="http://schemas.openxmlformats.org/officeDocument/2006/relationships/image" Target="media/image170.png"/><Relationship Id="rId179" Type="http://schemas.openxmlformats.org/officeDocument/2006/relationships/image" Target="media/image171.png"/><Relationship Id="rId180" Type="http://schemas.openxmlformats.org/officeDocument/2006/relationships/image" Target="media/image172.png"/><Relationship Id="rId181" Type="http://schemas.openxmlformats.org/officeDocument/2006/relationships/image" Target="media/image173.png"/><Relationship Id="rId182" Type="http://schemas.openxmlformats.org/officeDocument/2006/relationships/image" Target="media/image174.png"/><Relationship Id="rId183" Type="http://schemas.openxmlformats.org/officeDocument/2006/relationships/image" Target="media/image175.png"/><Relationship Id="rId184" Type="http://schemas.openxmlformats.org/officeDocument/2006/relationships/image" Target="media/image176.png"/><Relationship Id="rId185" Type="http://schemas.openxmlformats.org/officeDocument/2006/relationships/image" Target="media/image177.png"/><Relationship Id="rId186" Type="http://schemas.openxmlformats.org/officeDocument/2006/relationships/image" Target="media/image178.png"/><Relationship Id="rId187" Type="http://schemas.openxmlformats.org/officeDocument/2006/relationships/image" Target="media/image179.png"/><Relationship Id="rId188" Type="http://schemas.openxmlformats.org/officeDocument/2006/relationships/image" Target="media/image180.png"/><Relationship Id="rId189" Type="http://schemas.openxmlformats.org/officeDocument/2006/relationships/image" Target="media/image181.png"/><Relationship Id="rId190" Type="http://schemas.openxmlformats.org/officeDocument/2006/relationships/image" Target="media/image182.png"/><Relationship Id="rId191" Type="http://schemas.openxmlformats.org/officeDocument/2006/relationships/image" Target="media/image183.png"/><Relationship Id="rId192" Type="http://schemas.openxmlformats.org/officeDocument/2006/relationships/image" Target="media/image184.png"/><Relationship Id="rId193" Type="http://schemas.openxmlformats.org/officeDocument/2006/relationships/image" Target="media/image185.png"/><Relationship Id="rId194" Type="http://schemas.openxmlformats.org/officeDocument/2006/relationships/image" Target="media/image186.png"/><Relationship Id="rId195" Type="http://schemas.openxmlformats.org/officeDocument/2006/relationships/image" Target="media/image187.png"/><Relationship Id="rId196" Type="http://schemas.openxmlformats.org/officeDocument/2006/relationships/image" Target="media/image188.png"/><Relationship Id="rId197" Type="http://schemas.openxmlformats.org/officeDocument/2006/relationships/image" Target="media/image189.png"/><Relationship Id="rId198" Type="http://schemas.openxmlformats.org/officeDocument/2006/relationships/image" Target="media/image190.png"/><Relationship Id="rId199" Type="http://schemas.openxmlformats.org/officeDocument/2006/relationships/image" Target="media/image191.png"/><Relationship Id="rId200" Type="http://schemas.openxmlformats.org/officeDocument/2006/relationships/image" Target="media/image192.png"/><Relationship Id="rId201" Type="http://schemas.openxmlformats.org/officeDocument/2006/relationships/image" Target="media/image193.png"/><Relationship Id="rId202" Type="http://schemas.openxmlformats.org/officeDocument/2006/relationships/image" Target="media/image194.png"/><Relationship Id="rId203" Type="http://schemas.openxmlformats.org/officeDocument/2006/relationships/image" Target="media/image195.png"/><Relationship Id="rId204" Type="http://schemas.openxmlformats.org/officeDocument/2006/relationships/image" Target="media/image196.png"/><Relationship Id="rId205" Type="http://schemas.openxmlformats.org/officeDocument/2006/relationships/image" Target="media/image197.png"/><Relationship Id="rId206" Type="http://schemas.openxmlformats.org/officeDocument/2006/relationships/image" Target="media/image198.png"/><Relationship Id="rId207" Type="http://schemas.openxmlformats.org/officeDocument/2006/relationships/image" Target="media/image199.png"/><Relationship Id="rId208" Type="http://schemas.openxmlformats.org/officeDocument/2006/relationships/image" Target="media/image200.png"/><Relationship Id="rId209" Type="http://schemas.openxmlformats.org/officeDocument/2006/relationships/image" Target="media/image201.png"/><Relationship Id="rId210" Type="http://schemas.openxmlformats.org/officeDocument/2006/relationships/image" Target="media/image202.png"/><Relationship Id="rId211" Type="http://schemas.openxmlformats.org/officeDocument/2006/relationships/image" Target="media/image203.png"/><Relationship Id="rId212" Type="http://schemas.openxmlformats.org/officeDocument/2006/relationships/image" Target="media/image204.png"/><Relationship Id="rId213" Type="http://schemas.openxmlformats.org/officeDocument/2006/relationships/image" Target="media/image205.png"/><Relationship Id="rId214" Type="http://schemas.openxmlformats.org/officeDocument/2006/relationships/image" Target="media/image206.png"/><Relationship Id="rId215" Type="http://schemas.openxmlformats.org/officeDocument/2006/relationships/image" Target="media/image207.png"/><Relationship Id="rId216" Type="http://schemas.openxmlformats.org/officeDocument/2006/relationships/image" Target="media/image208.png"/><Relationship Id="rId217" Type="http://schemas.openxmlformats.org/officeDocument/2006/relationships/image" Target="media/image209.png"/><Relationship Id="rId218" Type="http://schemas.openxmlformats.org/officeDocument/2006/relationships/image" Target="media/image210.png"/><Relationship Id="rId219" Type="http://schemas.openxmlformats.org/officeDocument/2006/relationships/image" Target="media/image211.png"/><Relationship Id="rId220" Type="http://schemas.openxmlformats.org/officeDocument/2006/relationships/image" Target="media/image212.png"/><Relationship Id="rId221" Type="http://schemas.openxmlformats.org/officeDocument/2006/relationships/image" Target="media/image213.png"/><Relationship Id="rId222" Type="http://schemas.openxmlformats.org/officeDocument/2006/relationships/image" Target="media/image214.png"/><Relationship Id="rId223" Type="http://schemas.openxmlformats.org/officeDocument/2006/relationships/image" Target="media/image215.png"/><Relationship Id="rId224" Type="http://schemas.openxmlformats.org/officeDocument/2006/relationships/image" Target="media/image216.png"/><Relationship Id="rId225" Type="http://schemas.openxmlformats.org/officeDocument/2006/relationships/image" Target="media/image217.png"/><Relationship Id="rId226" Type="http://schemas.openxmlformats.org/officeDocument/2006/relationships/image" Target="media/image218.png"/><Relationship Id="rId227" Type="http://schemas.openxmlformats.org/officeDocument/2006/relationships/image" Target="media/image219.png"/><Relationship Id="rId228" Type="http://schemas.openxmlformats.org/officeDocument/2006/relationships/image" Target="media/image220.png"/><Relationship Id="rId229" Type="http://schemas.openxmlformats.org/officeDocument/2006/relationships/image" Target="media/image221.png"/><Relationship Id="rId230" Type="http://schemas.openxmlformats.org/officeDocument/2006/relationships/image" Target="media/image222.png"/><Relationship Id="rId231" Type="http://schemas.openxmlformats.org/officeDocument/2006/relationships/image" Target="media/image223.png"/><Relationship Id="rId232" Type="http://schemas.openxmlformats.org/officeDocument/2006/relationships/image" Target="media/image224.png"/><Relationship Id="rId233" Type="http://schemas.openxmlformats.org/officeDocument/2006/relationships/image" Target="media/image225.png"/><Relationship Id="rId234" Type="http://schemas.openxmlformats.org/officeDocument/2006/relationships/image" Target="media/image226.png"/><Relationship Id="rId235" Type="http://schemas.openxmlformats.org/officeDocument/2006/relationships/image" Target="media/image227.png"/><Relationship Id="rId236" Type="http://schemas.openxmlformats.org/officeDocument/2006/relationships/image" Target="media/image228.png"/><Relationship Id="rId237" Type="http://schemas.openxmlformats.org/officeDocument/2006/relationships/image" Target="media/image229.png"/><Relationship Id="rId238" Type="http://schemas.openxmlformats.org/officeDocument/2006/relationships/image" Target="media/image230.png"/><Relationship Id="rId239" Type="http://schemas.openxmlformats.org/officeDocument/2006/relationships/image" Target="media/image231.png"/><Relationship Id="rId240" Type="http://schemas.openxmlformats.org/officeDocument/2006/relationships/image" Target="media/image232.png"/><Relationship Id="rId241" Type="http://schemas.openxmlformats.org/officeDocument/2006/relationships/image" Target="media/image233.png"/><Relationship Id="rId242" Type="http://schemas.openxmlformats.org/officeDocument/2006/relationships/image" Target="media/image234.png"/><Relationship Id="rId243" Type="http://schemas.openxmlformats.org/officeDocument/2006/relationships/image" Target="media/image235.png"/><Relationship Id="rId244" Type="http://schemas.openxmlformats.org/officeDocument/2006/relationships/image" Target="media/image236.png"/><Relationship Id="rId245" Type="http://schemas.openxmlformats.org/officeDocument/2006/relationships/image" Target="media/image237.png"/><Relationship Id="rId246" Type="http://schemas.openxmlformats.org/officeDocument/2006/relationships/image" Target="media/image238.png"/><Relationship Id="rId247" Type="http://schemas.openxmlformats.org/officeDocument/2006/relationships/image" Target="media/image239.png"/><Relationship Id="rId248" Type="http://schemas.openxmlformats.org/officeDocument/2006/relationships/image" Target="media/image240.png"/><Relationship Id="rId249" Type="http://schemas.openxmlformats.org/officeDocument/2006/relationships/image" Target="media/image241.png"/><Relationship Id="rId250" Type="http://schemas.openxmlformats.org/officeDocument/2006/relationships/image" Target="media/image242.png"/><Relationship Id="rId251" Type="http://schemas.openxmlformats.org/officeDocument/2006/relationships/image" Target="media/image243.png"/><Relationship Id="rId252" Type="http://schemas.openxmlformats.org/officeDocument/2006/relationships/image" Target="media/image244.png"/><Relationship Id="rId253" Type="http://schemas.openxmlformats.org/officeDocument/2006/relationships/image" Target="media/image245.png"/><Relationship Id="rId254" Type="http://schemas.openxmlformats.org/officeDocument/2006/relationships/image" Target="media/image246.png"/><Relationship Id="rId255" Type="http://schemas.openxmlformats.org/officeDocument/2006/relationships/image" Target="media/image247.png"/><Relationship Id="rId256" Type="http://schemas.openxmlformats.org/officeDocument/2006/relationships/image" Target="media/image248.png"/><Relationship Id="rId257" Type="http://schemas.openxmlformats.org/officeDocument/2006/relationships/image" Target="media/image249.png"/><Relationship Id="rId258" Type="http://schemas.openxmlformats.org/officeDocument/2006/relationships/image" Target="media/image250.png"/><Relationship Id="rId259" Type="http://schemas.openxmlformats.org/officeDocument/2006/relationships/image" Target="media/image251.png"/><Relationship Id="rId260" Type="http://schemas.openxmlformats.org/officeDocument/2006/relationships/image" Target="media/image252.png"/><Relationship Id="rId261" Type="http://schemas.openxmlformats.org/officeDocument/2006/relationships/image" Target="media/image253.png"/><Relationship Id="rId262" Type="http://schemas.openxmlformats.org/officeDocument/2006/relationships/image" Target="media/image254.png"/><Relationship Id="rId263" Type="http://schemas.openxmlformats.org/officeDocument/2006/relationships/image" Target="media/image255.png"/><Relationship Id="rId264" Type="http://schemas.openxmlformats.org/officeDocument/2006/relationships/image" Target="media/image256.png"/><Relationship Id="rId265" Type="http://schemas.openxmlformats.org/officeDocument/2006/relationships/image" Target="media/image257.png"/><Relationship Id="rId266" Type="http://schemas.openxmlformats.org/officeDocument/2006/relationships/image" Target="media/image258.png"/><Relationship Id="rId288" Type="http://schemas.openxmlformats.org/officeDocument/2006/relationships/image" Target="media/image259.png"/><Relationship Id="rId306" Type="http://schemas.openxmlformats.org/officeDocument/2006/relationships/image" Target="media/image260.png"/><Relationship Id="rId332" Type="http://schemas.openxmlformats.org/officeDocument/2006/relationships/image" Target="media/image261.png"/><Relationship Id="rId335" Type="http://schemas.openxmlformats.org/officeDocument/2006/relationships/image" Target="media/image262.png"/><Relationship Id="rId337" Type="http://schemas.openxmlformats.org/officeDocument/2006/relationships/image" Target="media/image263.png"/><Relationship Id="rId338" Type="http://schemas.openxmlformats.org/officeDocument/2006/relationships/image" Target="media/image264.png"/><Relationship Id="rId339" Type="http://schemas.openxmlformats.org/officeDocument/2006/relationships/image" Target="media/image265.png"/><Relationship Id="rId340" Type="http://schemas.openxmlformats.org/officeDocument/2006/relationships/image" Target="media/image266.png"/><Relationship Id="rId341" Type="http://schemas.openxmlformats.org/officeDocument/2006/relationships/image" Target="media/image267.png"/><Relationship Id="rId342" Type="http://schemas.openxmlformats.org/officeDocument/2006/relationships/image" Target="media/image268.png"/><Relationship Id="rId343" Type="http://schemas.openxmlformats.org/officeDocument/2006/relationships/image" Target="media/image269.png"/><Relationship Id="rId344" Type="http://schemas.openxmlformats.org/officeDocument/2006/relationships/image" Target="media/image270.png"/><Relationship Id="rId345" Type="http://schemas.openxmlformats.org/officeDocument/2006/relationships/image" Target="media/image271.png"/><Relationship Id="rId346" Type="http://schemas.openxmlformats.org/officeDocument/2006/relationships/image" Target="media/image272.png"/><Relationship Id="rId347" Type="http://schemas.openxmlformats.org/officeDocument/2006/relationships/image" Target="media/image273.png"/><Relationship Id="rId348" Type="http://schemas.openxmlformats.org/officeDocument/2006/relationships/image" Target="media/image274.png"/><Relationship Id="rId349" Type="http://schemas.openxmlformats.org/officeDocument/2006/relationships/image" Target="media/image275.png"/><Relationship Id="rId350" Type="http://schemas.openxmlformats.org/officeDocument/2006/relationships/image" Target="media/image276.png"/><Relationship Id="rId351" Type="http://schemas.openxmlformats.org/officeDocument/2006/relationships/image" Target="media/image277.png"/><Relationship Id="rId352" Type="http://schemas.openxmlformats.org/officeDocument/2006/relationships/image" Target="media/image278.png"/><Relationship Id="rId353" Type="http://schemas.openxmlformats.org/officeDocument/2006/relationships/image" Target="media/image279.png"/><Relationship Id="rId354" Type="http://schemas.openxmlformats.org/officeDocument/2006/relationships/image" Target="media/image280.png"/><Relationship Id="rId355" Type="http://schemas.openxmlformats.org/officeDocument/2006/relationships/image" Target="media/image281.png"/><Relationship Id="rId356" Type="http://schemas.openxmlformats.org/officeDocument/2006/relationships/image" Target="media/image282.png"/><Relationship Id="rId357" Type="http://schemas.openxmlformats.org/officeDocument/2006/relationships/image" Target="media/image283.png"/><Relationship Id="rId358" Type="http://schemas.openxmlformats.org/officeDocument/2006/relationships/image" Target="media/image284.png"/><Relationship Id="rId359" Type="http://schemas.openxmlformats.org/officeDocument/2006/relationships/image" Target="media/image285.png"/><Relationship Id="rId360" Type="http://schemas.openxmlformats.org/officeDocument/2006/relationships/image" Target="media/image286.png"/><Relationship Id="rId361" Type="http://schemas.openxmlformats.org/officeDocument/2006/relationships/image" Target="media/image287.png"/><Relationship Id="rId362" Type="http://schemas.openxmlformats.org/officeDocument/2006/relationships/image" Target="media/image288.png"/><Relationship Id="rId363" Type="http://schemas.openxmlformats.org/officeDocument/2006/relationships/image" Target="media/image289.png"/><Relationship Id="rId364" Type="http://schemas.openxmlformats.org/officeDocument/2006/relationships/image" Target="media/image290.png"/><Relationship Id="rId365" Type="http://schemas.openxmlformats.org/officeDocument/2006/relationships/image" Target="media/image291.png"/><Relationship Id="rId366" Type="http://schemas.openxmlformats.org/officeDocument/2006/relationships/image" Target="media/image292.png"/><Relationship Id="rId367" Type="http://schemas.openxmlformats.org/officeDocument/2006/relationships/image" Target="media/image293.png"/><Relationship Id="rId368" Type="http://schemas.openxmlformats.org/officeDocument/2006/relationships/image" Target="media/image294.png"/><Relationship Id="rId369" Type="http://schemas.openxmlformats.org/officeDocument/2006/relationships/image" Target="media/image295.png"/><Relationship Id="rId370" Type="http://schemas.openxmlformats.org/officeDocument/2006/relationships/image" Target="media/image296.png"/><Relationship Id="rId371" Type="http://schemas.openxmlformats.org/officeDocument/2006/relationships/image" Target="media/image297.png"/><Relationship Id="rId372" Type="http://schemas.openxmlformats.org/officeDocument/2006/relationships/image" Target="media/image298.png"/><Relationship Id="rId373" Type="http://schemas.openxmlformats.org/officeDocument/2006/relationships/image" Target="media/image299.png"/><Relationship Id="rId85" Type="http://schemas.openxmlformats.org/officeDocument/2006/relationships/hyperlink" Target="https://www.sec.gov/ix?doc=/Archives/edgar/data/773840/000077384024000054/hon-20240425.htm" TargetMode="External"/><Relationship Id="rId267" Type="http://schemas.openxmlformats.org/officeDocument/2006/relationships/hyperlink" Target="https://www.sec.gov/Archives/edgar/data/773840/000093041318002303/c91619_ex3i.htm" TargetMode="External"/><Relationship Id="rId268" Type="http://schemas.openxmlformats.org/officeDocument/2006/relationships/hyperlink" Target="https://www.sec.gov/Archives/edgar/data/773840/000077384023000092/exhibit3i-honeywellbyxlaws.htm" TargetMode="External"/><Relationship Id="rId269" Type="http://schemas.openxmlformats.org/officeDocument/2006/relationships/hyperlink" Target="https://www.sec.gov/Archives/edgar/data/773840/000095011703003488/ex10-2.txt" TargetMode="External"/><Relationship Id="rId270" Type="http://schemas.openxmlformats.org/officeDocument/2006/relationships/hyperlink" Target="https://www.sec.gov/Archives/edgar/data/773840/000095011704004532/ex10-1.htm" TargetMode="External"/><Relationship Id="rId271" Type="http://schemas.openxmlformats.org/officeDocument/2006/relationships/hyperlink" Target="https://www.sec.gov/Archives/edgar/data/773840/000095011706000980/ex10-2.htm" TargetMode="External"/><Relationship Id="rId272" Type="http://schemas.openxmlformats.org/officeDocument/2006/relationships/hyperlink" Target="https://www.sec.gov/Archives/edgar/data/773840/000077384021000057/exhibit10106302021.htm" TargetMode="External"/><Relationship Id="rId273" Type="http://schemas.openxmlformats.org/officeDocument/2006/relationships/hyperlink" Target="https://www.sec.gov/Archives/edgar/data/773840/000093041319000366/c92779_ex10-4.htm" TargetMode="External"/><Relationship Id="rId274" Type="http://schemas.openxmlformats.org/officeDocument/2006/relationships/hyperlink" Target="https://www.sec.gov/Archives/edgar/data/0000773840/000077384021000015/exhibit106912312020.htm" TargetMode="External"/><Relationship Id="rId275" Type="http://schemas.openxmlformats.org/officeDocument/2006/relationships/hyperlink" Target="https://www.sec.gov/Archives/edgar/data/0000773840/000077384021000057/exhibit10106302021.htm" TargetMode="External"/><Relationship Id="rId276" Type="http://schemas.openxmlformats.org/officeDocument/2006/relationships/hyperlink" Target="https://www.sec.gov/Archives/edgar/data/773840/000077384021000015/exhibit10512312020.htm" TargetMode="External"/><Relationship Id="rId277" Type="http://schemas.openxmlformats.org/officeDocument/2006/relationships/hyperlink" Target="https://www.sec.gov/Archives/edgar/data/773840/000077384023000013/exhibit101012312022.htm" TargetMode="External"/><Relationship Id="rId278" Type="http://schemas.openxmlformats.org/officeDocument/2006/relationships/hyperlink" Target="https://www.sec.gov/Archives/edgar/data/0000773840/000077384021000015/exhibit10712312020.htm" TargetMode="External"/><Relationship Id="rId279" Type="http://schemas.openxmlformats.org/officeDocument/2006/relationships/hyperlink" Target="https://www.sec.gov/Archives/edgar/data/773840/000093041309000801/c56028_ex10-10.htm" TargetMode="External"/><Relationship Id="rId280" Type="http://schemas.openxmlformats.org/officeDocument/2006/relationships/hyperlink" Target="https://www.sec.gov/Archives/edgar/data/773840/000093041310000784/c60039_ex10-10.htm" TargetMode="External"/><Relationship Id="rId281" Type="http://schemas.openxmlformats.org/officeDocument/2006/relationships/hyperlink" Target="https://www.sec.gov/Archives/edgar/data/773840/000093041316005457/c83288_ex10-7.htm" TargetMode="External"/><Relationship Id="rId282" Type="http://schemas.openxmlformats.org/officeDocument/2006/relationships/hyperlink" Target="https://www.sec.gov/Archives/edgar/data/773840/000093041309000801/c56028_ex10-12.htm" TargetMode="External"/><Relationship Id="rId283" Type="http://schemas.openxmlformats.org/officeDocument/2006/relationships/hyperlink" Target="https://www.sec.gov/Archives/edgar/data/773840/000093041310000784/c60039_ex10-12.htm" TargetMode="External"/><Relationship Id="rId284" Type="http://schemas.openxmlformats.org/officeDocument/2006/relationships/hyperlink" Target="https://www.sec.gov/Archives/edgar/data/773840/000093041314000634/c75936_ex10-9.htm" TargetMode="External"/><Relationship Id="rId285" Type="http://schemas.openxmlformats.org/officeDocument/2006/relationships/hyperlink" Target="https://www.sec.gov/Archives/edgar/data/773840/000093041316005457/c83288_ex10-8.htm" TargetMode="External"/><Relationship Id="rId286" Type="http://schemas.openxmlformats.org/officeDocument/2006/relationships/hyperlink" Target="https://www.sec.gov/Archives/edgar/data/773840/000093041309000801/c56028_ex10-13.htm" TargetMode="External"/><Relationship Id="rId287" Type="http://schemas.openxmlformats.org/officeDocument/2006/relationships/hyperlink" Target="https://www.sec.gov/Archives/edgar/data/773840/000093041310000784/c60039_ex10-13.htm" TargetMode="External"/><Relationship Id="rId289" Type="http://schemas.openxmlformats.org/officeDocument/2006/relationships/hyperlink" Target="https://www.sec.gov/Archives/edgar/data/773840/000093041316005457/c83288_ex10-9.htm" TargetMode="External"/><Relationship Id="rId290" Type="http://schemas.openxmlformats.org/officeDocument/2006/relationships/hyperlink" Target="https://www.sec.gov/Archives/edgar/data/773840/000093041314000634/c75936_ex10-12.htm" TargetMode="External"/><Relationship Id="rId291" Type="http://schemas.openxmlformats.org/officeDocument/2006/relationships/hyperlink" Target="https://www.sec.gov/Archives/edgar/data/773840/000093041307001369/c44492_ex10-24.htm" TargetMode="External"/><Relationship Id="rId292" Type="http://schemas.openxmlformats.org/officeDocument/2006/relationships/hyperlink" Target="https://www.sec.gov/Archives/edgar/data/773840/000093041309000801/c56028_ex10-31.htm" TargetMode="External"/><Relationship Id="rId293" Type="http://schemas.openxmlformats.org/officeDocument/2006/relationships/hyperlink" Target="https://www.sec.gov/Archives/edgar/data/773840/000093041312000976/c68029_ex10-27.htm" TargetMode="External"/><Relationship Id="rId294" Type="http://schemas.openxmlformats.org/officeDocument/2006/relationships/hyperlink" Target="https://www.sec.gov/Archives/edgar/data/773840/000093041315000621/c79276_ex10-24.htm" TargetMode="External"/><Relationship Id="rId295" Type="http://schemas.openxmlformats.org/officeDocument/2006/relationships/hyperlink" Target="https://www.sec.gov/Archives/edgar/data/773840/000093041312002323/c69322_ex10-3.htm" TargetMode="External"/><Relationship Id="rId296" Type="http://schemas.openxmlformats.org/officeDocument/2006/relationships/hyperlink" Target="https://www.sec.gov/Archives/edgar/data/773840/000093041307002180/c46936.htm" TargetMode="External"/><Relationship Id="rId297" Type="http://schemas.openxmlformats.org/officeDocument/2006/relationships/hyperlink" Target="https://www.sec.gov/Archives/edgar/data/773840/000093041311001776/c64436_def14a.htm" TargetMode="External"/><Relationship Id="rId298" Type="http://schemas.openxmlformats.org/officeDocument/2006/relationships/hyperlink" Target="https://www.sec.gov/Archives/edgar/data/773840/000093041313000907/c72130_ex10-36.htm" TargetMode="External"/><Relationship Id="rId299" Type="http://schemas.openxmlformats.org/officeDocument/2006/relationships/hyperlink" Target="https://www.sec.gov/Archives/edgar/data/773840/000093041314001831/c77214_ex10-1.htm" TargetMode="External"/><Relationship Id="rId300" Type="http://schemas.openxmlformats.org/officeDocument/2006/relationships/hyperlink" Target="https://www.sec.gov/Archives/edgar/data/773840/000093041314001831/c77214_ex10-4.htm" TargetMode="External"/><Relationship Id="rId301" Type="http://schemas.openxmlformats.org/officeDocument/2006/relationships/hyperlink" Target="https://www.sec.gov/Archives/edgar/data/773840/000093041315000621/c79276_ex10-39.htm" TargetMode="External"/><Relationship Id="rId302" Type="http://schemas.openxmlformats.org/officeDocument/2006/relationships/hyperlink" Target="https://www.sec.gov/Archives/edgar/data/773840/000093041316005948/c82838_def14a.htm" TargetMode="External"/><Relationship Id="rId303" Type="http://schemas.openxmlformats.org/officeDocument/2006/relationships/hyperlink" Target="https://www.sec.gov/Archives/edgar/data/773840/000077384020000048/exhibit10209302020.htm" TargetMode="External"/><Relationship Id="rId304" Type="http://schemas.openxmlformats.org/officeDocument/2006/relationships/hyperlink" Target="https://www.sec.gov/Archives/edgar/data/773840/000093041319002643/c94369_ex99-2.htm" TargetMode="External"/><Relationship Id="rId305" Type="http://schemas.openxmlformats.org/officeDocument/2006/relationships/hyperlink" Target="https://www.sec.gov/Archives/edgar/data/773840/000077384020000038/exhibit10106302020.htm" TargetMode="External"/><Relationship Id="rId307" Type="http://schemas.openxmlformats.org/officeDocument/2006/relationships/hyperlink" Target="https://www.sec.gov/Archives/edgar/data/773840/000077384021000057/exhibit10606302021.htm" TargetMode="External"/><Relationship Id="rId308" Type="http://schemas.openxmlformats.org/officeDocument/2006/relationships/hyperlink" Target="https://www.sec.gov/Archives/edgar/data/773840/000077384021000057/exhibit10706302021.htm" TargetMode="External"/><Relationship Id="rId309" Type="http://schemas.openxmlformats.org/officeDocument/2006/relationships/hyperlink" Target="https://www.sec.gov/Archives/edgar/data/773840/000077384024000014/exhibit10512312023.htm" TargetMode="External"/><Relationship Id="rId310" Type="http://schemas.openxmlformats.org/officeDocument/2006/relationships/hyperlink" Target="https://www.sec.gov/Archives/edgar/data/773840/000077384022000018/exhibit106112312021.htm" TargetMode="External"/><Relationship Id="rId311" Type="http://schemas.openxmlformats.org/officeDocument/2006/relationships/hyperlink" Target="https://www.sec.gov/Archives/edgar/data/773840/000093041316006542/c84644_ex10-1.htm" TargetMode="External"/><Relationship Id="rId312" Type="http://schemas.openxmlformats.org/officeDocument/2006/relationships/hyperlink" Target="https://www.sec.gov/Archives/edgar/data/773840/000093041316006322/c84617_ex99-1.htm" TargetMode="External"/><Relationship Id="rId313" Type="http://schemas.openxmlformats.org/officeDocument/2006/relationships/hyperlink" Target="https://www.sec.gov/Archives/edgar/data/773840/000093041317000893/c87598_ex99-1.htm" TargetMode="External"/><Relationship Id="rId314" Type="http://schemas.openxmlformats.org/officeDocument/2006/relationships/hyperlink" Target="https://www.sec.gov/Archives/edgar/data/773840/000119312523069598/d780318dex101.htm" TargetMode="External"/><Relationship Id="rId315" Type="http://schemas.openxmlformats.org/officeDocument/2006/relationships/hyperlink" Target="https://www.sec.gov/Archives/edgar/data/773840/000093041318002493/c91763_ex99-1.htm" TargetMode="External"/><Relationship Id="rId316" Type="http://schemas.openxmlformats.org/officeDocument/2006/relationships/hyperlink" Target="https://www.sec.gov/Archives/edgar/data/0000773840/000077384021000015/exhibit107012312020.htm" TargetMode="External"/><Relationship Id="rId317" Type="http://schemas.openxmlformats.org/officeDocument/2006/relationships/hyperlink" Target="https://www.sec.gov/Archives/edgar/data/773840/000119312523069598/d780318dex102.htm" TargetMode="External"/><Relationship Id="rId318" Type="http://schemas.openxmlformats.org/officeDocument/2006/relationships/hyperlink" Target="https://www.sec.gov/Archives/edgar/data/773840/000119312522204108/d376391dex101.htm" TargetMode="External"/><Relationship Id="rId319" Type="http://schemas.openxmlformats.org/officeDocument/2006/relationships/hyperlink" Target="https://www.sec.gov/Archives/edgar/data/773840/000077384023000013/exhibit107012312022.htm" TargetMode="External"/><Relationship Id="rId320" Type="http://schemas.openxmlformats.org/officeDocument/2006/relationships/hyperlink" Target="https://www.sec.gov/Archives/edgar/data/773840/000077384024000014/exhibit106512312023.htm" TargetMode="External"/><Relationship Id="rId321" Type="http://schemas.openxmlformats.org/officeDocument/2006/relationships/hyperlink" Target="https://www.sec.gov/Archives/edgar/data/773840/000077384024000014/exhibit106612312023.htm" TargetMode="External"/><Relationship Id="rId322" Type="http://schemas.openxmlformats.org/officeDocument/2006/relationships/hyperlink" Target="https://www.sec.gov/Archives/edgar/data/773840/000119312524071322/d785317dex101.htm" TargetMode="External"/><Relationship Id="rId323" Type="http://schemas.openxmlformats.org/officeDocument/2006/relationships/hyperlink" Target="https://www.sec.gov/Archives/edgar/data/773840/000119312524174346/d447517dex101.htm" TargetMode="External"/><Relationship Id="rId324" Type="http://schemas.openxmlformats.org/officeDocument/2006/relationships/hyperlink" Target="https://www.sec.gov/Archives/edgar/data/773840/000119312524071322/d785317dex102.htm" TargetMode="External"/><Relationship Id="rId325" Type="http://schemas.openxmlformats.org/officeDocument/2006/relationships/hyperlink" Target="https://www.sec.gov/Archives/edgar/data/773840/000119312524199003/d743374dex101.htm" TargetMode="External"/><Relationship Id="rId326" Type="http://schemas.openxmlformats.org/officeDocument/2006/relationships/hyperlink" Target="https://www.sec.gov/Archives/edgar/data/773840/000119312518298884/d625197dex21.htm" TargetMode="External"/><Relationship Id="rId327" Type="http://schemas.openxmlformats.org/officeDocument/2006/relationships/hyperlink" Target="https://www.sec.gov/Archives/edgar/data/773840/000077384020000038/exhibit10606302020.htm" TargetMode="External"/><Relationship Id="rId328" Type="http://schemas.openxmlformats.org/officeDocument/2006/relationships/hyperlink" Target="https://www.sec.gov/Archives/edgar/data/773840/000077384020000048/exhibit10109302020.htm" TargetMode="External"/><Relationship Id="rId329" Type="http://schemas.openxmlformats.org/officeDocument/2006/relationships/hyperlink" Target="https://www.sec.gov/Archives/edgar/data/0000773840/000077384021000032/exhibit10203312021.htm" TargetMode="External"/><Relationship Id="rId330" Type="http://schemas.openxmlformats.org/officeDocument/2006/relationships/hyperlink" Target="https://www.sec.gov/Archives/edgar/data/0000773840/000077384021000032/exhibit10303312021.htm" TargetMode="External"/><Relationship Id="rId331" Type="http://schemas.openxmlformats.org/officeDocument/2006/relationships/hyperlink" Target="https://www.sec.gov/Archives/edgar/data/773840/000077384024000051/exhibit10303312024.htm" TargetMode="External"/><Relationship Id="rId333" Type="http://schemas.openxmlformats.org/officeDocument/2006/relationships/hyperlink" Target="https://www.sec.gov/Archives/edgar/data/773840/000077384024000082/exhibit10206302024.htm" TargetMode="External"/><Relationship Id="rId334" Type="http://schemas.openxmlformats.org/officeDocument/2006/relationships/hyperlink" Target="https://www.sec.gov/Archives/edgar/data/773840/000119312522290052/d424061dex101.htm" TargetMode="External"/><Relationship Id="rId336" Type="http://schemas.openxmlformats.org/officeDocument/2006/relationships/hyperlink" Target="https://www.sec.gov/Archives/edgar/data/773840/000077384024000014/exhibit9712312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2025-02-14T13:59:17Z</dcterms:created>
  <dcterms:modified xsi:type="dcterms:W3CDTF">2025-02-14T13:59:17Z</dcterms:modified>
</cp:coreProperties>
</file>